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ind w:right="1"/>
        <w:rPr>
          <w:u w:val="none"/>
        </w:rPr>
      </w:pPr>
      <w:r>
        <w:rPr>
          <w:u w:val="none"/>
        </w:rPr>
        <w:t>VETAGRO SUP</w:t>
      </w:r>
    </w:p>
    <w:p>
      <w:pPr>
        <w:pStyle w:val="Heading2"/>
        <w:spacing w:before="0"/>
        <w:ind w:left="0" w:right="3" w:firstLine="0"/>
        <w:jc w:val="center"/>
        <w:rPr>
          <w:u w:val="none"/>
        </w:rPr>
      </w:pPr>
      <w:r>
        <w:rPr>
          <w:u w:val="none"/>
        </w:rPr>
        <w:t>CAMPUS VÉTÉRINAIRE DE LYON</w:t>
      </w:r>
    </w:p>
    <w:p>
      <w:pPr>
        <w:pStyle w:val="BodyText"/>
        <w:spacing w:before="4"/>
        <w:rPr>
          <w:b/>
          <w:sz w:val="43"/>
        </w:rPr>
      </w:pPr>
    </w:p>
    <w:p>
      <w:pPr>
        <w:tabs>
          <w:tab w:pos="1756" w:val="left" w:leader="none"/>
        </w:tabs>
        <w:spacing w:before="0"/>
        <w:ind w:left="0" w:right="0" w:firstLine="0"/>
        <w:jc w:val="center"/>
        <w:rPr>
          <w:sz w:val="28"/>
        </w:rPr>
      </w:pPr>
      <w:r>
        <w:rPr>
          <w:sz w:val="28"/>
        </w:rPr>
        <w:t>Année </w:t>
      </w:r>
      <w:r>
        <w:rPr>
          <w:spacing w:val="50"/>
          <w:sz w:val="28"/>
        </w:rPr>
        <w:t> </w:t>
      </w:r>
      <w:r>
        <w:rPr>
          <w:sz w:val="28"/>
        </w:rPr>
        <w:t>2017</w:t>
        <w:tab/>
      </w:r>
      <w:r>
        <w:rPr>
          <w:sz w:val="26"/>
        </w:rPr>
        <w:t>-   </w:t>
      </w:r>
      <w:r>
        <w:rPr>
          <w:sz w:val="28"/>
        </w:rPr>
        <w:t>Thèse n°</w:t>
      </w:r>
      <w:r>
        <w:rPr>
          <w:spacing w:val="3"/>
          <w:sz w:val="28"/>
        </w:rPr>
        <w:t> </w:t>
      </w:r>
      <w:r>
        <w:rPr>
          <w:spacing w:val="-2"/>
          <w:sz w:val="28"/>
        </w:rPr>
        <w:t>017</w:t>
      </w:r>
    </w:p>
    <w:p>
      <w:pPr>
        <w:pStyle w:val="BodyText"/>
        <w:rPr>
          <w:sz w:val="30"/>
        </w:rPr>
      </w:pPr>
    </w:p>
    <w:p>
      <w:pPr>
        <w:pStyle w:val="BodyText"/>
        <w:rPr>
          <w:sz w:val="30"/>
        </w:rPr>
      </w:pPr>
    </w:p>
    <w:p>
      <w:pPr>
        <w:pStyle w:val="BodyText"/>
        <w:rPr>
          <w:sz w:val="30"/>
        </w:rPr>
      </w:pPr>
    </w:p>
    <w:p>
      <w:pPr>
        <w:pStyle w:val="BodyText"/>
        <w:spacing w:before="5"/>
        <w:rPr>
          <w:sz w:val="32"/>
        </w:rPr>
      </w:pPr>
    </w:p>
    <w:p>
      <w:pPr>
        <w:spacing w:before="1"/>
        <w:ind w:left="114" w:right="115" w:hanging="3"/>
        <w:jc w:val="center"/>
        <w:rPr>
          <w:b/>
          <w:i/>
          <w:sz w:val="32"/>
        </w:rPr>
      </w:pPr>
      <w:r>
        <w:rPr>
          <w:b/>
          <w:i/>
          <w:sz w:val="32"/>
        </w:rPr>
        <w:t>APPROCHE MÉTABOLIQUE DU TRAITEMENT DU CANCER </w:t>
      </w:r>
      <w:r>
        <w:rPr>
          <w:b/>
          <w:i/>
          <w:sz w:val="32"/>
        </w:rPr>
        <w:t>CHEZ LE CHIEN ET LE CHAT : ÉTUDE BIBLIOGRAPHIQUE ET DE FAISABILITÉ AU TRAVERS DE CAS TRAITÉS AU CENTRE HOSPITALIER VÉTÉRINAIRE SAINT-MARTIN</w:t>
      </w:r>
    </w:p>
    <w:p>
      <w:pPr>
        <w:pStyle w:val="BodyText"/>
        <w:rPr>
          <w:b/>
          <w:i/>
          <w:sz w:val="34"/>
        </w:rPr>
      </w:pPr>
    </w:p>
    <w:p>
      <w:pPr>
        <w:pStyle w:val="BodyText"/>
        <w:rPr>
          <w:b/>
          <w:i/>
          <w:sz w:val="34"/>
        </w:rPr>
      </w:pPr>
    </w:p>
    <w:p>
      <w:pPr>
        <w:pStyle w:val="BodyText"/>
        <w:rPr>
          <w:b/>
          <w:i/>
          <w:sz w:val="34"/>
        </w:rPr>
      </w:pPr>
    </w:p>
    <w:p>
      <w:pPr>
        <w:pStyle w:val="BodyText"/>
        <w:rPr>
          <w:b/>
          <w:i/>
          <w:sz w:val="30"/>
        </w:rPr>
      </w:pPr>
    </w:p>
    <w:p>
      <w:pPr>
        <w:spacing w:before="1"/>
        <w:ind w:left="0" w:right="1" w:firstLine="0"/>
        <w:jc w:val="center"/>
        <w:rPr>
          <w:b/>
          <w:sz w:val="60"/>
        </w:rPr>
      </w:pPr>
      <w:r>
        <w:rPr>
          <w:b/>
          <w:sz w:val="60"/>
        </w:rPr>
        <w:t>TH</w:t>
      </w:r>
      <w:r>
        <w:rPr>
          <w:b/>
          <w:spacing w:val="-93"/>
          <w:sz w:val="60"/>
        </w:rPr>
        <w:t> </w:t>
      </w:r>
      <w:r>
        <w:rPr>
          <w:b/>
          <w:sz w:val="60"/>
        </w:rPr>
        <w:t>ÈSE</w:t>
      </w:r>
    </w:p>
    <w:p>
      <w:pPr>
        <w:spacing w:line="322" w:lineRule="exact" w:before="545"/>
        <w:ind w:left="0" w:right="3" w:firstLine="0"/>
        <w:jc w:val="center"/>
        <w:rPr>
          <w:sz w:val="28"/>
        </w:rPr>
      </w:pPr>
      <w:r>
        <w:rPr>
          <w:sz w:val="28"/>
        </w:rPr>
        <w:t>Présentée à l’UNIVERSITE CLAUDE-BERNARD - LYON I</w:t>
      </w:r>
    </w:p>
    <w:p>
      <w:pPr>
        <w:spacing w:line="322" w:lineRule="exact" w:before="0"/>
        <w:ind w:left="0" w:right="1" w:firstLine="0"/>
        <w:jc w:val="center"/>
        <w:rPr>
          <w:sz w:val="28"/>
        </w:rPr>
      </w:pPr>
      <w:r>
        <w:rPr>
          <w:sz w:val="28"/>
        </w:rPr>
        <w:t>(Médecine - Pharmacie)</w:t>
      </w:r>
    </w:p>
    <w:p>
      <w:pPr>
        <w:spacing w:line="242" w:lineRule="auto" w:before="0"/>
        <w:ind w:left="2043" w:right="2050" w:firstLine="5"/>
        <w:jc w:val="center"/>
        <w:rPr>
          <w:sz w:val="28"/>
        </w:rPr>
      </w:pPr>
      <w:r>
        <w:rPr>
          <w:sz w:val="28"/>
        </w:rPr>
        <w:t>et soutenue publiquement le 12 Juillet 2017 pour obtenir le grade de Docteur Vétérinaire</w:t>
      </w:r>
    </w:p>
    <w:p>
      <w:pPr>
        <w:pStyle w:val="BodyText"/>
        <w:spacing w:before="7"/>
        <w:rPr>
          <w:sz w:val="27"/>
        </w:rPr>
      </w:pPr>
    </w:p>
    <w:p>
      <w:pPr>
        <w:spacing w:before="0"/>
        <w:ind w:left="0" w:right="0" w:firstLine="0"/>
        <w:jc w:val="center"/>
        <w:rPr>
          <w:sz w:val="28"/>
        </w:rPr>
      </w:pPr>
      <w:r>
        <w:rPr>
          <w:sz w:val="28"/>
        </w:rPr>
        <w:t>par</w:t>
      </w:r>
    </w:p>
    <w:p>
      <w:pPr>
        <w:pStyle w:val="BodyText"/>
        <w:spacing w:before="9"/>
        <w:rPr>
          <w:sz w:val="27"/>
        </w:rPr>
      </w:pPr>
    </w:p>
    <w:p>
      <w:pPr>
        <w:spacing w:before="0"/>
        <w:ind w:left="3518" w:right="3518" w:firstLine="0"/>
        <w:jc w:val="center"/>
        <w:rPr>
          <w:i/>
          <w:sz w:val="24"/>
        </w:rPr>
      </w:pPr>
      <w:r>
        <w:rPr>
          <w:i/>
          <w:sz w:val="24"/>
        </w:rPr>
        <w:t>INGLEBERT Marine </w:t>
      </w:r>
      <w:r>
        <w:rPr>
          <w:sz w:val="24"/>
        </w:rPr>
        <w:t>Née le 21 juin 1993 </w:t>
      </w:r>
      <w:r>
        <w:rPr>
          <w:sz w:val="28"/>
        </w:rPr>
        <w:t>à</w:t>
      </w:r>
      <w:r>
        <w:rPr>
          <w:spacing w:val="-1"/>
          <w:sz w:val="28"/>
        </w:rPr>
        <w:t> </w:t>
      </w:r>
      <w:r>
        <w:rPr>
          <w:i/>
          <w:sz w:val="24"/>
        </w:rPr>
        <w:t>Lille</w:t>
      </w:r>
    </w:p>
    <w:p>
      <w:pPr>
        <w:pStyle w:val="BodyText"/>
        <w:rPr>
          <w:i/>
          <w:sz w:val="20"/>
        </w:rPr>
      </w:pPr>
    </w:p>
    <w:p>
      <w:pPr>
        <w:pStyle w:val="BodyText"/>
        <w:rPr>
          <w:i/>
          <w:sz w:val="20"/>
        </w:rPr>
      </w:pPr>
    </w:p>
    <w:p>
      <w:pPr>
        <w:pStyle w:val="BodyText"/>
        <w:rPr>
          <w:i/>
          <w:sz w:val="20"/>
        </w:rPr>
      </w:pPr>
    </w:p>
    <w:p>
      <w:pPr>
        <w:pStyle w:val="BodyText"/>
        <w:spacing w:before="5"/>
        <w:rPr>
          <w:i/>
          <w:sz w:val="15"/>
        </w:rPr>
      </w:pPr>
      <w:r>
        <w:rPr/>
        <w:drawing>
          <wp:anchor distT="0" distB="0" distL="0" distR="0" allowOverlap="1" layoutInCell="1" locked="0" behindDoc="0" simplePos="0" relativeHeight="0">
            <wp:simplePos x="0" y="0"/>
            <wp:positionH relativeFrom="page">
              <wp:posOffset>2494914</wp:posOffset>
            </wp:positionH>
            <wp:positionV relativeFrom="paragraph">
              <wp:posOffset>138004</wp:posOffset>
            </wp:positionV>
            <wp:extent cx="909301" cy="1146810"/>
            <wp:effectExtent l="0" t="0" r="0" b="0"/>
            <wp:wrapTopAndBottom/>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09301" cy="1146810"/>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4037965</wp:posOffset>
            </wp:positionH>
            <wp:positionV relativeFrom="paragraph">
              <wp:posOffset>433279</wp:posOffset>
            </wp:positionV>
            <wp:extent cx="1251383" cy="644651"/>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251383" cy="644651"/>
                    </a:xfrm>
                    <a:prstGeom prst="rect">
                      <a:avLst/>
                    </a:prstGeom>
                  </pic:spPr>
                </pic:pic>
              </a:graphicData>
            </a:graphic>
          </wp:anchor>
        </w:drawing>
      </w:r>
    </w:p>
    <w:p>
      <w:pPr>
        <w:spacing w:after="0"/>
        <w:rPr>
          <w:sz w:val="15"/>
        </w:rPr>
        <w:sectPr>
          <w:type w:val="continuous"/>
          <w:pgSz w:w="11910" w:h="16840"/>
          <w:pgMar w:top="1340" w:bottom="280" w:left="1420" w:right="1420"/>
        </w:sectPr>
      </w:pPr>
    </w:p>
    <w:p>
      <w:pPr>
        <w:pStyle w:val="BodyText"/>
        <w:spacing w:before="4"/>
        <w:rPr>
          <w:sz w:val="17"/>
        </w:rPr>
      </w:pPr>
    </w:p>
    <w:p>
      <w:pPr>
        <w:spacing w:after="0"/>
        <w:rPr>
          <w:sz w:val="17"/>
        </w:rPr>
        <w:sectPr>
          <w:pgSz w:w="11910" w:h="16840"/>
          <w:pgMar w:top="1580" w:bottom="280" w:left="1680" w:right="1680"/>
        </w:sectPr>
      </w:pPr>
    </w:p>
    <w:p>
      <w:pPr>
        <w:pStyle w:val="Heading1"/>
        <w:ind w:right="1"/>
        <w:rPr>
          <w:u w:val="none"/>
        </w:rPr>
      </w:pPr>
      <w:r>
        <w:rPr>
          <w:u w:val="none"/>
        </w:rPr>
        <w:t>VETAGRO SUP</w:t>
      </w:r>
    </w:p>
    <w:p>
      <w:pPr>
        <w:pStyle w:val="Heading2"/>
        <w:spacing w:before="197"/>
        <w:ind w:left="0" w:right="3" w:firstLine="0"/>
        <w:jc w:val="center"/>
        <w:rPr>
          <w:u w:val="none"/>
        </w:rPr>
      </w:pPr>
      <w:r>
        <w:rPr>
          <w:u w:val="none"/>
        </w:rPr>
        <w:t>CAMPUS VÉTÉRINAIRE DE LYON</w:t>
      </w:r>
    </w:p>
    <w:p>
      <w:pPr>
        <w:pStyle w:val="BodyText"/>
        <w:spacing w:before="4"/>
        <w:rPr>
          <w:b/>
          <w:sz w:val="43"/>
        </w:rPr>
      </w:pPr>
    </w:p>
    <w:p>
      <w:pPr>
        <w:tabs>
          <w:tab w:pos="1756" w:val="left" w:leader="none"/>
        </w:tabs>
        <w:spacing w:before="1"/>
        <w:ind w:left="0" w:right="0" w:firstLine="0"/>
        <w:jc w:val="center"/>
        <w:rPr>
          <w:sz w:val="28"/>
        </w:rPr>
      </w:pPr>
      <w:r>
        <w:rPr>
          <w:sz w:val="28"/>
        </w:rPr>
        <w:t>Année </w:t>
      </w:r>
      <w:r>
        <w:rPr>
          <w:spacing w:val="50"/>
          <w:sz w:val="28"/>
        </w:rPr>
        <w:t> </w:t>
      </w:r>
      <w:r>
        <w:rPr>
          <w:sz w:val="28"/>
        </w:rPr>
        <w:t>2017</w:t>
        <w:tab/>
      </w:r>
      <w:r>
        <w:rPr>
          <w:sz w:val="26"/>
        </w:rPr>
        <w:t>-   </w:t>
      </w:r>
      <w:r>
        <w:rPr>
          <w:sz w:val="28"/>
        </w:rPr>
        <w:t>Thèse n°</w:t>
      </w:r>
      <w:r>
        <w:rPr>
          <w:spacing w:val="3"/>
          <w:sz w:val="28"/>
        </w:rPr>
        <w:t> </w:t>
      </w:r>
      <w:r>
        <w:rPr>
          <w:spacing w:val="-2"/>
          <w:sz w:val="28"/>
        </w:rPr>
        <w:t>017</w:t>
      </w:r>
    </w:p>
    <w:p>
      <w:pPr>
        <w:pStyle w:val="BodyText"/>
        <w:rPr>
          <w:sz w:val="30"/>
        </w:rPr>
      </w:pPr>
    </w:p>
    <w:p>
      <w:pPr>
        <w:pStyle w:val="BodyText"/>
        <w:rPr>
          <w:sz w:val="30"/>
        </w:rPr>
      </w:pPr>
    </w:p>
    <w:p>
      <w:pPr>
        <w:pStyle w:val="BodyText"/>
        <w:rPr>
          <w:sz w:val="30"/>
        </w:rPr>
      </w:pPr>
    </w:p>
    <w:p>
      <w:pPr>
        <w:pStyle w:val="BodyText"/>
        <w:spacing w:before="7"/>
        <w:rPr>
          <w:sz w:val="32"/>
        </w:rPr>
      </w:pPr>
    </w:p>
    <w:p>
      <w:pPr>
        <w:spacing w:before="0"/>
        <w:ind w:left="114" w:right="115" w:hanging="3"/>
        <w:jc w:val="center"/>
        <w:rPr>
          <w:b/>
          <w:i/>
          <w:sz w:val="32"/>
        </w:rPr>
      </w:pPr>
      <w:r>
        <w:rPr>
          <w:b/>
          <w:i/>
          <w:sz w:val="32"/>
        </w:rPr>
        <w:t>APPROCHE MÉTABOLIQUE DU TRAITEMENT DU CANCER </w:t>
      </w:r>
      <w:r>
        <w:rPr>
          <w:b/>
          <w:i/>
          <w:sz w:val="32"/>
        </w:rPr>
        <w:t>CHEZ LE CHIEN ET LE CHAT : ÉTUDE BIBLIOGRAPHIQUE ET DE FAISABILITÉ AU TRAVERS DE CAS TRAITÉS AU CENTRE HOSPITALIER VÉTÉRINAIRE SAINT-MARTIN</w:t>
      </w:r>
    </w:p>
    <w:p>
      <w:pPr>
        <w:pStyle w:val="BodyText"/>
        <w:rPr>
          <w:b/>
          <w:i/>
          <w:sz w:val="34"/>
        </w:rPr>
      </w:pPr>
    </w:p>
    <w:p>
      <w:pPr>
        <w:pStyle w:val="BodyText"/>
        <w:rPr>
          <w:b/>
          <w:i/>
          <w:sz w:val="34"/>
        </w:rPr>
      </w:pPr>
    </w:p>
    <w:p>
      <w:pPr>
        <w:pStyle w:val="BodyText"/>
        <w:rPr>
          <w:b/>
          <w:i/>
          <w:sz w:val="34"/>
        </w:rPr>
      </w:pPr>
    </w:p>
    <w:p>
      <w:pPr>
        <w:pStyle w:val="BodyText"/>
        <w:spacing w:before="10"/>
        <w:rPr>
          <w:b/>
          <w:i/>
          <w:sz w:val="29"/>
        </w:rPr>
      </w:pPr>
    </w:p>
    <w:p>
      <w:pPr>
        <w:spacing w:before="0"/>
        <w:ind w:left="0" w:right="1" w:firstLine="0"/>
        <w:jc w:val="center"/>
        <w:rPr>
          <w:b/>
          <w:sz w:val="60"/>
        </w:rPr>
      </w:pPr>
      <w:r>
        <w:rPr>
          <w:b/>
          <w:sz w:val="60"/>
        </w:rPr>
        <w:t>TH</w:t>
      </w:r>
      <w:r>
        <w:rPr>
          <w:b/>
          <w:spacing w:val="-93"/>
          <w:sz w:val="60"/>
        </w:rPr>
        <w:t> </w:t>
      </w:r>
      <w:r>
        <w:rPr>
          <w:b/>
          <w:sz w:val="60"/>
        </w:rPr>
        <w:t>ÈSE</w:t>
      </w:r>
    </w:p>
    <w:p>
      <w:pPr>
        <w:spacing w:line="322" w:lineRule="exact" w:before="547"/>
        <w:ind w:left="0" w:right="3" w:firstLine="0"/>
        <w:jc w:val="center"/>
        <w:rPr>
          <w:sz w:val="28"/>
        </w:rPr>
      </w:pPr>
      <w:r>
        <w:rPr>
          <w:sz w:val="28"/>
        </w:rPr>
        <w:t>Présentée à l’UNIVERSITE CLAUDE-BERNARD - LYON I</w:t>
      </w:r>
    </w:p>
    <w:p>
      <w:pPr>
        <w:spacing w:line="322" w:lineRule="exact" w:before="0"/>
        <w:ind w:left="0" w:right="1" w:firstLine="0"/>
        <w:jc w:val="center"/>
        <w:rPr>
          <w:sz w:val="28"/>
        </w:rPr>
      </w:pPr>
      <w:r>
        <w:rPr>
          <w:sz w:val="28"/>
        </w:rPr>
        <w:t>(Médecine - Pharmacie)</w:t>
      </w:r>
    </w:p>
    <w:p>
      <w:pPr>
        <w:spacing w:before="0"/>
        <w:ind w:left="2043" w:right="2050" w:firstLine="5"/>
        <w:jc w:val="center"/>
        <w:rPr>
          <w:sz w:val="28"/>
        </w:rPr>
      </w:pPr>
      <w:r>
        <w:rPr>
          <w:sz w:val="28"/>
        </w:rPr>
        <w:t>et soutenue publiquement le 12 Juillet 2017 pour obtenir le grade de Docteur Vétérinaire</w:t>
      </w:r>
    </w:p>
    <w:p>
      <w:pPr>
        <w:pStyle w:val="BodyText"/>
        <w:spacing w:before="1"/>
        <w:rPr>
          <w:sz w:val="28"/>
        </w:rPr>
      </w:pPr>
    </w:p>
    <w:p>
      <w:pPr>
        <w:spacing w:before="0"/>
        <w:ind w:left="0" w:right="0" w:firstLine="0"/>
        <w:jc w:val="center"/>
        <w:rPr>
          <w:sz w:val="28"/>
        </w:rPr>
      </w:pPr>
      <w:r>
        <w:rPr>
          <w:sz w:val="28"/>
        </w:rPr>
        <w:t>par</w:t>
      </w:r>
    </w:p>
    <w:p>
      <w:pPr>
        <w:pStyle w:val="BodyText"/>
        <w:spacing w:before="9"/>
        <w:rPr>
          <w:sz w:val="27"/>
        </w:rPr>
      </w:pPr>
    </w:p>
    <w:p>
      <w:pPr>
        <w:spacing w:before="0"/>
        <w:ind w:left="3518" w:right="3518" w:firstLine="0"/>
        <w:jc w:val="center"/>
        <w:rPr>
          <w:i/>
          <w:sz w:val="24"/>
        </w:rPr>
      </w:pPr>
      <w:r>
        <w:rPr>
          <w:i/>
          <w:sz w:val="24"/>
        </w:rPr>
        <w:t>INGLEBERT Marine </w:t>
      </w:r>
      <w:r>
        <w:rPr>
          <w:sz w:val="24"/>
        </w:rPr>
        <w:t>Née le 21 juin 1993 </w:t>
      </w:r>
      <w:r>
        <w:rPr>
          <w:sz w:val="28"/>
        </w:rPr>
        <w:t>à</w:t>
      </w:r>
      <w:r>
        <w:rPr>
          <w:spacing w:val="-1"/>
          <w:sz w:val="28"/>
        </w:rPr>
        <w:t> </w:t>
      </w:r>
      <w:r>
        <w:rPr>
          <w:i/>
          <w:sz w:val="24"/>
        </w:rPr>
        <w:t>Lille</w:t>
      </w:r>
    </w:p>
    <w:p>
      <w:pPr>
        <w:pStyle w:val="BodyText"/>
        <w:rPr>
          <w:i/>
          <w:sz w:val="20"/>
        </w:rPr>
      </w:pPr>
    </w:p>
    <w:p>
      <w:pPr>
        <w:pStyle w:val="BodyText"/>
        <w:rPr>
          <w:i/>
          <w:sz w:val="20"/>
        </w:rPr>
      </w:pPr>
    </w:p>
    <w:p>
      <w:pPr>
        <w:pStyle w:val="BodyText"/>
        <w:rPr>
          <w:i/>
          <w:sz w:val="20"/>
        </w:rPr>
      </w:pPr>
    </w:p>
    <w:p>
      <w:pPr>
        <w:pStyle w:val="BodyText"/>
        <w:spacing w:before="4"/>
        <w:rPr>
          <w:i/>
          <w:sz w:val="15"/>
        </w:rPr>
      </w:pPr>
      <w:r>
        <w:rPr/>
        <w:drawing>
          <wp:anchor distT="0" distB="0" distL="0" distR="0" allowOverlap="1" layoutInCell="1" locked="0" behindDoc="0" simplePos="0" relativeHeight="1072">
            <wp:simplePos x="0" y="0"/>
            <wp:positionH relativeFrom="page">
              <wp:posOffset>2494914</wp:posOffset>
            </wp:positionH>
            <wp:positionV relativeFrom="paragraph">
              <wp:posOffset>137433</wp:posOffset>
            </wp:positionV>
            <wp:extent cx="909301" cy="1146810"/>
            <wp:effectExtent l="0" t="0" r="0" b="0"/>
            <wp:wrapTopAndBottom/>
            <wp:docPr id="5" name="image1.jpeg" descr=""/>
            <wp:cNvGraphicFramePr>
              <a:graphicFrameLocks noChangeAspect="1"/>
            </wp:cNvGraphicFramePr>
            <a:graphic>
              <a:graphicData uri="http://schemas.openxmlformats.org/drawingml/2006/picture">
                <pic:pic>
                  <pic:nvPicPr>
                    <pic:cNvPr id="6" name="image1.jpeg"/>
                    <pic:cNvPicPr/>
                  </pic:nvPicPr>
                  <pic:blipFill>
                    <a:blip r:embed="rId5" cstate="print"/>
                    <a:stretch>
                      <a:fillRect/>
                    </a:stretch>
                  </pic:blipFill>
                  <pic:spPr>
                    <a:xfrm>
                      <a:off x="0" y="0"/>
                      <a:ext cx="909301" cy="1146810"/>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4037965</wp:posOffset>
            </wp:positionH>
            <wp:positionV relativeFrom="paragraph">
              <wp:posOffset>432708</wp:posOffset>
            </wp:positionV>
            <wp:extent cx="1251383" cy="644651"/>
            <wp:effectExtent l="0" t="0" r="0" b="0"/>
            <wp:wrapTopAndBottom/>
            <wp:docPr id="7" name="image2.jpeg" descr=""/>
            <wp:cNvGraphicFramePr>
              <a:graphicFrameLocks noChangeAspect="1"/>
            </wp:cNvGraphicFramePr>
            <a:graphic>
              <a:graphicData uri="http://schemas.openxmlformats.org/drawingml/2006/picture">
                <pic:pic>
                  <pic:nvPicPr>
                    <pic:cNvPr id="8" name="image2.jpeg"/>
                    <pic:cNvPicPr/>
                  </pic:nvPicPr>
                  <pic:blipFill>
                    <a:blip r:embed="rId6" cstate="print"/>
                    <a:stretch>
                      <a:fillRect/>
                    </a:stretch>
                  </pic:blipFill>
                  <pic:spPr>
                    <a:xfrm>
                      <a:off x="0" y="0"/>
                      <a:ext cx="1251383" cy="644651"/>
                    </a:xfrm>
                    <a:prstGeom prst="rect">
                      <a:avLst/>
                    </a:prstGeom>
                  </pic:spPr>
                </pic:pic>
              </a:graphicData>
            </a:graphic>
          </wp:anchor>
        </w:drawing>
      </w:r>
    </w:p>
    <w:p>
      <w:pPr>
        <w:spacing w:after="0"/>
        <w:rPr>
          <w:sz w:val="15"/>
        </w:rPr>
        <w:sectPr>
          <w:pgSz w:w="11910" w:h="16840"/>
          <w:pgMar w:top="1340" w:bottom="280" w:left="1420" w:right="1420"/>
        </w:sectPr>
      </w:pPr>
    </w:p>
    <w:p>
      <w:pPr>
        <w:pStyle w:val="BodyText"/>
        <w:spacing w:before="4"/>
        <w:rPr>
          <w:sz w:val="17"/>
        </w:rPr>
      </w:pPr>
    </w:p>
    <w:p>
      <w:pPr>
        <w:spacing w:after="0"/>
        <w:rPr>
          <w:sz w:val="17"/>
        </w:rPr>
        <w:sectPr>
          <w:footerReference w:type="even" r:id="rId7"/>
          <w:footerReference w:type="default" r:id="rId8"/>
          <w:pgSz w:w="11910" w:h="16840"/>
          <w:pgMar w:footer="995" w:header="0" w:top="1580" w:bottom="1180" w:left="1680" w:right="1680"/>
          <w:pgNumType w:start="2"/>
        </w:sectPr>
      </w:pPr>
    </w:p>
    <w:p>
      <w:pPr>
        <w:pStyle w:val="BodyText"/>
        <w:ind w:left="117"/>
        <w:rPr>
          <w:sz w:val="20"/>
        </w:rPr>
      </w:pPr>
      <w:r>
        <w:rPr>
          <w:sz w:val="20"/>
        </w:rPr>
        <w:drawing>
          <wp:inline distT="0" distB="0" distL="0" distR="0">
            <wp:extent cx="5671166" cy="8855011"/>
            <wp:effectExtent l="0" t="0" r="0" b="0"/>
            <wp:docPr id="9" name="image3.jpeg" descr=""/>
            <wp:cNvGraphicFramePr>
              <a:graphicFrameLocks noChangeAspect="1"/>
            </wp:cNvGraphicFramePr>
            <a:graphic>
              <a:graphicData uri="http://schemas.openxmlformats.org/drawingml/2006/picture">
                <pic:pic>
                  <pic:nvPicPr>
                    <pic:cNvPr id="10" name="image3.jpeg"/>
                    <pic:cNvPicPr/>
                  </pic:nvPicPr>
                  <pic:blipFill>
                    <a:blip r:embed="rId9" cstate="print"/>
                    <a:stretch>
                      <a:fillRect/>
                    </a:stretch>
                  </pic:blipFill>
                  <pic:spPr>
                    <a:xfrm>
                      <a:off x="0" y="0"/>
                      <a:ext cx="5671166" cy="8855011"/>
                    </a:xfrm>
                    <a:prstGeom prst="rect">
                      <a:avLst/>
                    </a:prstGeom>
                  </pic:spPr>
                </pic:pic>
              </a:graphicData>
            </a:graphic>
          </wp:inline>
        </w:drawing>
      </w:r>
      <w:r>
        <w:rPr>
          <w:sz w:val="20"/>
        </w:rPr>
      </w:r>
    </w:p>
    <w:p>
      <w:pPr>
        <w:spacing w:after="0"/>
        <w:rPr>
          <w:sz w:val="20"/>
        </w:rPr>
        <w:sectPr>
          <w:pgSz w:w="11910" w:h="16840"/>
          <w:pgMar w:header="0" w:footer="995" w:top="1380" w:bottom="1180" w:left="1300" w:right="1320"/>
        </w:sectPr>
      </w:pPr>
    </w:p>
    <w:p>
      <w:pPr>
        <w:pStyle w:val="BodyText"/>
        <w:spacing w:before="4"/>
        <w:rPr>
          <w:sz w:val="17"/>
        </w:rPr>
      </w:pPr>
    </w:p>
    <w:p>
      <w:pPr>
        <w:spacing w:after="0"/>
        <w:rPr>
          <w:sz w:val="17"/>
        </w:rPr>
        <w:sectPr>
          <w:pgSz w:w="11910" w:h="16840"/>
          <w:pgMar w:header="0" w:footer="995" w:top="1580" w:bottom="1180" w:left="1680" w:right="1680"/>
        </w:sectPr>
      </w:pPr>
    </w:p>
    <w:p>
      <w:pPr>
        <w:pStyle w:val="Heading1"/>
        <w:ind w:left="1177" w:right="1178"/>
        <w:rPr>
          <w:u w:val="none"/>
        </w:rPr>
      </w:pPr>
      <w:r>
        <w:rPr>
          <w:u w:val="thick"/>
        </w:rPr>
        <w:t>Remerciements</w:t>
      </w:r>
    </w:p>
    <w:p>
      <w:pPr>
        <w:pStyle w:val="BodyText"/>
        <w:rPr>
          <w:b/>
          <w:sz w:val="20"/>
        </w:rPr>
      </w:pPr>
    </w:p>
    <w:p>
      <w:pPr>
        <w:pStyle w:val="BodyText"/>
        <w:rPr>
          <w:b/>
          <w:sz w:val="20"/>
        </w:rPr>
      </w:pPr>
    </w:p>
    <w:p>
      <w:pPr>
        <w:pStyle w:val="BodyText"/>
        <w:rPr>
          <w:b/>
          <w:sz w:val="20"/>
        </w:rPr>
      </w:pPr>
    </w:p>
    <w:p>
      <w:pPr>
        <w:pStyle w:val="BodyText"/>
        <w:spacing w:before="1"/>
        <w:rPr>
          <w:b/>
        </w:rPr>
      </w:pPr>
    </w:p>
    <w:p>
      <w:pPr>
        <w:pStyle w:val="Heading4"/>
        <w:spacing w:before="90"/>
        <w:ind w:left="1177" w:right="1182"/>
      </w:pPr>
      <w:r>
        <w:rPr/>
        <w:t>A Madame le Professeur Françoise MORNEX</w:t>
      </w:r>
    </w:p>
    <w:p>
      <w:pPr>
        <w:pStyle w:val="BodyText"/>
        <w:spacing w:before="36"/>
        <w:ind w:left="1177" w:right="1181"/>
        <w:jc w:val="center"/>
      </w:pPr>
      <w:r>
        <w:rPr/>
        <w:t>De la faculté de médecine de Lyon,</w:t>
      </w:r>
    </w:p>
    <w:p>
      <w:pPr>
        <w:pStyle w:val="BodyText"/>
        <w:spacing w:line="278" w:lineRule="auto" w:before="40"/>
        <w:ind w:left="1177" w:right="1184"/>
        <w:jc w:val="center"/>
      </w:pPr>
      <w:r>
        <w:rPr/>
        <w:t>Pour nous faire l’honneur d’accepter la présidence de ce jury de thèse, Hommages respectueux.</w:t>
      </w:r>
    </w:p>
    <w:p>
      <w:pPr>
        <w:pStyle w:val="BodyText"/>
        <w:spacing w:before="8"/>
        <w:rPr>
          <w:sz w:val="27"/>
        </w:rPr>
      </w:pPr>
    </w:p>
    <w:p>
      <w:pPr>
        <w:pStyle w:val="Heading4"/>
        <w:ind w:left="1177" w:right="1181"/>
      </w:pPr>
      <w:r>
        <w:rPr/>
        <w:t>A Madame le Professeur Frédérique PONCE</w:t>
      </w:r>
    </w:p>
    <w:p>
      <w:pPr>
        <w:pStyle w:val="BodyText"/>
        <w:spacing w:before="36"/>
        <w:ind w:left="1177" w:right="1177"/>
        <w:jc w:val="center"/>
      </w:pPr>
      <w:r>
        <w:rPr/>
        <w:t>De VetAgroSup, campus vétérinaire de Lyon</w:t>
      </w:r>
    </w:p>
    <w:p>
      <w:pPr>
        <w:pStyle w:val="BodyText"/>
        <w:spacing w:line="276" w:lineRule="auto" w:before="43"/>
        <w:ind w:left="100" w:right="106"/>
        <w:jc w:val="center"/>
      </w:pPr>
      <w:r>
        <w:rPr/>
        <w:t>Pour avoir accepté d’encadrer ce travail, et m’avoir accompagnée dans la découverte du monde de la cancérologie vétérinaire,</w:t>
      </w:r>
    </w:p>
    <w:p>
      <w:pPr>
        <w:pStyle w:val="BodyText"/>
        <w:spacing w:line="276" w:lineRule="auto"/>
        <w:ind w:left="2070" w:right="2070"/>
        <w:jc w:val="center"/>
      </w:pPr>
      <w:r>
        <w:rPr/>
        <w:t>Pour vos conseils, et votre enseignement de qualité, Sincères remerciements.</w:t>
      </w:r>
    </w:p>
    <w:p>
      <w:pPr>
        <w:pStyle w:val="BodyText"/>
        <w:spacing w:before="2"/>
        <w:rPr>
          <w:sz w:val="28"/>
        </w:rPr>
      </w:pPr>
    </w:p>
    <w:p>
      <w:pPr>
        <w:spacing w:line="273" w:lineRule="auto" w:before="0"/>
        <w:ind w:left="2310" w:right="2311" w:firstLine="0"/>
        <w:jc w:val="center"/>
        <w:rPr>
          <w:sz w:val="24"/>
        </w:rPr>
      </w:pPr>
      <w:r>
        <w:rPr>
          <w:b/>
          <w:sz w:val="24"/>
        </w:rPr>
        <w:t>A Monsieur le Professeur Philippe BERNY, </w:t>
      </w:r>
      <w:r>
        <w:rPr>
          <w:sz w:val="24"/>
        </w:rPr>
        <w:t>De VetAgroSup, campus vétérinaire de Lyon Pour avoir accepté de juger ce travail,</w:t>
      </w:r>
    </w:p>
    <w:p>
      <w:pPr>
        <w:pStyle w:val="BodyText"/>
        <w:spacing w:line="276" w:lineRule="auto" w:before="5"/>
        <w:ind w:left="2066" w:right="2070"/>
        <w:jc w:val="center"/>
      </w:pPr>
      <w:r>
        <w:rPr/>
        <w:t>Pour votre enthousiasme et votre disponibilité, Sincères remerciements.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4"/>
        </w:rPr>
      </w:pPr>
    </w:p>
    <w:p>
      <w:pPr>
        <w:pStyle w:val="Heading4"/>
        <w:ind w:left="1177" w:right="1178"/>
      </w:pPr>
      <w:r>
        <w:rPr/>
        <w:t>A Monsieur le Docteur Hubert LINCET,</w:t>
      </w:r>
    </w:p>
    <w:p>
      <w:pPr>
        <w:pStyle w:val="BodyText"/>
        <w:spacing w:before="35"/>
        <w:ind w:left="1177" w:right="1178"/>
        <w:jc w:val="center"/>
      </w:pPr>
      <w:r>
        <w:rPr/>
        <w:t>Du Centre de Recherche en Cancérologie de Lyon,</w:t>
      </w:r>
    </w:p>
    <w:p>
      <w:pPr>
        <w:pStyle w:val="BodyText"/>
        <w:spacing w:line="276" w:lineRule="auto" w:before="42"/>
        <w:ind w:left="105" w:right="106"/>
        <w:jc w:val="center"/>
      </w:pPr>
      <w:r>
        <w:rPr/>
        <w:t>Pour vos conseils et votre patience, et pour m’avoir permis de faire mes premiers pas dans la recherche,</w:t>
      </w:r>
    </w:p>
    <w:p>
      <w:pPr>
        <w:pStyle w:val="BodyText"/>
        <w:spacing w:line="276" w:lineRule="auto"/>
        <w:ind w:left="2067" w:right="2070"/>
        <w:jc w:val="center"/>
      </w:pPr>
      <w:r>
        <w:rPr/>
        <w:t>Pour l’intérêt que vous avez porté à ce manuscrit, Profonde reconnaissance.</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4"/>
        </w:rPr>
      </w:pPr>
    </w:p>
    <w:p>
      <w:pPr>
        <w:pStyle w:val="Heading4"/>
        <w:spacing w:before="1"/>
        <w:ind w:left="1177" w:right="1178"/>
      </w:pPr>
      <w:r>
        <w:rPr/>
        <w:t>A Monsieur le Docteur Stéphane DOLIGER,</w:t>
      </w:r>
    </w:p>
    <w:p>
      <w:pPr>
        <w:pStyle w:val="BodyText"/>
        <w:spacing w:line="276" w:lineRule="auto" w:before="36"/>
        <w:ind w:left="2618" w:right="2621"/>
        <w:jc w:val="center"/>
      </w:pPr>
      <w:r>
        <w:rPr/>
        <w:t>De la Clinique Vétérinaire du Salève, Pour avoir été à l’initiative de ce travail, Sincères remerciements.</w:t>
      </w:r>
    </w:p>
    <w:p>
      <w:pPr>
        <w:spacing w:after="0" w:line="276" w:lineRule="auto"/>
        <w:jc w:val="center"/>
        <w:sectPr>
          <w:pgSz w:w="11910" w:h="16840"/>
          <w:pgMar w:header="0" w:footer="995" w:top="1340" w:bottom="1180" w:left="1400" w:right="1400"/>
        </w:sectPr>
      </w:pPr>
    </w:p>
    <w:p>
      <w:pPr>
        <w:pStyle w:val="BodyText"/>
        <w:spacing w:before="4"/>
        <w:rPr>
          <w:sz w:val="17"/>
        </w:rPr>
      </w:pPr>
    </w:p>
    <w:p>
      <w:pPr>
        <w:spacing w:after="0"/>
        <w:rPr>
          <w:sz w:val="17"/>
        </w:rPr>
        <w:sectPr>
          <w:pgSz w:w="11910" w:h="16840"/>
          <w:pgMar w:header="0" w:footer="995" w:top="1580" w:bottom="1180" w:left="1680" w:right="1680"/>
        </w:sectPr>
      </w:pPr>
    </w:p>
    <w:p>
      <w:pPr>
        <w:pStyle w:val="Heading4"/>
        <w:spacing w:before="77"/>
      </w:pPr>
      <w:r>
        <w:rPr/>
        <w:t>A mes parents,</w:t>
      </w:r>
    </w:p>
    <w:p>
      <w:pPr>
        <w:pStyle w:val="BodyText"/>
        <w:spacing w:line="276" w:lineRule="auto" w:before="38"/>
        <w:ind w:left="109" w:right="110"/>
        <w:jc w:val="center"/>
      </w:pPr>
      <w:r>
        <w:rPr/>
        <w:t>Pour leur soutien sans faille dans toutes les situations, pour leur confiance inébranlable, un immense merci.</w:t>
      </w:r>
    </w:p>
    <w:p>
      <w:pPr>
        <w:pStyle w:val="BodyText"/>
        <w:rPr>
          <w:sz w:val="28"/>
        </w:rPr>
      </w:pPr>
    </w:p>
    <w:p>
      <w:pPr>
        <w:pStyle w:val="Heading4"/>
        <w:ind w:left="107"/>
      </w:pPr>
      <w:r>
        <w:rPr/>
        <w:t>A mon frère,</w:t>
      </w:r>
    </w:p>
    <w:p>
      <w:pPr>
        <w:pStyle w:val="BodyText"/>
        <w:spacing w:before="38"/>
        <w:ind w:left="107" w:right="110"/>
        <w:jc w:val="center"/>
      </w:pPr>
      <w:r>
        <w:rPr/>
        <w:t>Pour ta présence toutes ces années, pour me rendre visite partout où je vais, merci.</w:t>
      </w:r>
    </w:p>
    <w:p>
      <w:pPr>
        <w:pStyle w:val="BodyText"/>
        <w:spacing w:before="5"/>
        <w:rPr>
          <w:sz w:val="31"/>
        </w:rPr>
      </w:pPr>
    </w:p>
    <w:p>
      <w:pPr>
        <w:pStyle w:val="Heading4"/>
        <w:spacing w:before="1"/>
      </w:pPr>
      <w:r>
        <w:rPr/>
        <w:t>A mes grands parents,</w:t>
      </w:r>
    </w:p>
    <w:p>
      <w:pPr>
        <w:pStyle w:val="BodyText"/>
        <w:spacing w:line="278" w:lineRule="auto" w:before="36"/>
        <w:ind w:left="112" w:right="109"/>
        <w:jc w:val="center"/>
      </w:pPr>
      <w:r>
        <w:rPr/>
        <w:t>Pour leur amour inconditionnel, leur gentillesse et leur confiance de tous les jours, que je n’oublierai jamais.</w:t>
      </w:r>
    </w:p>
    <w:p>
      <w:pPr>
        <w:pStyle w:val="BodyText"/>
        <w:spacing w:before="9"/>
        <w:rPr>
          <w:sz w:val="27"/>
        </w:rPr>
      </w:pPr>
    </w:p>
    <w:p>
      <w:pPr>
        <w:pStyle w:val="Heading4"/>
        <w:spacing w:before="1"/>
        <w:ind w:left="107"/>
      </w:pPr>
      <w:r>
        <w:rPr/>
        <w:t>A Max,</w:t>
      </w:r>
    </w:p>
    <w:p>
      <w:pPr>
        <w:pStyle w:val="BodyText"/>
        <w:spacing w:line="256" w:lineRule="auto" w:before="36"/>
        <w:ind w:left="110" w:right="110"/>
        <w:jc w:val="center"/>
      </w:pPr>
      <w:r>
        <w:rPr/>
        <w:t>Pour ton soutien, ta confiance, ta bonne humeur, nos voyages, nos rires et nos silences. Pour les merveilleux moments et les moins drôles, et les projets à venir. Ich liebe dich.</w:t>
      </w:r>
    </w:p>
    <w:p>
      <w:pPr>
        <w:pStyle w:val="Heading4"/>
        <w:spacing w:line="274" w:lineRule="exact" w:before="168"/>
      </w:pPr>
      <w:r>
        <w:rPr/>
        <w:t>A mes amis de Lille,</w:t>
      </w:r>
    </w:p>
    <w:p>
      <w:pPr>
        <w:pStyle w:val="BodyText"/>
        <w:ind w:left="111" w:right="110"/>
        <w:jc w:val="center"/>
      </w:pPr>
      <w:r>
        <w:rPr/>
        <w:t>A Marion, Emna, Loulou, Mahaut, Simon, Hélène, Matthieu, pour tous les beaux moments depuis l'enfance, pour les souvenirs de lycée et les voyages d'aujourd'hui.</w:t>
      </w:r>
    </w:p>
    <w:p>
      <w:pPr>
        <w:pStyle w:val="BodyText"/>
        <w:spacing w:before="10"/>
      </w:pPr>
    </w:p>
    <w:p>
      <w:pPr>
        <w:pStyle w:val="Heading4"/>
        <w:ind w:left="108"/>
      </w:pPr>
      <w:r>
        <w:rPr/>
        <w:t>A mes amis de Paris,</w:t>
      </w:r>
    </w:p>
    <w:p>
      <w:pPr>
        <w:pStyle w:val="BodyText"/>
        <w:spacing w:line="278" w:lineRule="auto" w:before="36"/>
        <w:ind w:left="110" w:right="110"/>
        <w:jc w:val="center"/>
      </w:pPr>
      <w:r>
        <w:rPr/>
        <w:t>Aux copains du foyer et de la prépa, pour leur joie de vivre et les bons moments passés ensemble, pour cette aventure qui nous a tant marqués.</w:t>
      </w:r>
    </w:p>
    <w:p>
      <w:pPr>
        <w:pStyle w:val="BodyText"/>
        <w:spacing w:before="9"/>
        <w:rPr>
          <w:sz w:val="27"/>
        </w:rPr>
      </w:pPr>
    </w:p>
    <w:p>
      <w:pPr>
        <w:pStyle w:val="Heading4"/>
        <w:spacing w:before="1"/>
        <w:ind w:left="108"/>
      </w:pPr>
      <w:r>
        <w:rPr/>
        <w:t>A mes amis de Marcy,</w:t>
      </w:r>
    </w:p>
    <w:p>
      <w:pPr>
        <w:pStyle w:val="BodyText"/>
        <w:spacing w:line="276" w:lineRule="auto" w:before="36"/>
        <w:ind w:left="150" w:right="150" w:firstLine="1"/>
        <w:jc w:val="center"/>
      </w:pPr>
      <w:r>
        <w:rPr/>
        <w:t>A mon ancienne et ma poulotte, pour votre accueil, votre sourire, votre confiance, nos confidences et nos voyages. A Charlotte et Guilhem, pour tous les moments passés ensemble à voyager, et refaire le monde. Aux copains de l’IVSA Lyon, pour les beaux échanges. A toutes les belles rencontres de l’école véto, merci d’avoir été là.</w:t>
      </w:r>
    </w:p>
    <w:p>
      <w:pPr>
        <w:pStyle w:val="BodyText"/>
        <w:rPr>
          <w:sz w:val="28"/>
        </w:rPr>
      </w:pPr>
    </w:p>
    <w:p>
      <w:pPr>
        <w:pStyle w:val="Heading4"/>
        <w:ind w:left="104"/>
      </w:pPr>
      <w:r>
        <w:rPr/>
        <w:t>A ceux qui ont marqué mon parcours,</w:t>
      </w:r>
    </w:p>
    <w:p>
      <w:pPr>
        <w:pStyle w:val="BodyText"/>
        <w:spacing w:line="276" w:lineRule="auto" w:before="38"/>
        <w:ind w:left="124" w:right="122" w:hanging="2"/>
        <w:jc w:val="center"/>
      </w:pPr>
      <w:r>
        <w:rPr/>
        <w:t>Aux enseignants non vétérinaires qui ont marqué l’intégralité de mon parcours par leurs conseils, leur patience et leur soutien. Je pense régulièrement à vous. A mes maîtres de stage, internes et résidents, qui au fil des années m’ont guidée dans ma formation et m’ont aidée à développer mes compétences et connaissances. Aux internes et cliniciens de la VetmedUni Vienna, pour leur accueil chaleureux et leur disponibilité sans égale. A mes senseïs, pour leur rigueur et leur discipline, indispensables pour la réalisation de ce parcours.</w:t>
      </w:r>
    </w:p>
    <w:p>
      <w:pPr>
        <w:pStyle w:val="BodyText"/>
        <w:rPr>
          <w:sz w:val="28"/>
        </w:rPr>
      </w:pPr>
    </w:p>
    <w:p>
      <w:pPr>
        <w:pStyle w:val="Heading4"/>
        <w:ind w:left="110"/>
      </w:pPr>
      <w:r>
        <w:rPr/>
        <w:t>A l’équipe de la Clinique Vétérinaire de l’Espoir,</w:t>
      </w:r>
    </w:p>
    <w:p>
      <w:pPr>
        <w:pStyle w:val="BodyText"/>
        <w:spacing w:line="276" w:lineRule="auto" w:before="38"/>
        <w:ind w:left="111" w:right="110"/>
        <w:jc w:val="center"/>
      </w:pPr>
      <w:r>
        <w:rPr/>
        <w:t>Pour m’avoir accompagnée dans mes débuts de vétérinaire assistant, pour leur confiance, leur bonne humeur et leurs explications.</w:t>
      </w:r>
    </w:p>
    <w:p>
      <w:pPr>
        <w:pStyle w:val="BodyText"/>
        <w:spacing w:before="3"/>
      </w:pPr>
    </w:p>
    <w:p>
      <w:pPr>
        <w:pStyle w:val="Heading4"/>
        <w:spacing w:line="274" w:lineRule="exact"/>
      </w:pPr>
      <w:r>
        <w:rPr/>
        <w:t>Aux rencontres de voyage,</w:t>
      </w:r>
    </w:p>
    <w:p>
      <w:pPr>
        <w:pStyle w:val="BodyText"/>
        <w:ind w:left="206" w:right="208" w:hanging="4"/>
        <w:jc w:val="center"/>
      </w:pPr>
      <w:r>
        <w:rPr/>
        <w:t>Petites et grandes, qui m'ont fait grandir et cultiver le goût de l'aventure et de la découverte. A Katie, aux copains du Canada, aux membres de l'IVSA global, aux rencontres d'Erasmus, Merci de m'avoir tendu la main et ouvert les yeux.</w:t>
      </w:r>
    </w:p>
    <w:p>
      <w:pPr>
        <w:spacing w:after="0"/>
        <w:jc w:val="center"/>
        <w:sectPr>
          <w:pgSz w:w="11910" w:h="16840"/>
          <w:pgMar w:header="0" w:footer="995" w:top="1320" w:bottom="1240" w:left="1340" w:right="1340"/>
        </w:sectPr>
      </w:pPr>
    </w:p>
    <w:p>
      <w:pPr>
        <w:pStyle w:val="BodyText"/>
        <w:spacing w:before="4"/>
        <w:rPr>
          <w:sz w:val="17"/>
        </w:rPr>
      </w:pPr>
    </w:p>
    <w:p>
      <w:pPr>
        <w:spacing w:after="0"/>
        <w:rPr>
          <w:sz w:val="17"/>
        </w:rPr>
        <w:sectPr>
          <w:pgSz w:w="11910" w:h="16840"/>
          <w:pgMar w:header="0" w:footer="995" w:top="1580" w:bottom="1180" w:left="1680" w:right="1680"/>
        </w:sectPr>
      </w:pPr>
    </w:p>
    <w:p>
      <w:pPr>
        <w:pStyle w:val="Heading1"/>
        <w:ind w:left="17"/>
        <w:rPr>
          <w:u w:val="none"/>
        </w:rPr>
      </w:pPr>
      <w:r>
        <w:rPr>
          <w:u w:val="thick"/>
        </w:rPr>
        <w:t>Table des matières</w:t>
      </w:r>
    </w:p>
    <w:p>
      <w:pPr>
        <w:spacing w:after="0"/>
        <w:sectPr>
          <w:pgSz w:w="11910" w:h="16840"/>
          <w:pgMar w:header="0" w:footer="995" w:top="1340" w:bottom="1694" w:left="1300" w:right="1320"/>
        </w:sectPr>
      </w:pPr>
    </w:p>
    <w:sdt>
      <w:sdtPr>
        <w:docPartObj>
          <w:docPartGallery w:val="Table of Contents"/>
          <w:docPartUnique/>
        </w:docPartObj>
      </w:sdtPr>
      <w:sdtEndPr/>
      <w:sdtContent>
        <w:p>
          <w:pPr>
            <w:pStyle w:val="TOC1"/>
            <w:tabs>
              <w:tab w:pos="9180" w:val="right" w:leader="dot"/>
            </w:tabs>
            <w:spacing w:before="221"/>
          </w:pPr>
          <w:hyperlink w:history="true" w:anchor="_bookmark0">
            <w:r>
              <w:rPr/>
              <w:t>Table</w:t>
            </w:r>
            <w:r>
              <w:rPr>
                <w:spacing w:val="-1"/>
              </w:rPr>
              <w:t> </w:t>
            </w:r>
            <w:r>
              <w:rPr/>
              <w:t>des</w:t>
            </w:r>
            <w:r>
              <w:rPr>
                <w:spacing w:val="-1"/>
              </w:rPr>
              <w:t> </w:t>
            </w:r>
            <w:r>
              <w:rPr/>
              <w:t>annexes</w:t>
              <w:tab/>
              <w:t>16</w:t>
            </w:r>
          </w:hyperlink>
        </w:p>
        <w:p>
          <w:pPr>
            <w:pStyle w:val="TOC1"/>
            <w:tabs>
              <w:tab w:pos="9180" w:val="right" w:leader="dot"/>
            </w:tabs>
          </w:pPr>
          <w:hyperlink w:history="true" w:anchor="_bookmark1">
            <w:r>
              <w:rPr/>
              <w:t>Table</w:t>
            </w:r>
            <w:r>
              <w:rPr>
                <w:spacing w:val="-1"/>
              </w:rPr>
              <w:t> </w:t>
            </w:r>
            <w:r>
              <w:rPr/>
              <w:t>des</w:t>
            </w:r>
            <w:r>
              <w:rPr>
                <w:spacing w:val="-1"/>
              </w:rPr>
              <w:t> </w:t>
            </w:r>
            <w:r>
              <w:rPr/>
              <w:t>figures</w:t>
              <w:tab/>
              <w:t>17</w:t>
            </w:r>
          </w:hyperlink>
        </w:p>
        <w:p>
          <w:pPr>
            <w:pStyle w:val="TOC1"/>
            <w:tabs>
              <w:tab w:pos="9180" w:val="right" w:leader="dot"/>
            </w:tabs>
          </w:pPr>
          <w:hyperlink w:history="true" w:anchor="_bookmark2">
            <w:r>
              <w:rPr/>
              <w:t>Table</w:t>
            </w:r>
            <w:r>
              <w:rPr>
                <w:spacing w:val="-1"/>
              </w:rPr>
              <w:t> </w:t>
            </w:r>
            <w:r>
              <w:rPr/>
              <w:t>des</w:t>
            </w:r>
            <w:r>
              <w:rPr>
                <w:spacing w:val="-1"/>
              </w:rPr>
              <w:t> </w:t>
            </w:r>
            <w:r>
              <w:rPr/>
              <w:t>tableaux</w:t>
              <w:tab/>
              <w:t>18</w:t>
            </w:r>
          </w:hyperlink>
        </w:p>
        <w:p>
          <w:pPr>
            <w:pStyle w:val="TOC1"/>
            <w:tabs>
              <w:tab w:pos="9180" w:val="right" w:leader="dot"/>
            </w:tabs>
          </w:pPr>
          <w:hyperlink w:history="true" w:anchor="_bookmark3">
            <w:r>
              <w:rPr/>
              <w:t>Table</w:t>
            </w:r>
            <w:r>
              <w:rPr>
                <w:spacing w:val="-1"/>
              </w:rPr>
              <w:t> </w:t>
            </w:r>
            <w:r>
              <w:rPr/>
              <w:t>des</w:t>
            </w:r>
            <w:r>
              <w:rPr>
                <w:spacing w:val="-1"/>
              </w:rPr>
              <w:t> </w:t>
            </w:r>
            <w:r>
              <w:rPr/>
              <w:t>abréviations</w:t>
              <w:tab/>
              <w:t>19</w:t>
            </w:r>
          </w:hyperlink>
        </w:p>
        <w:p>
          <w:pPr>
            <w:pStyle w:val="TOC1"/>
            <w:tabs>
              <w:tab w:pos="9180" w:val="right" w:leader="dot"/>
            </w:tabs>
            <w:spacing w:before="600"/>
          </w:pPr>
          <w:hyperlink w:history="true" w:anchor="_bookmark4">
            <w:r>
              <w:rPr/>
              <w:t>INTRODUCTION</w:t>
              <w:tab/>
              <w:t>21</w:t>
            </w:r>
          </w:hyperlink>
        </w:p>
        <w:p>
          <w:pPr>
            <w:pStyle w:val="TOC1"/>
            <w:tabs>
              <w:tab w:pos="9180" w:val="right" w:leader="dot"/>
            </w:tabs>
            <w:spacing w:line="273" w:lineRule="auto" w:before="603"/>
            <w:ind w:right="104"/>
          </w:pPr>
          <w:hyperlink w:history="true" w:anchor="_bookmark5">
            <w:r>
              <w:rPr/>
              <w:t>Partie 1 : Le métabolisme de la cellule cancéreuse et les molécules pouvant le cibler :</w:t>
            </w:r>
          </w:hyperlink>
          <w:r>
            <w:rPr/>
            <w:t> </w:t>
          </w:r>
          <w:hyperlink w:history="true" w:anchor="_bookmark5">
            <w:r>
              <w:rPr/>
              <w:t>approche fondamentale</w:t>
              <w:tab/>
              <w:t>23</w:t>
            </w:r>
          </w:hyperlink>
        </w:p>
        <w:p>
          <w:pPr>
            <w:pStyle w:val="TOC1"/>
            <w:numPr>
              <w:ilvl w:val="0"/>
              <w:numId w:val="1"/>
            </w:numPr>
            <w:tabs>
              <w:tab w:pos="596" w:val="left" w:leader="none"/>
              <w:tab w:pos="597" w:val="left" w:leader="none"/>
              <w:tab w:pos="9180" w:val="right" w:leader="dot"/>
            </w:tabs>
            <w:spacing w:line="240" w:lineRule="auto" w:before="560" w:after="0"/>
            <w:ind w:left="596" w:right="0" w:hanging="480"/>
            <w:jc w:val="left"/>
          </w:pPr>
          <w:hyperlink w:history="true" w:anchor="_bookmark6">
            <w:r>
              <w:rPr/>
              <w:t>Rappels sur la production d’énergie dans la</w:t>
            </w:r>
            <w:r>
              <w:rPr>
                <w:spacing w:val="-5"/>
              </w:rPr>
              <w:t> </w:t>
            </w:r>
            <w:r>
              <w:rPr/>
              <w:t>cellule</w:t>
            </w:r>
            <w:r>
              <w:rPr>
                <w:spacing w:val="-1"/>
              </w:rPr>
              <w:t> </w:t>
            </w:r>
            <w:r>
              <w:rPr/>
              <w:t>saine</w:t>
              <w:tab/>
              <w:t>25</w:t>
            </w:r>
          </w:hyperlink>
        </w:p>
        <w:p>
          <w:pPr>
            <w:pStyle w:val="TOC2"/>
            <w:numPr>
              <w:ilvl w:val="1"/>
              <w:numId w:val="1"/>
            </w:numPr>
            <w:tabs>
              <w:tab w:pos="997" w:val="left" w:leader="none"/>
              <w:tab w:pos="998" w:val="left" w:leader="none"/>
              <w:tab w:pos="9180" w:val="right" w:leader="dot"/>
            </w:tabs>
            <w:spacing w:line="240" w:lineRule="auto" w:before="141" w:after="0"/>
            <w:ind w:left="997" w:right="0" w:hanging="660"/>
            <w:jc w:val="left"/>
          </w:pPr>
          <w:hyperlink w:history="true" w:anchor="_bookmark7">
            <w:r>
              <w:rPr/>
              <w:t>La glycolyse et</w:t>
            </w:r>
            <w:r>
              <w:rPr>
                <w:spacing w:val="-1"/>
              </w:rPr>
              <w:t> </w:t>
            </w:r>
            <w:r>
              <w:rPr/>
              <w:t>la</w:t>
            </w:r>
            <w:r>
              <w:rPr>
                <w:spacing w:val="-2"/>
              </w:rPr>
              <w:t> </w:t>
            </w:r>
            <w:r>
              <w:rPr/>
              <w:t>néoglucogenèse</w:t>
              <w:tab/>
              <w:t>25</w:t>
            </w:r>
          </w:hyperlink>
        </w:p>
        <w:p>
          <w:pPr>
            <w:pStyle w:val="TOC2"/>
            <w:numPr>
              <w:ilvl w:val="1"/>
              <w:numId w:val="1"/>
            </w:numPr>
            <w:tabs>
              <w:tab w:pos="997" w:val="left" w:leader="none"/>
              <w:tab w:pos="998" w:val="left" w:leader="none"/>
              <w:tab w:pos="9180" w:val="right" w:leader="dot"/>
            </w:tabs>
            <w:spacing w:line="240" w:lineRule="auto" w:before="141" w:after="0"/>
            <w:ind w:left="997" w:right="0" w:hanging="660"/>
            <w:jc w:val="left"/>
          </w:pPr>
          <w:hyperlink w:history="true" w:anchor="_bookmark9">
            <w:r>
              <w:rPr/>
              <w:t>Le cycle de Krebs et la</w:t>
            </w:r>
            <w:r>
              <w:rPr>
                <w:spacing w:val="-3"/>
              </w:rPr>
              <w:t> </w:t>
            </w:r>
            <w:r>
              <w:rPr/>
              <w:t>phosphorylation</w:t>
            </w:r>
            <w:r>
              <w:rPr>
                <w:spacing w:val="-1"/>
              </w:rPr>
              <w:t> </w:t>
            </w:r>
            <w:r>
              <w:rPr/>
              <w:t>oxydative</w:t>
              <w:tab/>
              <w:t>27</w:t>
            </w:r>
          </w:hyperlink>
        </w:p>
        <w:p>
          <w:pPr>
            <w:pStyle w:val="TOC3"/>
            <w:numPr>
              <w:ilvl w:val="2"/>
              <w:numId w:val="1"/>
            </w:numPr>
            <w:tabs>
              <w:tab w:pos="1215" w:val="left" w:leader="none"/>
              <w:tab w:pos="1216" w:val="left" w:leader="none"/>
              <w:tab w:pos="9180" w:val="right" w:leader="dot"/>
            </w:tabs>
            <w:spacing w:line="240" w:lineRule="auto" w:before="141" w:after="0"/>
            <w:ind w:left="1215" w:right="0" w:hanging="619"/>
            <w:jc w:val="left"/>
          </w:pPr>
          <w:hyperlink w:history="true" w:anchor="_bookmark10">
            <w:r>
              <w:rPr/>
              <w:t>Le cycle de</w:t>
            </w:r>
            <w:r>
              <w:rPr>
                <w:spacing w:val="-2"/>
              </w:rPr>
              <w:t> </w:t>
            </w:r>
            <w:r>
              <w:rPr/>
              <w:t>Krebs</w:t>
              <w:tab/>
              <w:t>27</w:t>
            </w:r>
          </w:hyperlink>
        </w:p>
        <w:p>
          <w:pPr>
            <w:pStyle w:val="TOC3"/>
            <w:numPr>
              <w:ilvl w:val="2"/>
              <w:numId w:val="1"/>
            </w:numPr>
            <w:tabs>
              <w:tab w:pos="1215" w:val="left" w:leader="none"/>
              <w:tab w:pos="1216" w:val="left" w:leader="none"/>
              <w:tab w:pos="9180" w:val="right" w:leader="dot"/>
            </w:tabs>
            <w:spacing w:line="240" w:lineRule="auto" w:before="142" w:after="0"/>
            <w:ind w:left="1215" w:right="0" w:hanging="619"/>
            <w:jc w:val="left"/>
          </w:pPr>
          <w:hyperlink w:history="true" w:anchor="_bookmark12">
            <w:r>
              <w:rPr/>
              <w:t>La phosphorylation</w:t>
            </w:r>
            <w:r>
              <w:rPr>
                <w:spacing w:val="-2"/>
              </w:rPr>
              <w:t> </w:t>
            </w:r>
            <w:r>
              <w:rPr/>
              <w:t>oxydative</w:t>
            </w:r>
            <w:r>
              <w:rPr>
                <w:spacing w:val="-2"/>
              </w:rPr>
              <w:t> </w:t>
            </w:r>
            <w:r>
              <w:rPr/>
              <w:t>(OxPhos)</w:t>
              <w:tab/>
              <w:t>28</w:t>
            </w:r>
          </w:hyperlink>
        </w:p>
        <w:p>
          <w:pPr>
            <w:pStyle w:val="TOC2"/>
            <w:numPr>
              <w:ilvl w:val="1"/>
              <w:numId w:val="1"/>
            </w:numPr>
            <w:tabs>
              <w:tab w:pos="997" w:val="left" w:leader="none"/>
              <w:tab w:pos="998" w:val="left" w:leader="none"/>
              <w:tab w:pos="9180" w:val="right" w:leader="dot"/>
            </w:tabs>
            <w:spacing w:line="240" w:lineRule="auto" w:before="141" w:after="0"/>
            <w:ind w:left="997" w:right="0" w:hanging="660"/>
            <w:jc w:val="left"/>
          </w:pPr>
          <w:hyperlink w:history="true" w:anchor="_bookmark14">
            <w:r>
              <w:rPr/>
              <w:t>Les navettes glycérol-phosphate</w:t>
            </w:r>
            <w:r>
              <w:rPr>
                <w:spacing w:val="0"/>
              </w:rPr>
              <w:t> </w:t>
            </w:r>
            <w:r>
              <w:rPr/>
              <w:t>et</w:t>
            </w:r>
            <w:r>
              <w:rPr>
                <w:spacing w:val="-1"/>
              </w:rPr>
              <w:t> </w:t>
            </w:r>
            <w:r>
              <w:rPr/>
              <w:t>malate-aspartate</w:t>
              <w:tab/>
              <w:t>29</w:t>
            </w:r>
          </w:hyperlink>
        </w:p>
        <w:p>
          <w:pPr>
            <w:pStyle w:val="TOC2"/>
            <w:numPr>
              <w:ilvl w:val="1"/>
              <w:numId w:val="1"/>
            </w:numPr>
            <w:tabs>
              <w:tab w:pos="997" w:val="left" w:leader="none"/>
              <w:tab w:pos="998" w:val="left" w:leader="none"/>
              <w:tab w:pos="9180" w:val="right" w:leader="dot"/>
            </w:tabs>
            <w:spacing w:line="240" w:lineRule="auto" w:before="141" w:after="0"/>
            <w:ind w:left="997" w:right="0" w:hanging="660"/>
            <w:jc w:val="left"/>
          </w:pPr>
          <w:hyperlink w:history="true" w:anchor="_bookmark16">
            <w:r>
              <w:rPr/>
              <w:t>Une régulation possible de ces</w:t>
            </w:r>
            <w:r>
              <w:rPr>
                <w:spacing w:val="-3"/>
              </w:rPr>
              <w:t> </w:t>
            </w:r>
            <w:r>
              <w:rPr/>
              <w:t>voies</w:t>
            </w:r>
            <w:r>
              <w:rPr>
                <w:spacing w:val="-1"/>
              </w:rPr>
              <w:t> </w:t>
            </w:r>
            <w:r>
              <w:rPr/>
              <w:t>métaboliques</w:t>
              <w:tab/>
              <w:t>30</w:t>
            </w:r>
          </w:hyperlink>
        </w:p>
        <w:p>
          <w:pPr>
            <w:pStyle w:val="TOC2"/>
            <w:numPr>
              <w:ilvl w:val="1"/>
              <w:numId w:val="1"/>
            </w:numPr>
            <w:tabs>
              <w:tab w:pos="999" w:val="left" w:leader="none"/>
              <w:tab w:pos="1000" w:val="left" w:leader="none"/>
              <w:tab w:pos="9180" w:val="right" w:leader="dot"/>
            </w:tabs>
            <w:spacing w:line="240" w:lineRule="auto" w:before="141" w:after="0"/>
            <w:ind w:left="999" w:right="0" w:hanging="662"/>
            <w:jc w:val="left"/>
          </w:pPr>
          <w:hyperlink w:history="true" w:anchor="_bookmark19">
            <w:r>
              <w:rPr/>
              <w:t>L’importance</w:t>
            </w:r>
            <w:r>
              <w:rPr>
                <w:spacing w:val="-2"/>
              </w:rPr>
              <w:t> </w:t>
            </w:r>
            <w:r>
              <w:rPr/>
              <w:t>des</w:t>
            </w:r>
            <w:r>
              <w:rPr>
                <w:spacing w:val="0"/>
              </w:rPr>
              <w:t> </w:t>
            </w:r>
            <w:r>
              <w:rPr/>
              <w:t>coenzymes</w:t>
              <w:tab/>
              <w:t>31</w:t>
            </w:r>
          </w:hyperlink>
        </w:p>
        <w:p>
          <w:pPr>
            <w:pStyle w:val="TOC2"/>
            <w:numPr>
              <w:ilvl w:val="1"/>
              <w:numId w:val="1"/>
            </w:numPr>
            <w:tabs>
              <w:tab w:pos="997" w:val="left" w:leader="none"/>
              <w:tab w:pos="998" w:val="left" w:leader="none"/>
              <w:tab w:pos="9180" w:val="right" w:leader="dot"/>
            </w:tabs>
            <w:spacing w:line="240" w:lineRule="auto" w:before="141" w:after="0"/>
            <w:ind w:left="997" w:right="0" w:hanging="660"/>
            <w:jc w:val="left"/>
          </w:pPr>
          <w:hyperlink w:history="true" w:anchor="_bookmark20">
            <w:r>
              <w:rPr/>
              <w:t>Conclusion</w:t>
            </w:r>
            <w:r>
              <w:rPr>
                <w:spacing w:val="-1"/>
              </w:rPr>
              <w:t> </w:t>
            </w:r>
            <w:r>
              <w:rPr/>
              <w:t>partielle</w:t>
              <w:tab/>
              <w:t>32</w:t>
            </w:r>
          </w:hyperlink>
        </w:p>
        <w:p>
          <w:pPr>
            <w:pStyle w:val="TOC1"/>
            <w:numPr>
              <w:ilvl w:val="0"/>
              <w:numId w:val="1"/>
            </w:numPr>
            <w:tabs>
              <w:tab w:pos="596" w:val="left" w:leader="none"/>
              <w:tab w:pos="597" w:val="left" w:leader="none"/>
              <w:tab w:pos="9180" w:val="right" w:leader="dot"/>
            </w:tabs>
            <w:spacing w:line="240" w:lineRule="auto" w:before="597" w:after="0"/>
            <w:ind w:left="596" w:right="0" w:hanging="480"/>
            <w:jc w:val="left"/>
          </w:pPr>
          <w:hyperlink w:history="true" w:anchor="_bookmark22">
            <w:r>
              <w:rPr/>
              <w:t>Spécificités du métabolisme de la</w:t>
            </w:r>
            <w:r>
              <w:rPr>
                <w:spacing w:val="-3"/>
              </w:rPr>
              <w:t> </w:t>
            </w:r>
            <w:r>
              <w:rPr/>
              <w:t>cellule</w:t>
            </w:r>
            <w:r>
              <w:rPr>
                <w:spacing w:val="-1"/>
              </w:rPr>
              <w:t> </w:t>
            </w:r>
            <w:r>
              <w:rPr/>
              <w:t>tumorale</w:t>
              <w:tab/>
              <w:t>33</w:t>
            </w:r>
          </w:hyperlink>
        </w:p>
        <w:p>
          <w:pPr>
            <w:pStyle w:val="TOC2"/>
            <w:numPr>
              <w:ilvl w:val="1"/>
              <w:numId w:val="1"/>
            </w:numPr>
            <w:tabs>
              <w:tab w:pos="997" w:val="left" w:leader="none"/>
              <w:tab w:pos="998" w:val="left" w:leader="none"/>
              <w:tab w:pos="9180" w:val="right" w:leader="dot"/>
            </w:tabs>
            <w:spacing w:line="240" w:lineRule="auto" w:before="141" w:after="0"/>
            <w:ind w:left="337" w:right="0" w:firstLine="0"/>
            <w:jc w:val="left"/>
          </w:pPr>
          <w:hyperlink w:history="true" w:anchor="_bookmark23">
            <w:r>
              <w:rPr/>
              <w:t>L’effet Warburg et son interprétation au fil</w:t>
            </w:r>
            <w:r>
              <w:rPr>
                <w:spacing w:val="-4"/>
              </w:rPr>
              <w:t> </w:t>
            </w:r>
            <w:r>
              <w:rPr/>
              <w:t>des</w:t>
            </w:r>
            <w:r>
              <w:rPr>
                <w:spacing w:val="-2"/>
              </w:rPr>
              <w:t> </w:t>
            </w:r>
            <w:r>
              <w:rPr/>
              <w:t>années</w:t>
              <w:tab/>
              <w:t>33</w:t>
            </w:r>
          </w:hyperlink>
        </w:p>
        <w:p>
          <w:pPr>
            <w:pStyle w:val="TOC2"/>
            <w:numPr>
              <w:ilvl w:val="1"/>
              <w:numId w:val="1"/>
            </w:numPr>
            <w:tabs>
              <w:tab w:pos="997" w:val="left" w:leader="none"/>
              <w:tab w:pos="998" w:val="left" w:leader="none"/>
              <w:tab w:pos="9180" w:val="right" w:leader="dot"/>
            </w:tabs>
            <w:spacing w:line="273" w:lineRule="auto" w:before="144" w:after="0"/>
            <w:ind w:left="337" w:right="104" w:firstLine="0"/>
            <w:jc w:val="left"/>
          </w:pPr>
          <w:hyperlink w:history="true" w:anchor="_bookmark25">
            <w:r>
              <w:rPr/>
              <w:t>La prise en charge du glucose par la cellule cancéreuse, la glycolyse et la voie des</w:t>
            </w:r>
          </w:hyperlink>
          <w:hyperlink w:history="true" w:anchor="_bookmark25">
            <w:r>
              <w:rPr/>
              <w:t> pentoses</w:t>
            </w:r>
            <w:r>
              <w:rPr>
                <w:spacing w:val="-1"/>
              </w:rPr>
              <w:t> </w:t>
            </w:r>
            <w:r>
              <w:rPr/>
              <w:t>phosphates</w:t>
              <w:tab/>
              <w:t>34</w:t>
            </w:r>
          </w:hyperlink>
        </w:p>
        <w:p>
          <w:pPr>
            <w:pStyle w:val="TOC3"/>
            <w:numPr>
              <w:ilvl w:val="2"/>
              <w:numId w:val="1"/>
            </w:numPr>
            <w:tabs>
              <w:tab w:pos="1215" w:val="left" w:leader="none"/>
              <w:tab w:pos="1216" w:val="left" w:leader="none"/>
            </w:tabs>
            <w:spacing w:line="240" w:lineRule="auto" w:before="106" w:after="0"/>
            <w:ind w:left="1215" w:right="0" w:hanging="619"/>
            <w:jc w:val="left"/>
          </w:pPr>
          <w:hyperlink w:history="true" w:anchor="_bookmark26">
            <w:r>
              <w:rPr/>
              <w:t>L’entrée dans la cellule par les transporteurs du glucose (GLUT, SGLT) et</w:t>
            </w:r>
            <w:r>
              <w:rPr>
                <w:spacing w:val="-15"/>
              </w:rPr>
              <w:t> </w:t>
            </w:r>
            <w:r>
              <w:rPr/>
              <w:t>la</w:t>
            </w:r>
          </w:hyperlink>
        </w:p>
        <w:p>
          <w:pPr>
            <w:pStyle w:val="TOC3"/>
            <w:tabs>
              <w:tab w:pos="9180" w:val="right" w:leader="dot"/>
            </w:tabs>
            <w:spacing w:before="40"/>
            <w:ind w:left="596" w:firstLine="0"/>
          </w:pPr>
          <w:hyperlink w:history="true" w:anchor="_bookmark26">
            <w:r>
              <w:rPr/>
              <w:t>prise en charge par</w:t>
            </w:r>
            <w:r>
              <w:rPr>
                <w:spacing w:val="-3"/>
              </w:rPr>
              <w:t> </w:t>
            </w:r>
            <w:r>
              <w:rPr/>
              <w:t>les</w:t>
            </w:r>
            <w:r>
              <w:rPr>
                <w:spacing w:val="-1"/>
              </w:rPr>
              <w:t> </w:t>
            </w:r>
            <w:r>
              <w:rPr/>
              <w:t>hexokinases</w:t>
              <w:tab/>
              <w:t>34</w:t>
            </w:r>
          </w:hyperlink>
        </w:p>
        <w:p>
          <w:pPr>
            <w:pStyle w:val="TOC3"/>
            <w:numPr>
              <w:ilvl w:val="2"/>
              <w:numId w:val="1"/>
            </w:numPr>
            <w:tabs>
              <w:tab w:pos="1215" w:val="left" w:leader="none"/>
              <w:tab w:pos="1216" w:val="left" w:leader="none"/>
              <w:tab w:pos="9180" w:val="right" w:leader="dot"/>
            </w:tabs>
            <w:spacing w:line="240" w:lineRule="auto" w:before="138" w:after="0"/>
            <w:ind w:left="1215" w:right="0" w:hanging="619"/>
            <w:jc w:val="left"/>
          </w:pPr>
          <w:hyperlink w:history="true" w:anchor="_bookmark27">
            <w:r>
              <w:rPr/>
              <w:t>La phosphofructokinase 1 (PFK1) et</w:t>
            </w:r>
            <w:r>
              <w:rPr>
                <w:spacing w:val="-3"/>
              </w:rPr>
              <w:t> </w:t>
            </w:r>
            <w:r>
              <w:rPr/>
              <w:t>sa</w:t>
            </w:r>
            <w:r>
              <w:rPr>
                <w:spacing w:val="-2"/>
              </w:rPr>
              <w:t> </w:t>
            </w:r>
            <w:r>
              <w:rPr/>
              <w:t>régulation</w:t>
              <w:tab/>
              <w:t>35</w:t>
            </w:r>
          </w:hyperlink>
        </w:p>
        <w:p>
          <w:pPr>
            <w:pStyle w:val="TOC3"/>
            <w:numPr>
              <w:ilvl w:val="2"/>
              <w:numId w:val="1"/>
            </w:numPr>
            <w:tabs>
              <w:tab w:pos="1215" w:val="left" w:leader="none"/>
              <w:tab w:pos="1216" w:val="left" w:leader="none"/>
              <w:tab w:pos="9180" w:val="right" w:leader="dot"/>
            </w:tabs>
            <w:spacing w:line="240" w:lineRule="auto" w:before="141" w:after="0"/>
            <w:ind w:left="1215" w:right="0" w:hanging="619"/>
            <w:jc w:val="left"/>
          </w:pPr>
          <w:hyperlink w:history="true" w:anchor="_bookmark28">
            <w:r>
              <w:rPr/>
              <w:t>L’aldolase et la triose</w:t>
            </w:r>
            <w:r>
              <w:rPr>
                <w:spacing w:val="-4"/>
              </w:rPr>
              <w:t> </w:t>
            </w:r>
            <w:r>
              <w:rPr/>
              <w:t>phosphate</w:t>
            </w:r>
            <w:r>
              <w:rPr>
                <w:spacing w:val="-1"/>
              </w:rPr>
              <w:t> </w:t>
            </w:r>
            <w:r>
              <w:rPr/>
              <w:t>isomérase</w:t>
              <w:tab/>
              <w:t>35</w:t>
            </w:r>
          </w:hyperlink>
        </w:p>
        <w:p>
          <w:pPr>
            <w:pStyle w:val="TOC4"/>
            <w:numPr>
              <w:ilvl w:val="3"/>
              <w:numId w:val="1"/>
            </w:numPr>
            <w:tabs>
              <w:tab w:pos="1109" w:val="left" w:leader="none"/>
              <w:tab w:pos="1216" w:val="left" w:leader="none"/>
              <w:tab w:pos="9074" w:val="right" w:leader="dot"/>
            </w:tabs>
            <w:spacing w:line="240" w:lineRule="auto" w:before="141" w:after="0"/>
            <w:ind w:left="1215" w:right="0" w:hanging="439"/>
            <w:jc w:val="left"/>
          </w:pPr>
          <w:hyperlink w:history="true" w:anchor="_bookmark29">
            <w:r>
              <w:rPr/>
              <w:t>L’aldolase</w:t>
              <w:tab/>
              <w:t>35</w:t>
            </w:r>
          </w:hyperlink>
        </w:p>
        <w:p>
          <w:pPr>
            <w:pStyle w:val="TOC4"/>
            <w:numPr>
              <w:ilvl w:val="3"/>
              <w:numId w:val="1"/>
            </w:numPr>
            <w:tabs>
              <w:tab w:pos="1109" w:val="left" w:leader="none"/>
              <w:tab w:pos="1216" w:val="left" w:leader="none"/>
              <w:tab w:pos="9074" w:val="right" w:leader="dot"/>
            </w:tabs>
            <w:spacing w:line="240" w:lineRule="auto" w:before="138" w:after="0"/>
            <w:ind w:left="1215" w:right="0" w:hanging="439"/>
            <w:jc w:val="left"/>
          </w:pPr>
          <w:hyperlink w:history="true" w:anchor="_bookmark30">
            <w:r>
              <w:rPr/>
              <w:t>La triose phosphate</w:t>
            </w:r>
            <w:r>
              <w:rPr>
                <w:spacing w:val="-2"/>
              </w:rPr>
              <w:t> </w:t>
            </w:r>
            <w:r>
              <w:rPr/>
              <w:t>isomérase</w:t>
            </w:r>
            <w:r>
              <w:rPr>
                <w:spacing w:val="-1"/>
              </w:rPr>
              <w:t> </w:t>
            </w:r>
            <w:r>
              <w:rPr/>
              <w:t>(TPI)</w:t>
              <w:tab/>
              <w:t>36</w:t>
            </w:r>
          </w:hyperlink>
        </w:p>
        <w:p>
          <w:pPr>
            <w:pStyle w:val="TOC3"/>
            <w:numPr>
              <w:ilvl w:val="2"/>
              <w:numId w:val="1"/>
            </w:numPr>
            <w:tabs>
              <w:tab w:pos="1215" w:val="left" w:leader="none"/>
              <w:tab w:pos="1216" w:val="left" w:leader="none"/>
              <w:tab w:pos="9180" w:val="right" w:leader="dot"/>
            </w:tabs>
            <w:spacing w:line="240" w:lineRule="auto" w:before="139" w:after="0"/>
            <w:ind w:left="1215" w:right="0" w:hanging="619"/>
            <w:jc w:val="left"/>
          </w:pPr>
          <w:hyperlink w:history="true" w:anchor="_bookmark31">
            <w:r>
              <w:rPr/>
              <w:t>La glycéraldéhyde 3-phosphate</w:t>
            </w:r>
            <w:r>
              <w:rPr>
                <w:spacing w:val="-1"/>
              </w:rPr>
              <w:t> </w:t>
            </w:r>
            <w:r>
              <w:rPr/>
              <w:t>déshydrogénase (GAPDH)</w:t>
              <w:tab/>
              <w:t>36</w:t>
            </w:r>
          </w:hyperlink>
        </w:p>
        <w:p>
          <w:pPr>
            <w:pStyle w:val="TOC3"/>
            <w:numPr>
              <w:ilvl w:val="2"/>
              <w:numId w:val="1"/>
            </w:numPr>
            <w:tabs>
              <w:tab w:pos="1215" w:val="left" w:leader="none"/>
              <w:tab w:pos="1216" w:val="left" w:leader="none"/>
              <w:tab w:pos="9180" w:val="right" w:leader="dot"/>
            </w:tabs>
            <w:spacing w:line="240" w:lineRule="auto" w:before="141" w:after="20"/>
            <w:ind w:left="1215" w:right="0" w:hanging="619"/>
            <w:jc w:val="left"/>
          </w:pPr>
          <w:hyperlink w:history="true" w:anchor="_bookmark32">
            <w:r>
              <w:rPr/>
              <w:t>La phosphoglycérate</w:t>
            </w:r>
            <w:r>
              <w:rPr>
                <w:spacing w:val="-2"/>
              </w:rPr>
              <w:t> </w:t>
            </w:r>
            <w:r>
              <w:rPr/>
              <w:t>mutase</w:t>
            </w:r>
            <w:r>
              <w:rPr>
                <w:spacing w:val="-3"/>
              </w:rPr>
              <w:t> </w:t>
            </w:r>
            <w:r>
              <w:rPr/>
              <w:t>(PGM1)</w:t>
              <w:tab/>
              <w:t>36</w:t>
            </w:r>
          </w:hyperlink>
        </w:p>
        <w:p>
          <w:pPr>
            <w:pStyle w:val="TOC3"/>
            <w:numPr>
              <w:ilvl w:val="2"/>
              <w:numId w:val="1"/>
            </w:numPr>
            <w:tabs>
              <w:tab w:pos="1109" w:val="left" w:leader="none"/>
              <w:tab w:pos="1216" w:val="left" w:leader="none"/>
              <w:tab w:pos="9074" w:val="right" w:leader="dot"/>
            </w:tabs>
            <w:spacing w:line="240" w:lineRule="auto" w:before="70" w:after="0"/>
            <w:ind w:left="1215" w:right="0" w:hanging="619"/>
            <w:jc w:val="left"/>
          </w:pPr>
          <w:hyperlink w:history="true" w:anchor="_bookmark33">
            <w:r>
              <w:rPr/>
              <w:t>La pyruvate</w:t>
            </w:r>
            <w:r>
              <w:rPr>
                <w:spacing w:val="-2"/>
              </w:rPr>
              <w:t> </w:t>
            </w:r>
            <w:r>
              <w:rPr/>
              <w:t>kinase</w:t>
            </w:r>
            <w:r>
              <w:rPr>
                <w:spacing w:val="-2"/>
              </w:rPr>
              <w:t> </w:t>
            </w:r>
            <w:r>
              <w:rPr/>
              <w:t>(PK)</w:t>
              <w:tab/>
              <w:t>36</w:t>
            </w:r>
          </w:hyperlink>
        </w:p>
        <w:p>
          <w:pPr>
            <w:pStyle w:val="TOC3"/>
            <w:numPr>
              <w:ilvl w:val="2"/>
              <w:numId w:val="1"/>
            </w:numPr>
            <w:tabs>
              <w:tab w:pos="1215" w:val="left" w:leader="none"/>
              <w:tab w:pos="1216" w:val="left" w:leader="none"/>
              <w:tab w:pos="9180" w:val="right" w:leader="dot"/>
            </w:tabs>
            <w:spacing w:line="240" w:lineRule="auto" w:before="141" w:after="0"/>
            <w:ind w:left="1215" w:right="0" w:hanging="619"/>
            <w:jc w:val="left"/>
          </w:pPr>
          <w:hyperlink w:history="true" w:anchor="_bookmark35">
            <w:r>
              <w:rPr/>
              <w:t>La transcétolase, une enzyme clef de la voie des</w:t>
            </w:r>
            <w:r>
              <w:rPr>
                <w:spacing w:val="-6"/>
              </w:rPr>
              <w:t> </w:t>
            </w:r>
            <w:r>
              <w:rPr/>
              <w:t>pentoses</w:t>
            </w:r>
            <w:r>
              <w:rPr>
                <w:spacing w:val="-1"/>
              </w:rPr>
              <w:t> </w:t>
            </w:r>
            <w:r>
              <w:rPr/>
              <w:t>phosphates</w:t>
              <w:tab/>
              <w:t>38</w:t>
            </w:r>
          </w:hyperlink>
        </w:p>
        <w:p>
          <w:pPr>
            <w:pStyle w:val="TOC2"/>
            <w:numPr>
              <w:ilvl w:val="1"/>
              <w:numId w:val="1"/>
            </w:numPr>
            <w:tabs>
              <w:tab w:pos="997" w:val="left" w:leader="none"/>
              <w:tab w:pos="998" w:val="left" w:leader="none"/>
              <w:tab w:pos="9180" w:val="right" w:leader="dot"/>
            </w:tabs>
            <w:spacing w:line="240" w:lineRule="auto" w:before="141" w:after="0"/>
            <w:ind w:left="337" w:right="0" w:firstLine="0"/>
            <w:jc w:val="left"/>
          </w:pPr>
          <w:hyperlink w:history="true" w:anchor="_bookmark36">
            <w:r>
              <w:rPr/>
              <w:t>Un cycle de Krebs au fonctionnement</w:t>
            </w:r>
            <w:r>
              <w:rPr>
                <w:spacing w:val="-1"/>
              </w:rPr>
              <w:t> </w:t>
            </w:r>
            <w:r>
              <w:rPr/>
              <w:t>modifié</w:t>
              <w:tab/>
              <w:t>38</w:t>
            </w:r>
          </w:hyperlink>
        </w:p>
        <w:p>
          <w:pPr>
            <w:pStyle w:val="TOC3"/>
            <w:numPr>
              <w:ilvl w:val="2"/>
              <w:numId w:val="1"/>
            </w:numPr>
            <w:tabs>
              <w:tab w:pos="1109" w:val="left" w:leader="none"/>
              <w:tab w:pos="1216" w:val="left" w:leader="none"/>
              <w:tab w:pos="9074" w:val="right" w:leader="dot"/>
            </w:tabs>
            <w:spacing w:line="240" w:lineRule="auto" w:before="141" w:after="0"/>
            <w:ind w:left="1215" w:right="0" w:hanging="619"/>
            <w:jc w:val="left"/>
          </w:pPr>
          <w:hyperlink w:history="true" w:anchor="_bookmark37">
            <w:r>
              <w:rPr/>
              <w:t>L’altération des enzymes du cycle</w:t>
            </w:r>
            <w:r>
              <w:rPr>
                <w:spacing w:val="2"/>
              </w:rPr>
              <w:t> </w:t>
            </w:r>
            <w:r>
              <w:rPr/>
              <w:t>de Krebs</w:t>
              <w:tab/>
              <w:t>38</w:t>
            </w:r>
          </w:hyperlink>
        </w:p>
        <w:p>
          <w:pPr>
            <w:pStyle w:val="TOC4"/>
            <w:numPr>
              <w:ilvl w:val="3"/>
              <w:numId w:val="1"/>
            </w:numPr>
            <w:tabs>
              <w:tab w:pos="1109" w:val="left" w:leader="none"/>
              <w:tab w:pos="1216" w:val="left" w:leader="none"/>
              <w:tab w:pos="9074" w:val="right" w:leader="dot"/>
            </w:tabs>
            <w:spacing w:line="240" w:lineRule="auto" w:before="140" w:after="0"/>
            <w:ind w:left="1215" w:right="0" w:hanging="439"/>
            <w:jc w:val="left"/>
          </w:pPr>
          <w:hyperlink w:history="true" w:anchor="_bookmark38">
            <w:r>
              <w:rPr/>
              <w:t>La</w:t>
            </w:r>
            <w:r>
              <w:rPr>
                <w:spacing w:val="-1"/>
              </w:rPr>
              <w:t> </w:t>
            </w:r>
            <w:r>
              <w:rPr/>
              <w:t>citrate</w:t>
            </w:r>
            <w:r>
              <w:rPr>
                <w:spacing w:val="-2"/>
              </w:rPr>
              <w:t> </w:t>
            </w:r>
            <w:r>
              <w:rPr/>
              <w:t>synthase</w:t>
              <w:tab/>
              <w:t>38</w:t>
            </w:r>
          </w:hyperlink>
        </w:p>
        <w:p>
          <w:pPr>
            <w:pStyle w:val="TOC4"/>
            <w:numPr>
              <w:ilvl w:val="3"/>
              <w:numId w:val="1"/>
            </w:numPr>
            <w:tabs>
              <w:tab w:pos="1109" w:val="left" w:leader="none"/>
              <w:tab w:pos="1216" w:val="left" w:leader="none"/>
              <w:tab w:pos="9074" w:val="right" w:leader="dot"/>
            </w:tabs>
            <w:spacing w:line="240" w:lineRule="auto" w:before="138" w:after="0"/>
            <w:ind w:left="1215" w:right="0" w:hanging="439"/>
            <w:jc w:val="left"/>
          </w:pPr>
          <w:hyperlink w:history="true" w:anchor="_bookmark39">
            <w:r>
              <w:rPr/>
              <w:t>L’isocitrate</w:t>
            </w:r>
            <w:r>
              <w:rPr>
                <w:spacing w:val="-3"/>
              </w:rPr>
              <w:t> </w:t>
            </w:r>
            <w:r>
              <w:rPr/>
              <w:t>déshydrogénase</w:t>
            </w:r>
            <w:r>
              <w:rPr>
                <w:spacing w:val="-1"/>
              </w:rPr>
              <w:t> </w:t>
            </w:r>
            <w:r>
              <w:rPr/>
              <w:t>(IDH)</w:t>
              <w:tab/>
              <w:t>38</w:t>
            </w:r>
          </w:hyperlink>
        </w:p>
        <w:p>
          <w:pPr>
            <w:pStyle w:val="TOC4"/>
            <w:numPr>
              <w:ilvl w:val="3"/>
              <w:numId w:val="1"/>
            </w:numPr>
            <w:tabs>
              <w:tab w:pos="1216" w:val="left" w:leader="none"/>
              <w:tab w:pos="9074" w:val="right" w:leader="dot"/>
            </w:tabs>
            <w:spacing w:line="240" w:lineRule="auto" w:before="138" w:after="0"/>
            <w:ind w:left="1215" w:right="0" w:hanging="439"/>
            <w:jc w:val="left"/>
          </w:pPr>
          <w:hyperlink w:history="true" w:anchor="_bookmark40">
            <w:r>
              <w:rPr/>
              <w:t>La succinate</w:t>
            </w:r>
            <w:r>
              <w:rPr>
                <w:spacing w:val="-3"/>
              </w:rPr>
              <w:t> </w:t>
            </w:r>
            <w:r>
              <w:rPr/>
              <w:t>déshydrogénase</w:t>
            </w:r>
            <w:r>
              <w:rPr>
                <w:spacing w:val="-1"/>
              </w:rPr>
              <w:t> </w:t>
            </w:r>
            <w:r>
              <w:rPr/>
              <w:t>(SDH)</w:t>
              <w:tab/>
              <w:t>38</w:t>
            </w:r>
          </w:hyperlink>
        </w:p>
        <w:p>
          <w:pPr>
            <w:pStyle w:val="TOC4"/>
            <w:numPr>
              <w:ilvl w:val="3"/>
              <w:numId w:val="1"/>
            </w:numPr>
            <w:tabs>
              <w:tab w:pos="1109" w:val="left" w:leader="none"/>
              <w:tab w:pos="1216" w:val="left" w:leader="none"/>
              <w:tab w:pos="9074" w:val="right" w:leader="dot"/>
            </w:tabs>
            <w:spacing w:line="240" w:lineRule="auto" w:before="138" w:after="0"/>
            <w:ind w:left="1215" w:right="0" w:hanging="439"/>
            <w:jc w:val="left"/>
          </w:pPr>
          <w:hyperlink w:history="true" w:anchor="_bookmark41">
            <w:r>
              <w:rPr/>
              <w:t>La fumarate</w:t>
            </w:r>
            <w:r>
              <w:rPr>
                <w:spacing w:val="-1"/>
              </w:rPr>
              <w:t> </w:t>
            </w:r>
            <w:r>
              <w:rPr/>
              <w:t>hydratase</w:t>
            </w:r>
            <w:r>
              <w:rPr>
                <w:spacing w:val="-3"/>
              </w:rPr>
              <w:t> </w:t>
            </w:r>
            <w:r>
              <w:rPr/>
              <w:t>(FH)</w:t>
              <w:tab/>
              <w:t>39</w:t>
            </w:r>
          </w:hyperlink>
        </w:p>
        <w:p>
          <w:pPr>
            <w:pStyle w:val="TOC3"/>
            <w:numPr>
              <w:ilvl w:val="2"/>
              <w:numId w:val="1"/>
            </w:numPr>
            <w:tabs>
              <w:tab w:pos="1109" w:val="left" w:leader="none"/>
              <w:tab w:pos="1216" w:val="left" w:leader="none"/>
              <w:tab w:pos="9074" w:val="right" w:leader="dot"/>
            </w:tabs>
            <w:spacing w:line="240" w:lineRule="auto" w:before="139" w:after="0"/>
            <w:ind w:left="1215" w:right="0" w:hanging="619"/>
            <w:jc w:val="left"/>
          </w:pPr>
          <w:hyperlink w:history="true" w:anchor="_bookmark42">
            <w:r>
              <w:rPr/>
              <w:t>L’importance de la glutamine et de</w:t>
            </w:r>
            <w:r>
              <w:rPr>
                <w:spacing w:val="-4"/>
              </w:rPr>
              <w:t> </w:t>
            </w:r>
            <w:r>
              <w:rPr/>
              <w:t>la glutaminolyse</w:t>
              <w:tab/>
              <w:t>39</w:t>
            </w:r>
          </w:hyperlink>
        </w:p>
        <w:p>
          <w:pPr>
            <w:pStyle w:val="TOC4"/>
            <w:numPr>
              <w:ilvl w:val="3"/>
              <w:numId w:val="1"/>
            </w:numPr>
            <w:tabs>
              <w:tab w:pos="1109" w:val="left" w:leader="none"/>
              <w:tab w:pos="1216" w:val="left" w:leader="none"/>
              <w:tab w:pos="9074" w:val="right" w:leader="dot"/>
            </w:tabs>
            <w:spacing w:line="240" w:lineRule="auto" w:before="138" w:after="0"/>
            <w:ind w:left="1215" w:right="0" w:hanging="439"/>
            <w:jc w:val="left"/>
          </w:pPr>
          <w:hyperlink w:history="true" w:anchor="_bookmark43">
            <w:r>
              <w:rPr/>
              <w:t>La</w:t>
            </w:r>
            <w:r>
              <w:rPr>
                <w:spacing w:val="-1"/>
              </w:rPr>
              <w:t> </w:t>
            </w:r>
            <w:r>
              <w:rPr/>
              <w:t>glutaminolyse</w:t>
              <w:tab/>
              <w:t>39</w:t>
            </w:r>
          </w:hyperlink>
        </w:p>
        <w:p>
          <w:pPr>
            <w:pStyle w:val="TOC4"/>
            <w:numPr>
              <w:ilvl w:val="3"/>
              <w:numId w:val="1"/>
            </w:numPr>
            <w:tabs>
              <w:tab w:pos="1109" w:val="left" w:leader="none"/>
              <w:tab w:pos="1216" w:val="left" w:leader="none"/>
              <w:tab w:pos="9074" w:val="right" w:leader="dot"/>
            </w:tabs>
            <w:spacing w:line="240" w:lineRule="auto" w:before="138" w:after="0"/>
            <w:ind w:left="1215" w:right="0" w:hanging="439"/>
            <w:jc w:val="left"/>
          </w:pPr>
          <w:hyperlink w:history="true" w:anchor="_bookmark46">
            <w:r>
              <w:rPr/>
              <w:t>Un possible fonctionnement inverse du cycle</w:t>
            </w:r>
            <w:r>
              <w:rPr>
                <w:spacing w:val="-4"/>
              </w:rPr>
              <w:t> </w:t>
            </w:r>
            <w:r>
              <w:rPr/>
              <w:t>de</w:t>
            </w:r>
            <w:r>
              <w:rPr>
                <w:spacing w:val="-1"/>
              </w:rPr>
              <w:t> </w:t>
            </w:r>
            <w:r>
              <w:rPr/>
              <w:t>Krebs</w:t>
              <w:tab/>
              <w:t>41</w:t>
            </w:r>
          </w:hyperlink>
        </w:p>
        <w:p>
          <w:pPr>
            <w:pStyle w:val="TOC2"/>
            <w:numPr>
              <w:ilvl w:val="1"/>
              <w:numId w:val="1"/>
            </w:numPr>
            <w:tabs>
              <w:tab w:pos="997" w:val="left" w:leader="none"/>
              <w:tab w:pos="998" w:val="left" w:leader="none"/>
              <w:tab w:pos="9180" w:val="right" w:leader="dot"/>
            </w:tabs>
            <w:spacing w:line="240" w:lineRule="auto" w:before="138" w:after="0"/>
            <w:ind w:left="337" w:right="0" w:firstLine="0"/>
            <w:jc w:val="left"/>
          </w:pPr>
          <w:hyperlink w:history="true" w:anchor="_bookmark48">
            <w:r>
              <w:rPr/>
              <w:t>Les voies de signalisation en aval d’Akt, une « Warburg</w:t>
            </w:r>
            <w:r>
              <w:rPr>
                <w:spacing w:val="-4"/>
              </w:rPr>
              <w:t> </w:t>
            </w:r>
            <w:r>
              <w:rPr/>
              <w:t>»</w:t>
            </w:r>
            <w:r>
              <w:rPr>
                <w:spacing w:val="-7"/>
              </w:rPr>
              <w:t> </w:t>
            </w:r>
            <w:r>
              <w:rPr/>
              <w:t>kinase</w:t>
              <w:tab/>
              <w:t>42</w:t>
            </w:r>
          </w:hyperlink>
        </w:p>
        <w:p>
          <w:pPr>
            <w:pStyle w:val="TOC3"/>
            <w:numPr>
              <w:ilvl w:val="2"/>
              <w:numId w:val="1"/>
            </w:numPr>
            <w:tabs>
              <w:tab w:pos="1109" w:val="left" w:leader="none"/>
              <w:tab w:pos="1216" w:val="left" w:leader="none"/>
              <w:tab w:pos="9074" w:val="right" w:leader="dot"/>
            </w:tabs>
            <w:spacing w:line="240" w:lineRule="auto" w:before="141" w:after="0"/>
            <w:ind w:left="1215" w:right="0" w:hanging="619"/>
            <w:jc w:val="left"/>
          </w:pPr>
          <w:hyperlink w:history="true" w:anchor="_bookmark49">
            <w:r>
              <w:rPr/>
              <w:t>L’activation</w:t>
            </w:r>
            <w:r>
              <w:rPr>
                <w:spacing w:val="-1"/>
              </w:rPr>
              <w:t> </w:t>
            </w:r>
            <w:r>
              <w:rPr/>
              <w:t>de</w:t>
            </w:r>
            <w:r>
              <w:rPr>
                <w:spacing w:val="-2"/>
              </w:rPr>
              <w:t> </w:t>
            </w:r>
            <w:r>
              <w:rPr/>
              <w:t>Akt</w:t>
              <w:tab/>
              <w:t>42</w:t>
            </w:r>
          </w:hyperlink>
        </w:p>
        <w:p>
          <w:pPr>
            <w:pStyle w:val="TOC3"/>
            <w:numPr>
              <w:ilvl w:val="2"/>
              <w:numId w:val="1"/>
            </w:numPr>
            <w:tabs>
              <w:tab w:pos="1215" w:val="left" w:leader="none"/>
              <w:tab w:pos="1216" w:val="left" w:leader="none"/>
              <w:tab w:pos="9180" w:val="right" w:leader="dot"/>
            </w:tabs>
            <w:spacing w:line="240" w:lineRule="auto" w:before="141" w:after="0"/>
            <w:ind w:left="1215" w:right="0" w:hanging="619"/>
            <w:jc w:val="left"/>
          </w:pPr>
          <w:hyperlink w:history="true" w:anchor="_bookmark51">
            <w:r>
              <w:rPr/>
              <w:t>L’implication de mammalian target of</w:t>
            </w:r>
            <w:r>
              <w:rPr>
                <w:spacing w:val="-3"/>
              </w:rPr>
              <w:t> </w:t>
            </w:r>
            <w:r>
              <w:rPr/>
              <w:t>rapamycin</w:t>
            </w:r>
            <w:r>
              <w:rPr>
                <w:spacing w:val="-1"/>
              </w:rPr>
              <w:t> </w:t>
            </w:r>
            <w:r>
              <w:rPr/>
              <w:t>(mTOR)</w:t>
              <w:tab/>
              <w:t>42</w:t>
            </w:r>
          </w:hyperlink>
        </w:p>
        <w:p>
          <w:pPr>
            <w:pStyle w:val="TOC3"/>
            <w:numPr>
              <w:ilvl w:val="2"/>
              <w:numId w:val="1"/>
            </w:numPr>
            <w:tabs>
              <w:tab w:pos="1109" w:val="left" w:leader="none"/>
              <w:tab w:pos="1216" w:val="left" w:leader="none"/>
              <w:tab w:pos="9074" w:val="right" w:leader="dot"/>
            </w:tabs>
            <w:spacing w:line="240" w:lineRule="auto" w:before="141" w:after="0"/>
            <w:ind w:left="1215" w:right="0" w:hanging="619"/>
            <w:jc w:val="left"/>
          </w:pPr>
          <w:hyperlink w:history="true" w:anchor="_bookmark54">
            <w:r>
              <w:rPr/>
              <w:t>Le facteur HIF-1 (Hypoxia</w:t>
            </w:r>
            <w:r>
              <w:rPr>
                <w:spacing w:val="0"/>
              </w:rPr>
              <w:t> </w:t>
            </w:r>
            <w:r>
              <w:rPr/>
              <w:t>Inducible</w:t>
            </w:r>
            <w:r>
              <w:rPr>
                <w:spacing w:val="-2"/>
              </w:rPr>
              <w:t> </w:t>
            </w:r>
            <w:r>
              <w:rPr/>
              <w:t>Factor-1)</w:t>
              <w:tab/>
              <w:t>44</w:t>
            </w:r>
          </w:hyperlink>
        </w:p>
        <w:p>
          <w:pPr>
            <w:pStyle w:val="TOC2"/>
            <w:numPr>
              <w:ilvl w:val="1"/>
              <w:numId w:val="1"/>
            </w:numPr>
            <w:tabs>
              <w:tab w:pos="999" w:val="left" w:leader="none"/>
              <w:tab w:pos="1000" w:val="left" w:leader="none"/>
              <w:tab w:pos="9180" w:val="right" w:leader="dot"/>
            </w:tabs>
            <w:spacing w:line="240" w:lineRule="auto" w:before="141" w:after="0"/>
            <w:ind w:left="999" w:right="0" w:hanging="662"/>
            <w:jc w:val="left"/>
          </w:pPr>
          <w:hyperlink w:history="true" w:anchor="_bookmark57">
            <w:r>
              <w:rPr/>
              <w:t>L’importance de l’acide lactique et d’un microenvironnement</w:t>
            </w:r>
            <w:r>
              <w:rPr>
                <w:spacing w:val="-8"/>
              </w:rPr>
              <w:t> </w:t>
            </w:r>
            <w:r>
              <w:rPr/>
              <w:t>tumoral</w:t>
            </w:r>
            <w:r>
              <w:rPr>
                <w:spacing w:val="-1"/>
              </w:rPr>
              <w:t> </w:t>
            </w:r>
            <w:r>
              <w:rPr/>
              <w:t>acide</w:t>
              <w:tab/>
              <w:t>47</w:t>
            </w:r>
          </w:hyperlink>
        </w:p>
        <w:p>
          <w:pPr>
            <w:pStyle w:val="TOC3"/>
            <w:numPr>
              <w:ilvl w:val="2"/>
              <w:numId w:val="1"/>
            </w:numPr>
            <w:tabs>
              <w:tab w:pos="1215" w:val="left" w:leader="none"/>
              <w:tab w:pos="1216" w:val="left" w:leader="none"/>
              <w:tab w:pos="9180" w:val="right" w:leader="dot"/>
            </w:tabs>
            <w:spacing w:line="240" w:lineRule="auto" w:before="141" w:after="0"/>
            <w:ind w:left="1215" w:right="0" w:hanging="619"/>
            <w:jc w:val="left"/>
          </w:pPr>
          <w:hyperlink w:history="true" w:anchor="_bookmark58">
            <w:r>
              <w:rPr/>
              <w:t>La production de l’acide lactique, essentiel à la</w:t>
            </w:r>
            <w:r>
              <w:rPr>
                <w:spacing w:val="-7"/>
              </w:rPr>
              <w:t> </w:t>
            </w:r>
            <w:r>
              <w:rPr/>
              <w:t>survie</w:t>
            </w:r>
            <w:r>
              <w:rPr>
                <w:spacing w:val="-3"/>
              </w:rPr>
              <w:t> </w:t>
            </w:r>
            <w:r>
              <w:rPr/>
              <w:t>tumorale</w:t>
              <w:tab/>
              <w:t>47</w:t>
            </w:r>
          </w:hyperlink>
        </w:p>
        <w:p>
          <w:pPr>
            <w:pStyle w:val="TOC4"/>
            <w:numPr>
              <w:ilvl w:val="3"/>
              <w:numId w:val="1"/>
            </w:numPr>
            <w:tabs>
              <w:tab w:pos="1215" w:val="left" w:leader="none"/>
              <w:tab w:pos="1216" w:val="left" w:leader="none"/>
              <w:tab w:pos="9180" w:val="right" w:leader="dot"/>
            </w:tabs>
            <w:spacing w:line="240" w:lineRule="auto" w:before="140" w:after="0"/>
            <w:ind w:left="1215" w:right="0" w:hanging="439"/>
            <w:jc w:val="left"/>
          </w:pPr>
          <w:hyperlink w:history="true" w:anchor="_bookmark59">
            <w:r>
              <w:rPr/>
              <w:t>La lactate déshydrogénase et les transporteurs</w:t>
            </w:r>
            <w:r>
              <w:rPr>
                <w:spacing w:val="-6"/>
              </w:rPr>
              <w:t> </w:t>
            </w:r>
            <w:r>
              <w:rPr/>
              <w:t>des</w:t>
            </w:r>
            <w:r>
              <w:rPr>
                <w:spacing w:val="-3"/>
              </w:rPr>
              <w:t> </w:t>
            </w:r>
            <w:r>
              <w:rPr/>
              <w:t>monocarboxylates</w:t>
              <w:tab/>
              <w:t>47</w:t>
            </w:r>
          </w:hyperlink>
        </w:p>
        <w:p>
          <w:pPr>
            <w:pStyle w:val="TOC4"/>
            <w:numPr>
              <w:ilvl w:val="3"/>
              <w:numId w:val="1"/>
            </w:numPr>
            <w:tabs>
              <w:tab w:pos="1109" w:val="left" w:leader="none"/>
              <w:tab w:pos="1216" w:val="left" w:leader="none"/>
              <w:tab w:pos="9074" w:val="right" w:leader="dot"/>
            </w:tabs>
            <w:spacing w:line="240" w:lineRule="auto" w:before="137" w:after="0"/>
            <w:ind w:left="1215" w:right="0" w:hanging="439"/>
            <w:jc w:val="left"/>
          </w:pPr>
          <w:hyperlink w:history="true" w:anchor="_bookmark62">
            <w:r>
              <w:rPr/>
              <w:t>Le rôle de</w:t>
            </w:r>
            <w:r>
              <w:rPr>
                <w:spacing w:val="-3"/>
              </w:rPr>
              <w:t> </w:t>
            </w:r>
            <w:r>
              <w:rPr/>
              <w:t>l’ATP-citrate</w:t>
            </w:r>
            <w:r>
              <w:rPr>
                <w:spacing w:val="-1"/>
              </w:rPr>
              <w:t> </w:t>
            </w:r>
            <w:r>
              <w:rPr/>
              <w:t>lyase</w:t>
              <w:tab/>
              <w:t>48</w:t>
            </w:r>
          </w:hyperlink>
        </w:p>
        <w:p>
          <w:pPr>
            <w:pStyle w:val="TOC3"/>
            <w:numPr>
              <w:ilvl w:val="2"/>
              <w:numId w:val="1"/>
            </w:numPr>
            <w:tabs>
              <w:tab w:pos="1109" w:val="left" w:leader="none"/>
              <w:tab w:pos="1216" w:val="left" w:leader="none"/>
              <w:tab w:pos="9074" w:val="right" w:leader="dot"/>
            </w:tabs>
            <w:spacing w:line="240" w:lineRule="auto" w:before="136" w:after="0"/>
            <w:ind w:left="1215" w:right="0" w:hanging="619"/>
            <w:jc w:val="left"/>
          </w:pPr>
          <w:hyperlink w:history="true" w:anchor="_bookmark64">
            <w:r>
              <w:rPr/>
              <w:t>L’importance des efflux</w:t>
            </w:r>
            <w:r>
              <w:rPr>
                <w:spacing w:val="-4"/>
              </w:rPr>
              <w:t> </w:t>
            </w:r>
            <w:r>
              <w:rPr/>
              <w:t>de</w:t>
            </w:r>
            <w:r>
              <w:rPr>
                <w:spacing w:val="-2"/>
              </w:rPr>
              <w:t> </w:t>
            </w:r>
            <w:r>
              <w:rPr/>
              <w:t>protons</w:t>
              <w:tab/>
              <w:t>49</w:t>
            </w:r>
          </w:hyperlink>
        </w:p>
        <w:p>
          <w:pPr>
            <w:pStyle w:val="TOC4"/>
            <w:numPr>
              <w:ilvl w:val="3"/>
              <w:numId w:val="1"/>
            </w:numPr>
            <w:tabs>
              <w:tab w:pos="1109" w:val="left" w:leader="none"/>
              <w:tab w:pos="1216" w:val="left" w:leader="none"/>
              <w:tab w:pos="9074" w:val="right" w:leader="dot"/>
            </w:tabs>
            <w:spacing w:line="240" w:lineRule="auto" w:before="141" w:after="0"/>
            <w:ind w:left="1215" w:right="0" w:hanging="439"/>
            <w:jc w:val="left"/>
          </w:pPr>
          <w:hyperlink w:history="true" w:anchor="_bookmark65">
            <w:r>
              <w:rPr/>
              <w:t>L’ATP-ase de</w:t>
            </w:r>
            <w:r>
              <w:rPr>
                <w:spacing w:val="-2"/>
              </w:rPr>
              <w:t> </w:t>
            </w:r>
            <w:r>
              <w:rPr/>
              <w:t>type V</w:t>
              <w:tab/>
              <w:t>49</w:t>
            </w:r>
          </w:hyperlink>
        </w:p>
        <w:p>
          <w:pPr>
            <w:pStyle w:val="TOC4"/>
            <w:numPr>
              <w:ilvl w:val="3"/>
              <w:numId w:val="1"/>
            </w:numPr>
            <w:tabs>
              <w:tab w:pos="1109" w:val="left" w:leader="none"/>
              <w:tab w:pos="1216" w:val="left" w:leader="none"/>
              <w:tab w:pos="9074" w:val="right" w:leader="dot"/>
            </w:tabs>
            <w:spacing w:line="240" w:lineRule="auto" w:before="138" w:after="0"/>
            <w:ind w:left="1215" w:right="0" w:hanging="439"/>
            <w:jc w:val="left"/>
          </w:pPr>
          <w:hyperlink w:history="true" w:anchor="_bookmark66">
            <w:r>
              <w:rPr/>
              <w:t>L’échangeur Na+/H+</w:t>
            </w:r>
            <w:r>
              <w:rPr>
                <w:spacing w:val="-3"/>
              </w:rPr>
              <w:t> </w:t>
            </w:r>
            <w:r>
              <w:rPr/>
              <w:t>(NHE-1)</w:t>
              <w:tab/>
              <w:t>50</w:t>
            </w:r>
          </w:hyperlink>
        </w:p>
        <w:p>
          <w:pPr>
            <w:pStyle w:val="TOC4"/>
            <w:numPr>
              <w:ilvl w:val="3"/>
              <w:numId w:val="1"/>
            </w:numPr>
            <w:tabs>
              <w:tab w:pos="1216" w:val="left" w:leader="none"/>
              <w:tab w:pos="9074" w:val="right" w:leader="dot"/>
            </w:tabs>
            <w:spacing w:line="240" w:lineRule="auto" w:before="138" w:after="0"/>
            <w:ind w:left="1215" w:right="0" w:hanging="439"/>
            <w:jc w:val="left"/>
          </w:pPr>
          <w:hyperlink w:history="true" w:anchor="_bookmark67">
            <w:r>
              <w:rPr/>
              <w:t>Les anhydrases carboniques (CA,</w:t>
            </w:r>
            <w:r>
              <w:rPr>
                <w:spacing w:val="-3"/>
              </w:rPr>
              <w:t> </w:t>
            </w:r>
            <w:r>
              <w:rPr/>
              <w:t>Carbonic</w:t>
            </w:r>
            <w:r>
              <w:rPr>
                <w:spacing w:val="-1"/>
              </w:rPr>
              <w:t> </w:t>
            </w:r>
            <w:r>
              <w:rPr/>
              <w:t>Anhydrases)</w:t>
              <w:tab/>
              <w:t>50</w:t>
            </w:r>
          </w:hyperlink>
        </w:p>
        <w:p>
          <w:pPr>
            <w:pStyle w:val="TOC4"/>
            <w:numPr>
              <w:ilvl w:val="3"/>
              <w:numId w:val="1"/>
            </w:numPr>
            <w:tabs>
              <w:tab w:pos="1215" w:val="left" w:leader="none"/>
              <w:tab w:pos="1216" w:val="left" w:leader="none"/>
              <w:tab w:pos="9180" w:val="right" w:leader="dot"/>
            </w:tabs>
            <w:spacing w:line="240" w:lineRule="auto" w:before="138" w:after="0"/>
            <w:ind w:left="1215" w:right="0" w:hanging="439"/>
            <w:jc w:val="left"/>
          </w:pPr>
          <w:hyperlink w:history="true" w:anchor="_bookmark68">
            <w:r>
              <w:rPr/>
              <w:t>Bilan des transporteurs impliqués dans l’efflux</w:t>
            </w:r>
            <w:r>
              <w:rPr>
                <w:spacing w:val="-10"/>
              </w:rPr>
              <w:t> </w:t>
            </w:r>
            <w:r>
              <w:rPr/>
              <w:t>de</w:t>
            </w:r>
            <w:r>
              <w:rPr>
                <w:spacing w:val="-1"/>
              </w:rPr>
              <w:t> </w:t>
            </w:r>
            <w:r>
              <w:rPr/>
              <w:t>protons</w:t>
              <w:tab/>
              <w:t>51</w:t>
            </w:r>
          </w:hyperlink>
        </w:p>
        <w:p>
          <w:pPr>
            <w:pStyle w:val="TOC2"/>
            <w:numPr>
              <w:ilvl w:val="1"/>
              <w:numId w:val="1"/>
            </w:numPr>
            <w:tabs>
              <w:tab w:pos="999" w:val="left" w:leader="none"/>
              <w:tab w:pos="1000" w:val="left" w:leader="none"/>
              <w:tab w:pos="9180" w:val="right" w:leader="dot"/>
            </w:tabs>
            <w:spacing w:line="273" w:lineRule="auto" w:before="141" w:after="0"/>
            <w:ind w:left="337" w:right="104" w:firstLine="0"/>
            <w:jc w:val="left"/>
          </w:pPr>
          <w:hyperlink w:history="true" w:anchor="_bookmark70">
            <w:r>
              <w:rPr/>
              <w:t>Les relations entre oncogènes et métabolisme, vers une explication de l’origine du</w:t>
            </w:r>
          </w:hyperlink>
          <w:hyperlink w:history="true" w:anchor="_bookmark70">
            <w:r>
              <w:rPr/>
              <w:t> cancer</w:t>
            </w:r>
            <w:r>
              <w:rPr>
                <w:spacing w:val="-2"/>
              </w:rPr>
              <w:t> </w:t>
            </w:r>
            <w:r>
              <w:rPr/>
              <w:t>?</w:t>
              <w:tab/>
              <w:t>51</w:t>
            </w:r>
          </w:hyperlink>
        </w:p>
        <w:p>
          <w:pPr>
            <w:pStyle w:val="TOC3"/>
            <w:numPr>
              <w:ilvl w:val="2"/>
              <w:numId w:val="1"/>
            </w:numPr>
            <w:tabs>
              <w:tab w:pos="1109" w:val="left" w:leader="none"/>
              <w:tab w:pos="1216" w:val="left" w:leader="none"/>
              <w:tab w:pos="9074" w:val="right" w:leader="dot"/>
            </w:tabs>
            <w:spacing w:line="240" w:lineRule="auto" w:before="103" w:after="0"/>
            <w:ind w:left="1215" w:right="0" w:hanging="619"/>
            <w:jc w:val="left"/>
          </w:pPr>
          <w:hyperlink w:history="true" w:anchor="_bookmark71">
            <w:r>
              <w:rPr/>
              <w:t>L’importance de</w:t>
            </w:r>
            <w:r>
              <w:rPr>
                <w:spacing w:val="-3"/>
              </w:rPr>
              <w:t> </w:t>
            </w:r>
            <w:r>
              <w:rPr/>
              <w:t>la génétique</w:t>
              <w:tab/>
              <w:t>51</w:t>
            </w:r>
          </w:hyperlink>
        </w:p>
        <w:p>
          <w:pPr>
            <w:pStyle w:val="TOC3"/>
            <w:numPr>
              <w:ilvl w:val="2"/>
              <w:numId w:val="1"/>
            </w:numPr>
            <w:tabs>
              <w:tab w:pos="1109" w:val="left" w:leader="none"/>
              <w:tab w:pos="1216" w:val="left" w:leader="none"/>
              <w:tab w:pos="9074" w:val="right" w:leader="dot"/>
            </w:tabs>
            <w:spacing w:line="240" w:lineRule="auto" w:before="141" w:after="0"/>
            <w:ind w:left="1215" w:right="0" w:hanging="619"/>
            <w:jc w:val="left"/>
          </w:pPr>
          <w:hyperlink w:history="true" w:anchor="_bookmark73">
            <w:r>
              <w:rPr/>
              <w:t>L’importance des</w:t>
            </w:r>
            <w:r>
              <w:rPr>
                <w:spacing w:val="-3"/>
              </w:rPr>
              <w:t> </w:t>
            </w:r>
            <w:r>
              <w:rPr/>
              <w:t>aspects</w:t>
            </w:r>
            <w:r>
              <w:rPr>
                <w:spacing w:val="-1"/>
              </w:rPr>
              <w:t> </w:t>
            </w:r>
            <w:r>
              <w:rPr/>
              <w:t>métaboliques</w:t>
              <w:tab/>
              <w:t>52</w:t>
            </w:r>
          </w:hyperlink>
        </w:p>
        <w:p>
          <w:pPr>
            <w:pStyle w:val="TOC2"/>
            <w:numPr>
              <w:ilvl w:val="1"/>
              <w:numId w:val="1"/>
            </w:numPr>
            <w:tabs>
              <w:tab w:pos="997" w:val="left" w:leader="none"/>
              <w:tab w:pos="998" w:val="left" w:leader="none"/>
              <w:tab w:pos="9180" w:val="right" w:leader="dot"/>
            </w:tabs>
            <w:spacing w:line="240" w:lineRule="auto" w:before="141" w:after="0"/>
            <w:ind w:left="337" w:right="0" w:firstLine="0"/>
            <w:jc w:val="left"/>
          </w:pPr>
          <w:hyperlink w:history="true" w:anchor="_bookmark75">
            <w:r>
              <w:rPr/>
              <w:t>Conclusion</w:t>
            </w:r>
            <w:r>
              <w:rPr>
                <w:spacing w:val="-1"/>
              </w:rPr>
              <w:t> </w:t>
            </w:r>
            <w:r>
              <w:rPr/>
              <w:t>partielle</w:t>
              <w:tab/>
              <w:t>54</w:t>
            </w:r>
          </w:hyperlink>
        </w:p>
        <w:p>
          <w:pPr>
            <w:pStyle w:val="TOC1"/>
            <w:numPr>
              <w:ilvl w:val="0"/>
              <w:numId w:val="1"/>
            </w:numPr>
            <w:tabs>
              <w:tab w:pos="776" w:val="left" w:leader="none"/>
              <w:tab w:pos="777" w:val="left" w:leader="none"/>
              <w:tab w:pos="9180" w:val="right" w:leader="dot"/>
            </w:tabs>
            <w:spacing w:line="240" w:lineRule="auto" w:before="599" w:after="0"/>
            <w:ind w:left="776" w:right="0" w:hanging="660"/>
            <w:jc w:val="left"/>
          </w:pPr>
          <w:hyperlink w:history="true" w:anchor="_bookmark76">
            <w:r>
              <w:rPr/>
              <w:t>Les molécules ciblant le métabolisme de la</w:t>
            </w:r>
            <w:r>
              <w:rPr>
                <w:spacing w:val="-3"/>
              </w:rPr>
              <w:t> </w:t>
            </w:r>
            <w:r>
              <w:rPr/>
              <w:t>cellule tumorale</w:t>
              <w:tab/>
              <w:t>55</w:t>
            </w:r>
          </w:hyperlink>
        </w:p>
        <w:p>
          <w:pPr>
            <w:pStyle w:val="TOC2"/>
            <w:numPr>
              <w:ilvl w:val="1"/>
              <w:numId w:val="1"/>
            </w:numPr>
            <w:tabs>
              <w:tab w:pos="997" w:val="left" w:leader="none"/>
              <w:tab w:pos="998" w:val="left" w:leader="none"/>
              <w:tab w:pos="9180" w:val="right" w:leader="dot"/>
            </w:tabs>
            <w:spacing w:line="240" w:lineRule="auto" w:before="139" w:after="0"/>
            <w:ind w:left="997" w:right="0" w:hanging="660"/>
            <w:jc w:val="left"/>
          </w:pPr>
          <w:hyperlink w:history="true" w:anchor="_bookmark77">
            <w:r>
              <w:rPr/>
              <w:t>Cibler l’entrée de glucose dans la cellule </w:t>
            </w:r>
            <w:r>
              <w:rPr>
                <w:i/>
              </w:rPr>
              <w:t>via </w:t>
            </w:r>
            <w:r>
              <w:rPr/>
              <w:t>l’inhibition</w:t>
            </w:r>
            <w:r>
              <w:rPr>
                <w:spacing w:val="-5"/>
              </w:rPr>
              <w:t> </w:t>
            </w:r>
            <w:r>
              <w:rPr/>
              <w:t>de</w:t>
            </w:r>
            <w:r>
              <w:rPr>
                <w:spacing w:val="-1"/>
              </w:rPr>
              <w:t> </w:t>
            </w:r>
            <w:r>
              <w:rPr/>
              <w:t>GLUT1</w:t>
              <w:tab/>
              <w:t>55</w:t>
            </w:r>
          </w:hyperlink>
        </w:p>
        <w:p>
          <w:pPr>
            <w:pStyle w:val="TOC3"/>
            <w:numPr>
              <w:ilvl w:val="2"/>
              <w:numId w:val="1"/>
            </w:numPr>
            <w:tabs>
              <w:tab w:pos="1109" w:val="left" w:leader="none"/>
              <w:tab w:pos="1216" w:val="left" w:leader="none"/>
              <w:tab w:pos="9074" w:val="right" w:leader="dot"/>
            </w:tabs>
            <w:spacing w:line="240" w:lineRule="auto" w:before="142" w:after="0"/>
            <w:ind w:left="1215" w:right="0" w:hanging="619"/>
            <w:jc w:val="left"/>
          </w:pPr>
          <w:hyperlink w:history="true" w:anchor="_bookmark78">
            <w:r>
              <w:rPr/>
              <w:t>La</w:t>
            </w:r>
            <w:r>
              <w:rPr>
                <w:spacing w:val="-2"/>
              </w:rPr>
              <w:t> </w:t>
            </w:r>
            <w:r>
              <w:rPr/>
              <w:t>phlorétine</w:t>
              <w:tab/>
              <w:t>55</w:t>
            </w:r>
          </w:hyperlink>
        </w:p>
        <w:p>
          <w:pPr>
            <w:pStyle w:val="TOC3"/>
            <w:numPr>
              <w:ilvl w:val="2"/>
              <w:numId w:val="1"/>
            </w:numPr>
            <w:tabs>
              <w:tab w:pos="1109" w:val="left" w:leader="none"/>
              <w:tab w:pos="1216" w:val="left" w:leader="none"/>
              <w:tab w:pos="9074" w:val="right" w:leader="dot"/>
            </w:tabs>
            <w:spacing w:line="240" w:lineRule="auto" w:before="141" w:after="0"/>
            <w:ind w:left="1215" w:right="0" w:hanging="619"/>
            <w:jc w:val="left"/>
          </w:pPr>
          <w:hyperlink w:history="true" w:anchor="_bookmark79">
            <w:r>
              <w:rPr/>
              <w:t>Le fasentin</w:t>
              <w:tab/>
              <w:t>55</w:t>
            </w:r>
          </w:hyperlink>
        </w:p>
      </w:sdtContent>
    </w:sdt>
    <w:p>
      <w:pPr>
        <w:spacing w:after="0" w:line="240" w:lineRule="auto"/>
        <w:jc w:val="left"/>
        <w:sectPr>
          <w:type w:val="continuous"/>
          <w:pgSz w:w="11910" w:h="16840"/>
          <w:pgMar w:top="1339" w:bottom="1694" w:left="1300" w:right="1320"/>
        </w:sectPr>
      </w:pPr>
    </w:p>
    <w:p>
      <w:pPr>
        <w:pStyle w:val="ListParagraph"/>
        <w:numPr>
          <w:ilvl w:val="2"/>
          <w:numId w:val="1"/>
        </w:numPr>
        <w:tabs>
          <w:tab w:pos="889" w:val="left" w:leader="none"/>
          <w:tab w:pos="996" w:val="left" w:leader="none"/>
          <w:tab w:pos="8854" w:val="right" w:leader="dot"/>
        </w:tabs>
        <w:spacing w:line="240" w:lineRule="auto" w:before="70" w:after="0"/>
        <w:ind w:left="995" w:right="0" w:hanging="619"/>
        <w:jc w:val="left"/>
        <w:rPr>
          <w:sz w:val="24"/>
        </w:rPr>
      </w:pPr>
      <w:hyperlink w:history="true" w:anchor="_bookmark80">
        <w:r>
          <w:rPr>
            <w:sz w:val="24"/>
          </w:rPr>
          <w:t>La</w:t>
        </w:r>
        <w:r>
          <w:rPr>
            <w:spacing w:val="-2"/>
            <w:sz w:val="24"/>
          </w:rPr>
          <w:t> </w:t>
        </w:r>
        <w:r>
          <w:rPr>
            <w:sz w:val="24"/>
          </w:rPr>
          <w:t>silybine</w:t>
          <w:tab/>
          <w:t>56</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81">
        <w:r>
          <w:rPr>
            <w:sz w:val="24"/>
          </w:rPr>
          <w:t>Les</w:t>
        </w:r>
        <w:r>
          <w:rPr>
            <w:spacing w:val="-1"/>
            <w:sz w:val="24"/>
          </w:rPr>
          <w:t> </w:t>
        </w:r>
        <w:r>
          <w:rPr>
            <w:sz w:val="24"/>
          </w:rPr>
          <w:t>WZ</w:t>
          <w:tab/>
          <w:t>56</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82">
        <w:r>
          <w:rPr>
            <w:sz w:val="24"/>
          </w:rPr>
          <w:t>L’imatinib</w:t>
          <w:tab/>
          <w:t>57</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83">
        <w:r>
          <w:rPr>
            <w:sz w:val="24"/>
          </w:rPr>
          <w:t>Les</w:t>
        </w:r>
        <w:r>
          <w:rPr>
            <w:spacing w:val="-1"/>
            <w:sz w:val="24"/>
          </w:rPr>
          <w:t> </w:t>
        </w:r>
        <w:r>
          <w:rPr>
            <w:sz w:val="24"/>
          </w:rPr>
          <w:t>polyphénols</w:t>
          <w:tab/>
          <w:t>57</w:t>
        </w:r>
      </w:hyperlink>
    </w:p>
    <w:p>
      <w:pPr>
        <w:pStyle w:val="ListParagraph"/>
        <w:numPr>
          <w:ilvl w:val="1"/>
          <w:numId w:val="1"/>
        </w:numPr>
        <w:tabs>
          <w:tab w:pos="777" w:val="left" w:leader="none"/>
          <w:tab w:pos="778" w:val="left" w:leader="none"/>
          <w:tab w:pos="8960" w:val="right" w:leader="dot"/>
        </w:tabs>
        <w:spacing w:line="240" w:lineRule="auto" w:before="141" w:after="0"/>
        <w:ind w:left="777" w:right="0" w:hanging="660"/>
        <w:jc w:val="left"/>
        <w:rPr>
          <w:sz w:val="24"/>
        </w:rPr>
      </w:pPr>
      <w:hyperlink w:history="true" w:anchor="_bookmark84">
        <w:r>
          <w:rPr>
            <w:sz w:val="24"/>
          </w:rPr>
          <w:t>Cibler</w:t>
        </w:r>
        <w:r>
          <w:rPr>
            <w:spacing w:val="-1"/>
            <w:sz w:val="24"/>
          </w:rPr>
          <w:t> </w:t>
        </w:r>
        <w:r>
          <w:rPr>
            <w:sz w:val="24"/>
          </w:rPr>
          <w:t>la</w:t>
        </w:r>
        <w:r>
          <w:rPr>
            <w:spacing w:val="-3"/>
            <w:sz w:val="24"/>
          </w:rPr>
          <w:t> </w:t>
        </w:r>
        <w:r>
          <w:rPr>
            <w:sz w:val="24"/>
          </w:rPr>
          <w:t>glycolyse</w:t>
          <w:tab/>
          <w:t>58</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86">
        <w:r>
          <w:rPr>
            <w:i/>
            <w:sz w:val="24"/>
          </w:rPr>
          <w:t>Via </w:t>
        </w:r>
        <w:r>
          <w:rPr>
            <w:sz w:val="24"/>
          </w:rPr>
          <w:t>les inhibiteurs de</w:t>
        </w:r>
        <w:r>
          <w:rPr>
            <w:spacing w:val="-3"/>
            <w:sz w:val="24"/>
          </w:rPr>
          <w:t> </w:t>
        </w:r>
        <w:r>
          <w:rPr>
            <w:sz w:val="24"/>
          </w:rPr>
          <w:t>l’hexokinase</w:t>
        </w:r>
        <w:r>
          <w:rPr>
            <w:spacing w:val="-3"/>
            <w:sz w:val="24"/>
          </w:rPr>
          <w:t> </w:t>
        </w:r>
        <w:r>
          <w:rPr>
            <w:sz w:val="24"/>
          </w:rPr>
          <w:t>(HK)</w:t>
          <w:tab/>
          <w:t>58</w:t>
        </w:r>
      </w:hyperlink>
    </w:p>
    <w:p>
      <w:pPr>
        <w:pStyle w:val="ListParagraph"/>
        <w:numPr>
          <w:ilvl w:val="3"/>
          <w:numId w:val="1"/>
        </w:numPr>
        <w:tabs>
          <w:tab w:pos="889" w:val="left" w:leader="none"/>
          <w:tab w:pos="996" w:val="left" w:leader="none"/>
          <w:tab w:pos="8854" w:val="right" w:leader="dot"/>
        </w:tabs>
        <w:spacing w:line="240" w:lineRule="auto" w:before="140" w:after="0"/>
        <w:ind w:left="995" w:right="0" w:hanging="439"/>
        <w:jc w:val="left"/>
        <w:rPr>
          <w:sz w:val="22"/>
        </w:rPr>
      </w:pPr>
      <w:hyperlink w:history="true" w:anchor="_bookmark87">
        <w:r>
          <w:rPr>
            <w:sz w:val="22"/>
          </w:rPr>
          <w:t>Le </w:t>
        </w:r>
        <w:r>
          <w:rPr>
            <w:spacing w:val="-3"/>
            <w:sz w:val="22"/>
          </w:rPr>
          <w:t>2-DG</w:t>
          <w:tab/>
        </w:r>
        <w:r>
          <w:rPr>
            <w:sz w:val="22"/>
          </w:rPr>
          <w:t>58</w:t>
        </w:r>
      </w:hyperlink>
    </w:p>
    <w:p>
      <w:pPr>
        <w:pStyle w:val="ListParagraph"/>
        <w:numPr>
          <w:ilvl w:val="3"/>
          <w:numId w:val="1"/>
        </w:numPr>
        <w:tabs>
          <w:tab w:pos="889" w:val="left" w:leader="none"/>
          <w:tab w:pos="996" w:val="left" w:leader="none"/>
          <w:tab w:pos="8854" w:val="right" w:leader="dot"/>
        </w:tabs>
        <w:spacing w:line="240" w:lineRule="auto" w:before="138" w:after="0"/>
        <w:ind w:left="995" w:right="0" w:hanging="439"/>
        <w:jc w:val="left"/>
        <w:rPr>
          <w:sz w:val="22"/>
        </w:rPr>
      </w:pPr>
      <w:hyperlink w:history="true" w:anchor="_bookmark88">
        <w:r>
          <w:rPr>
            <w:sz w:val="22"/>
          </w:rPr>
          <w:t>Le</w:t>
        </w:r>
        <w:r>
          <w:rPr>
            <w:spacing w:val="-1"/>
            <w:sz w:val="22"/>
          </w:rPr>
          <w:t> </w:t>
        </w:r>
        <w:r>
          <w:rPr>
            <w:sz w:val="22"/>
          </w:rPr>
          <w:t>3-Bromopyruvate</w:t>
        </w:r>
        <w:r>
          <w:rPr>
            <w:spacing w:val="-1"/>
            <w:sz w:val="22"/>
          </w:rPr>
          <w:t> </w:t>
        </w:r>
        <w:r>
          <w:rPr>
            <w:sz w:val="22"/>
          </w:rPr>
          <w:t>(3-BP)</w:t>
          <w:tab/>
          <w:t>59</w:t>
        </w:r>
      </w:hyperlink>
    </w:p>
    <w:p>
      <w:pPr>
        <w:pStyle w:val="ListParagraph"/>
        <w:numPr>
          <w:ilvl w:val="3"/>
          <w:numId w:val="1"/>
        </w:numPr>
        <w:tabs>
          <w:tab w:pos="996" w:val="left" w:leader="none"/>
          <w:tab w:pos="8854" w:val="right" w:leader="dot"/>
        </w:tabs>
        <w:spacing w:line="240" w:lineRule="auto" w:before="139" w:after="0"/>
        <w:ind w:left="995" w:right="0" w:hanging="439"/>
        <w:jc w:val="left"/>
        <w:rPr>
          <w:sz w:val="22"/>
        </w:rPr>
      </w:pPr>
      <w:hyperlink w:history="true" w:anchor="_bookmark89">
        <w:r>
          <w:rPr>
            <w:sz w:val="22"/>
          </w:rPr>
          <w:t>Le</w:t>
        </w:r>
        <w:r>
          <w:rPr>
            <w:spacing w:val="-1"/>
            <w:sz w:val="22"/>
          </w:rPr>
          <w:t> </w:t>
        </w:r>
        <w:r>
          <w:rPr>
            <w:sz w:val="22"/>
          </w:rPr>
          <w:t>méthyljasmonate</w:t>
          <w:tab/>
          <w:t>60</w:t>
        </w:r>
      </w:hyperlink>
    </w:p>
    <w:p>
      <w:pPr>
        <w:pStyle w:val="ListParagraph"/>
        <w:numPr>
          <w:ilvl w:val="3"/>
          <w:numId w:val="1"/>
        </w:numPr>
        <w:tabs>
          <w:tab w:pos="889" w:val="left" w:leader="none"/>
          <w:tab w:pos="996" w:val="left" w:leader="none"/>
          <w:tab w:pos="8854" w:val="right" w:leader="dot"/>
        </w:tabs>
        <w:spacing w:line="240" w:lineRule="auto" w:before="138" w:after="0"/>
        <w:ind w:left="995" w:right="0" w:hanging="439"/>
        <w:jc w:val="left"/>
        <w:rPr>
          <w:sz w:val="22"/>
        </w:rPr>
      </w:pPr>
      <w:hyperlink w:history="true" w:anchor="_bookmark90">
        <w:r>
          <w:rPr>
            <w:sz w:val="22"/>
          </w:rPr>
          <w:t>Le</w:t>
        </w:r>
        <w:r>
          <w:rPr>
            <w:spacing w:val="-1"/>
            <w:sz w:val="22"/>
          </w:rPr>
          <w:t> </w:t>
        </w:r>
        <w:r>
          <w:rPr>
            <w:sz w:val="22"/>
          </w:rPr>
          <w:t>lonidamine</w:t>
        </w:r>
        <w:r>
          <w:rPr>
            <w:spacing w:val="-3"/>
            <w:sz w:val="22"/>
          </w:rPr>
          <w:t> </w:t>
        </w:r>
        <w:r>
          <w:rPr>
            <w:sz w:val="22"/>
          </w:rPr>
          <w:t>(LND)</w:t>
          <w:tab/>
          <w:t>61</w:t>
        </w:r>
      </w:hyperlink>
    </w:p>
    <w:p>
      <w:pPr>
        <w:pStyle w:val="ListParagraph"/>
        <w:numPr>
          <w:ilvl w:val="3"/>
          <w:numId w:val="1"/>
        </w:numPr>
        <w:tabs>
          <w:tab w:pos="995" w:val="left" w:leader="none"/>
          <w:tab w:pos="996" w:val="left" w:leader="none"/>
          <w:tab w:pos="8960" w:val="right" w:leader="dot"/>
        </w:tabs>
        <w:spacing w:line="240" w:lineRule="auto" w:before="135" w:after="0"/>
        <w:ind w:left="995" w:right="0" w:hanging="439"/>
        <w:jc w:val="left"/>
        <w:rPr>
          <w:sz w:val="22"/>
        </w:rPr>
      </w:pPr>
      <w:hyperlink w:history="true" w:anchor="_bookmark91">
        <w:r>
          <w:rPr>
            <w:sz w:val="22"/>
          </w:rPr>
          <w:t>L’association du 2-DG, du LND et du 3-BP sensibilise</w:t>
        </w:r>
        <w:r>
          <w:rPr>
            <w:spacing w:val="-6"/>
            <w:sz w:val="22"/>
          </w:rPr>
          <w:t> </w:t>
        </w:r>
        <w:r>
          <w:rPr>
            <w:sz w:val="22"/>
          </w:rPr>
          <w:t>aux</w:t>
        </w:r>
        <w:r>
          <w:rPr>
            <w:spacing w:val="-1"/>
            <w:sz w:val="22"/>
          </w:rPr>
          <w:t> </w:t>
        </w:r>
        <w:r>
          <w:rPr>
            <w:sz w:val="22"/>
          </w:rPr>
          <w:t>corticoïdes</w:t>
          <w:tab/>
          <w:t>61</w:t>
        </w:r>
      </w:hyperlink>
    </w:p>
    <w:p>
      <w:pPr>
        <w:pStyle w:val="ListParagraph"/>
        <w:numPr>
          <w:ilvl w:val="2"/>
          <w:numId w:val="1"/>
        </w:numPr>
        <w:tabs>
          <w:tab w:pos="889" w:val="left" w:leader="none"/>
          <w:tab w:pos="996" w:val="left" w:leader="none"/>
          <w:tab w:pos="8854" w:val="right" w:leader="dot"/>
        </w:tabs>
        <w:spacing w:line="240" w:lineRule="auto" w:before="138" w:after="0"/>
        <w:ind w:left="995" w:right="0" w:hanging="619"/>
        <w:jc w:val="left"/>
        <w:rPr>
          <w:sz w:val="24"/>
        </w:rPr>
      </w:pPr>
      <w:hyperlink w:history="true" w:anchor="_bookmark92">
        <w:r>
          <w:rPr>
            <w:i/>
            <w:sz w:val="24"/>
          </w:rPr>
          <w:t>Via </w:t>
        </w:r>
        <w:r>
          <w:rPr>
            <w:sz w:val="24"/>
          </w:rPr>
          <w:t>l’inhibition de</w:t>
        </w:r>
        <w:r>
          <w:rPr>
            <w:spacing w:val="-1"/>
            <w:sz w:val="24"/>
          </w:rPr>
          <w:t> </w:t>
        </w:r>
        <w:r>
          <w:rPr>
            <w:sz w:val="24"/>
          </w:rPr>
          <w:t>la</w:t>
        </w:r>
        <w:r>
          <w:rPr>
            <w:spacing w:val="-2"/>
            <w:sz w:val="24"/>
          </w:rPr>
          <w:t> </w:t>
        </w:r>
        <w:r>
          <w:rPr>
            <w:sz w:val="24"/>
          </w:rPr>
          <w:t>Glycéraldéhyde</w:t>
          <w:tab/>
          <w:t>62</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94">
        <w:r>
          <w:rPr>
            <w:i/>
            <w:sz w:val="24"/>
          </w:rPr>
          <w:t>Via </w:t>
        </w:r>
        <w:r>
          <w:rPr>
            <w:sz w:val="24"/>
          </w:rPr>
          <w:t>la diminution de l’activité de</w:t>
        </w:r>
        <w:r>
          <w:rPr>
            <w:spacing w:val="-4"/>
            <w:sz w:val="24"/>
          </w:rPr>
          <w:t> </w:t>
        </w:r>
        <w:r>
          <w:rPr>
            <w:sz w:val="24"/>
          </w:rPr>
          <w:t>la</w:t>
        </w:r>
        <w:r>
          <w:rPr>
            <w:spacing w:val="-1"/>
            <w:sz w:val="24"/>
          </w:rPr>
          <w:t> </w:t>
        </w:r>
        <w:r>
          <w:rPr>
            <w:sz w:val="24"/>
          </w:rPr>
          <w:t>PFK</w:t>
          <w:tab/>
          <w:t>63</w:t>
        </w:r>
      </w:hyperlink>
    </w:p>
    <w:p>
      <w:pPr>
        <w:pStyle w:val="ListParagraph"/>
        <w:numPr>
          <w:ilvl w:val="3"/>
          <w:numId w:val="1"/>
        </w:numPr>
        <w:tabs>
          <w:tab w:pos="889" w:val="left" w:leader="none"/>
          <w:tab w:pos="996" w:val="left" w:leader="none"/>
          <w:tab w:pos="8854" w:val="right" w:leader="dot"/>
        </w:tabs>
        <w:spacing w:line="240" w:lineRule="auto" w:before="140" w:after="0"/>
        <w:ind w:left="995" w:right="0" w:hanging="439"/>
        <w:jc w:val="left"/>
        <w:rPr>
          <w:sz w:val="22"/>
        </w:rPr>
      </w:pPr>
      <w:hyperlink w:history="true" w:anchor="_bookmark95">
        <w:r>
          <w:rPr>
            <w:sz w:val="22"/>
          </w:rPr>
          <w:t>Cibler directement la</w:t>
        </w:r>
        <w:r>
          <w:rPr>
            <w:spacing w:val="-1"/>
            <w:sz w:val="22"/>
          </w:rPr>
          <w:t> </w:t>
        </w:r>
        <w:r>
          <w:rPr>
            <w:sz w:val="22"/>
          </w:rPr>
          <w:t>PFK</w:t>
          <w:tab/>
          <w:t>63</w:t>
        </w:r>
      </w:hyperlink>
    </w:p>
    <w:p>
      <w:pPr>
        <w:pStyle w:val="ListParagraph"/>
        <w:numPr>
          <w:ilvl w:val="3"/>
          <w:numId w:val="1"/>
        </w:numPr>
        <w:tabs>
          <w:tab w:pos="995" w:val="left" w:leader="none"/>
          <w:tab w:pos="996" w:val="left" w:leader="none"/>
          <w:tab w:pos="8960" w:val="right" w:leader="dot"/>
        </w:tabs>
        <w:spacing w:line="240" w:lineRule="auto" w:before="137" w:after="0"/>
        <w:ind w:left="995" w:right="0" w:hanging="439"/>
        <w:jc w:val="left"/>
        <w:rPr>
          <w:sz w:val="22"/>
        </w:rPr>
      </w:pPr>
      <w:hyperlink w:history="true" w:anchor="_bookmark96">
        <w:r>
          <w:rPr>
            <w:sz w:val="22"/>
          </w:rPr>
          <w:t>Cibler indirectement la PFK en diminuant le</w:t>
        </w:r>
        <w:r>
          <w:rPr>
            <w:spacing w:val="-5"/>
            <w:sz w:val="22"/>
          </w:rPr>
          <w:t> </w:t>
        </w:r>
        <w:r>
          <w:rPr>
            <w:sz w:val="22"/>
          </w:rPr>
          <w:t>pH</w:t>
        </w:r>
        <w:r>
          <w:rPr>
            <w:spacing w:val="-1"/>
            <w:sz w:val="22"/>
          </w:rPr>
          <w:t> </w:t>
        </w:r>
        <w:r>
          <w:rPr>
            <w:sz w:val="22"/>
          </w:rPr>
          <w:t>intracellulaire</w:t>
          <w:tab/>
          <w:t>63</w:t>
        </w:r>
      </w:hyperlink>
    </w:p>
    <w:p>
      <w:pPr>
        <w:pStyle w:val="ListParagraph"/>
        <w:numPr>
          <w:ilvl w:val="2"/>
          <w:numId w:val="1"/>
        </w:numPr>
        <w:tabs>
          <w:tab w:pos="889" w:val="left" w:leader="none"/>
          <w:tab w:pos="996" w:val="left" w:leader="none"/>
          <w:tab w:pos="8854" w:val="right" w:leader="dot"/>
        </w:tabs>
        <w:spacing w:line="240" w:lineRule="auto" w:before="138" w:after="0"/>
        <w:ind w:left="995" w:right="0" w:hanging="619"/>
        <w:jc w:val="left"/>
        <w:rPr>
          <w:sz w:val="24"/>
        </w:rPr>
      </w:pPr>
      <w:hyperlink w:history="true" w:anchor="_bookmark97">
        <w:r>
          <w:rPr>
            <w:i/>
            <w:sz w:val="24"/>
          </w:rPr>
          <w:t>Via </w:t>
        </w:r>
        <w:r>
          <w:rPr>
            <w:sz w:val="24"/>
          </w:rPr>
          <w:t>une action sur la pyruvate</w:t>
        </w:r>
        <w:r>
          <w:rPr>
            <w:spacing w:val="-3"/>
            <w:sz w:val="24"/>
          </w:rPr>
          <w:t> </w:t>
        </w:r>
        <w:r>
          <w:rPr>
            <w:sz w:val="24"/>
          </w:rPr>
          <w:t>kinase</w:t>
        </w:r>
        <w:r>
          <w:rPr>
            <w:spacing w:val="-2"/>
            <w:sz w:val="24"/>
          </w:rPr>
          <w:t> </w:t>
        </w:r>
        <w:r>
          <w:rPr>
            <w:sz w:val="24"/>
          </w:rPr>
          <w:t>(PK)</w:t>
          <w:tab/>
          <w:t>63</w:t>
        </w:r>
      </w:hyperlink>
    </w:p>
    <w:p>
      <w:pPr>
        <w:pStyle w:val="ListParagraph"/>
        <w:numPr>
          <w:ilvl w:val="3"/>
          <w:numId w:val="1"/>
        </w:numPr>
        <w:tabs>
          <w:tab w:pos="889" w:val="left" w:leader="none"/>
          <w:tab w:pos="996" w:val="left" w:leader="none"/>
          <w:tab w:pos="8854" w:val="right" w:leader="dot"/>
        </w:tabs>
        <w:spacing w:line="240" w:lineRule="auto" w:before="141" w:after="0"/>
        <w:ind w:left="995" w:right="0" w:hanging="439"/>
        <w:jc w:val="left"/>
        <w:rPr>
          <w:sz w:val="22"/>
        </w:rPr>
      </w:pPr>
      <w:hyperlink w:history="true" w:anchor="_bookmark98">
        <w:r>
          <w:rPr>
            <w:sz w:val="22"/>
          </w:rPr>
          <w:t>Les inhibiteurs de la pyruvate</w:t>
        </w:r>
        <w:r>
          <w:rPr>
            <w:spacing w:val="-3"/>
            <w:sz w:val="22"/>
          </w:rPr>
          <w:t> </w:t>
        </w:r>
        <w:r>
          <w:rPr>
            <w:sz w:val="22"/>
          </w:rPr>
          <w:t>kinase</w:t>
        </w:r>
        <w:r>
          <w:rPr>
            <w:spacing w:val="-1"/>
            <w:sz w:val="22"/>
          </w:rPr>
          <w:t> </w:t>
        </w:r>
        <w:r>
          <w:rPr>
            <w:sz w:val="22"/>
          </w:rPr>
          <w:t>(PK)</w:t>
          <w:tab/>
          <w:t>63</w:t>
        </w:r>
      </w:hyperlink>
    </w:p>
    <w:p>
      <w:pPr>
        <w:pStyle w:val="ListParagraph"/>
        <w:numPr>
          <w:ilvl w:val="3"/>
          <w:numId w:val="1"/>
        </w:numPr>
        <w:tabs>
          <w:tab w:pos="889" w:val="left" w:leader="none"/>
          <w:tab w:pos="996" w:val="left" w:leader="none"/>
          <w:tab w:pos="8854" w:val="right" w:leader="dot"/>
        </w:tabs>
        <w:spacing w:line="240" w:lineRule="auto" w:before="138" w:after="0"/>
        <w:ind w:left="995" w:right="0" w:hanging="439"/>
        <w:jc w:val="left"/>
        <w:rPr>
          <w:sz w:val="22"/>
        </w:rPr>
      </w:pPr>
      <w:hyperlink w:history="true" w:anchor="_bookmark99">
        <w:r>
          <w:rPr>
            <w:sz w:val="22"/>
          </w:rPr>
          <w:t>Les activateurs de la pyruvate</w:t>
        </w:r>
        <w:r>
          <w:rPr>
            <w:spacing w:val="-3"/>
            <w:sz w:val="22"/>
          </w:rPr>
          <w:t> </w:t>
        </w:r>
        <w:r>
          <w:rPr>
            <w:sz w:val="22"/>
          </w:rPr>
          <w:t>kinase</w:t>
        </w:r>
        <w:r>
          <w:rPr>
            <w:spacing w:val="-3"/>
            <w:sz w:val="22"/>
          </w:rPr>
          <w:t> </w:t>
        </w:r>
        <w:r>
          <w:rPr>
            <w:sz w:val="22"/>
          </w:rPr>
          <w:t>(PK)</w:t>
          <w:tab/>
          <w:t>64</w:t>
        </w:r>
      </w:hyperlink>
    </w:p>
    <w:p>
      <w:pPr>
        <w:pStyle w:val="ListParagraph"/>
        <w:numPr>
          <w:ilvl w:val="1"/>
          <w:numId w:val="1"/>
        </w:numPr>
        <w:tabs>
          <w:tab w:pos="777" w:val="left" w:leader="none"/>
          <w:tab w:pos="778" w:val="left" w:leader="none"/>
          <w:tab w:pos="8960" w:val="right" w:leader="dot"/>
        </w:tabs>
        <w:spacing w:line="240" w:lineRule="auto" w:before="139" w:after="0"/>
        <w:ind w:left="777" w:right="0" w:hanging="660"/>
        <w:jc w:val="left"/>
        <w:rPr>
          <w:sz w:val="24"/>
        </w:rPr>
      </w:pPr>
      <w:hyperlink w:history="true" w:anchor="_bookmark100">
        <w:r>
          <w:rPr>
            <w:sz w:val="24"/>
          </w:rPr>
          <w:t>Cibler la voie des pentoses</w:t>
        </w:r>
        <w:r>
          <w:rPr>
            <w:spacing w:val="-3"/>
            <w:sz w:val="24"/>
          </w:rPr>
          <w:t> </w:t>
        </w:r>
        <w:r>
          <w:rPr>
            <w:sz w:val="24"/>
          </w:rPr>
          <w:t>phosphates</w:t>
        </w:r>
        <w:r>
          <w:rPr>
            <w:spacing w:val="-1"/>
            <w:sz w:val="24"/>
          </w:rPr>
          <w:t> </w:t>
        </w:r>
        <w:r>
          <w:rPr>
            <w:sz w:val="24"/>
          </w:rPr>
          <w:t>(PPP)</w:t>
          <w:tab/>
          <w:t>65</w:t>
        </w:r>
      </w:hyperlink>
    </w:p>
    <w:p>
      <w:pPr>
        <w:pStyle w:val="ListParagraph"/>
        <w:numPr>
          <w:ilvl w:val="2"/>
          <w:numId w:val="1"/>
        </w:numPr>
        <w:tabs>
          <w:tab w:pos="889" w:val="left" w:leader="none"/>
          <w:tab w:pos="996" w:val="left" w:leader="none"/>
          <w:tab w:pos="8854" w:val="right" w:leader="dot"/>
        </w:tabs>
        <w:spacing w:line="240" w:lineRule="auto" w:before="139" w:after="0"/>
        <w:ind w:left="995" w:right="0" w:hanging="619"/>
        <w:jc w:val="left"/>
        <w:rPr>
          <w:sz w:val="24"/>
        </w:rPr>
      </w:pPr>
      <w:hyperlink w:history="true" w:anchor="_bookmark101">
        <w:r>
          <w:rPr>
            <w:sz w:val="24"/>
          </w:rPr>
          <w:t>Inhiber</w:t>
        </w:r>
        <w:r>
          <w:rPr>
            <w:spacing w:val="-1"/>
            <w:sz w:val="24"/>
          </w:rPr>
          <w:t> </w:t>
        </w:r>
        <w:r>
          <w:rPr>
            <w:sz w:val="24"/>
          </w:rPr>
          <w:t>la</w:t>
        </w:r>
        <w:r>
          <w:rPr>
            <w:spacing w:val="-3"/>
            <w:sz w:val="24"/>
          </w:rPr>
          <w:t> </w:t>
        </w:r>
        <w:r>
          <w:rPr>
            <w:sz w:val="24"/>
          </w:rPr>
          <w:t>transcétolase</w:t>
          <w:tab/>
          <w:t>65</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102">
        <w:r>
          <w:rPr>
            <w:sz w:val="24"/>
          </w:rPr>
          <w:t>Inhiber la Glucose-6 Phosphate</w:t>
        </w:r>
        <w:r>
          <w:rPr>
            <w:spacing w:val="-3"/>
            <w:sz w:val="24"/>
          </w:rPr>
          <w:t> </w:t>
        </w:r>
        <w:r>
          <w:rPr>
            <w:sz w:val="24"/>
          </w:rPr>
          <w:t>Déshydrogénase (G6PD)</w:t>
          <w:tab/>
          <w:t>65</w:t>
        </w:r>
      </w:hyperlink>
    </w:p>
    <w:p>
      <w:pPr>
        <w:pStyle w:val="ListParagraph"/>
        <w:numPr>
          <w:ilvl w:val="1"/>
          <w:numId w:val="1"/>
        </w:numPr>
        <w:tabs>
          <w:tab w:pos="777" w:val="left" w:leader="none"/>
          <w:tab w:pos="778" w:val="left" w:leader="none"/>
          <w:tab w:pos="8960" w:val="right" w:leader="dot"/>
        </w:tabs>
        <w:spacing w:line="240" w:lineRule="auto" w:before="141" w:after="0"/>
        <w:ind w:left="777" w:right="0" w:hanging="660"/>
        <w:jc w:val="left"/>
        <w:rPr>
          <w:sz w:val="24"/>
        </w:rPr>
      </w:pPr>
      <w:hyperlink w:history="true" w:anchor="_bookmark103">
        <w:r>
          <w:rPr>
            <w:sz w:val="24"/>
          </w:rPr>
          <w:t>Cibler le métabolisme de</w:t>
        </w:r>
        <w:r>
          <w:rPr>
            <w:spacing w:val="-3"/>
            <w:sz w:val="24"/>
          </w:rPr>
          <w:t> </w:t>
        </w:r>
        <w:r>
          <w:rPr>
            <w:sz w:val="24"/>
          </w:rPr>
          <w:t>la</w:t>
        </w:r>
        <w:r>
          <w:rPr>
            <w:spacing w:val="-1"/>
            <w:sz w:val="24"/>
          </w:rPr>
          <w:t> </w:t>
        </w:r>
        <w:r>
          <w:rPr>
            <w:sz w:val="24"/>
          </w:rPr>
          <w:t>glutamine</w:t>
          <w:tab/>
          <w:t>66</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104">
        <w:r>
          <w:rPr>
            <w:sz w:val="24"/>
          </w:rPr>
          <w:t>Cibler</w:t>
        </w:r>
        <w:r>
          <w:rPr>
            <w:spacing w:val="-1"/>
            <w:sz w:val="24"/>
          </w:rPr>
          <w:t> </w:t>
        </w:r>
        <w:r>
          <w:rPr>
            <w:sz w:val="24"/>
          </w:rPr>
          <w:t>la</w:t>
        </w:r>
        <w:r>
          <w:rPr>
            <w:spacing w:val="-3"/>
            <w:sz w:val="24"/>
          </w:rPr>
          <w:t> </w:t>
        </w:r>
        <w:r>
          <w:rPr>
            <w:sz w:val="24"/>
          </w:rPr>
          <w:t>glutaminase</w:t>
          <w:tab/>
          <w:t>66</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105">
        <w:r>
          <w:rPr>
            <w:sz w:val="24"/>
          </w:rPr>
          <w:t>Cibler la</w:t>
        </w:r>
        <w:r>
          <w:rPr>
            <w:spacing w:val="-3"/>
            <w:sz w:val="24"/>
          </w:rPr>
          <w:t> </w:t>
        </w:r>
        <w:r>
          <w:rPr>
            <w:sz w:val="24"/>
          </w:rPr>
          <w:t>glutamate</w:t>
        </w:r>
        <w:r>
          <w:rPr>
            <w:spacing w:val="-2"/>
            <w:sz w:val="24"/>
          </w:rPr>
          <w:t> </w:t>
        </w:r>
        <w:r>
          <w:rPr>
            <w:sz w:val="24"/>
          </w:rPr>
          <w:t>déshydrogénase</w:t>
          <w:tab/>
          <w:t>66</w:t>
        </w:r>
      </w:hyperlink>
    </w:p>
    <w:p>
      <w:pPr>
        <w:pStyle w:val="ListParagraph"/>
        <w:numPr>
          <w:ilvl w:val="2"/>
          <w:numId w:val="1"/>
        </w:numPr>
        <w:tabs>
          <w:tab w:pos="889" w:val="left" w:leader="none"/>
          <w:tab w:pos="996" w:val="left" w:leader="none"/>
          <w:tab w:pos="8854" w:val="right" w:leader="dot"/>
        </w:tabs>
        <w:spacing w:line="240" w:lineRule="auto" w:before="142" w:after="0"/>
        <w:ind w:left="995" w:right="0" w:hanging="619"/>
        <w:jc w:val="left"/>
        <w:rPr>
          <w:sz w:val="24"/>
        </w:rPr>
      </w:pPr>
      <w:hyperlink w:history="true" w:anchor="_bookmark106">
        <w:r>
          <w:rPr>
            <w:sz w:val="24"/>
          </w:rPr>
          <w:t>Cibler</w:t>
        </w:r>
        <w:r>
          <w:rPr>
            <w:spacing w:val="-1"/>
            <w:sz w:val="24"/>
          </w:rPr>
          <w:t> </w:t>
        </w:r>
        <w:r>
          <w:rPr>
            <w:sz w:val="24"/>
          </w:rPr>
          <w:t>les</w:t>
        </w:r>
        <w:r>
          <w:rPr>
            <w:spacing w:val="-1"/>
            <w:sz w:val="24"/>
          </w:rPr>
          <w:t> </w:t>
        </w:r>
        <w:r>
          <w:rPr>
            <w:sz w:val="24"/>
          </w:rPr>
          <w:t>transaminations</w:t>
          <w:tab/>
          <w:t>66</w:t>
        </w:r>
      </w:hyperlink>
    </w:p>
    <w:p>
      <w:pPr>
        <w:pStyle w:val="ListParagraph"/>
        <w:numPr>
          <w:ilvl w:val="1"/>
          <w:numId w:val="1"/>
        </w:numPr>
        <w:tabs>
          <w:tab w:pos="777" w:val="left" w:leader="none"/>
          <w:tab w:pos="778" w:val="left" w:leader="none"/>
          <w:tab w:pos="8960" w:val="right" w:leader="dot"/>
        </w:tabs>
        <w:spacing w:line="240" w:lineRule="auto" w:before="141" w:after="0"/>
        <w:ind w:left="777" w:right="0" w:hanging="660"/>
        <w:jc w:val="left"/>
        <w:rPr>
          <w:sz w:val="24"/>
        </w:rPr>
      </w:pPr>
      <w:hyperlink w:history="true" w:anchor="_bookmark108">
        <w:r>
          <w:rPr>
            <w:sz w:val="24"/>
          </w:rPr>
          <w:t>Cibler le</w:t>
        </w:r>
        <w:r>
          <w:rPr>
            <w:spacing w:val="-3"/>
            <w:sz w:val="24"/>
          </w:rPr>
          <w:t> </w:t>
        </w:r>
        <w:r>
          <w:rPr>
            <w:sz w:val="24"/>
          </w:rPr>
          <w:t>facteur</w:t>
        </w:r>
        <w:r>
          <w:rPr>
            <w:spacing w:val="-1"/>
            <w:sz w:val="24"/>
          </w:rPr>
          <w:t> </w:t>
        </w:r>
        <w:r>
          <w:rPr>
            <w:sz w:val="24"/>
          </w:rPr>
          <w:t>HIF-1</w:t>
          <w:tab/>
          <w:t>67</w:t>
        </w:r>
      </w:hyperlink>
    </w:p>
    <w:p>
      <w:pPr>
        <w:pStyle w:val="ListParagraph"/>
        <w:numPr>
          <w:ilvl w:val="2"/>
          <w:numId w:val="1"/>
        </w:numPr>
        <w:tabs>
          <w:tab w:pos="889" w:val="left" w:leader="none"/>
          <w:tab w:pos="996" w:val="left" w:leader="none"/>
          <w:tab w:pos="8854" w:val="right" w:leader="dot"/>
        </w:tabs>
        <w:spacing w:line="240" w:lineRule="auto" w:before="143" w:after="0"/>
        <w:ind w:left="995" w:right="0" w:hanging="619"/>
        <w:jc w:val="left"/>
        <w:rPr>
          <w:sz w:val="24"/>
        </w:rPr>
      </w:pPr>
      <w:hyperlink w:history="true" w:anchor="_bookmark110">
        <w:r>
          <w:rPr>
            <w:sz w:val="24"/>
          </w:rPr>
          <w:t>Cibler l’ARN messager de HIF-1-</w:t>
        </w:r>
        <w:r>
          <w:rPr>
            <w:rFonts w:ascii="Symbol" w:hAnsi="Symbol"/>
            <w:sz w:val="24"/>
          </w:rPr>
          <w:t></w:t>
        </w:r>
        <w:r>
          <w:rPr>
            <w:sz w:val="24"/>
          </w:rPr>
          <w:t> et</w:t>
        </w:r>
        <w:r>
          <w:rPr>
            <w:spacing w:val="-5"/>
            <w:sz w:val="24"/>
          </w:rPr>
          <w:t> </w:t>
        </w:r>
        <w:r>
          <w:rPr>
            <w:sz w:val="24"/>
          </w:rPr>
          <w:t>sa</w:t>
        </w:r>
        <w:r>
          <w:rPr>
            <w:spacing w:val="-1"/>
            <w:sz w:val="24"/>
          </w:rPr>
          <w:t> </w:t>
        </w:r>
        <w:r>
          <w:rPr>
            <w:sz w:val="24"/>
          </w:rPr>
          <w:t>transcription</w:t>
          <w:tab/>
          <w:t>67</w:t>
        </w:r>
      </w:hyperlink>
    </w:p>
    <w:p>
      <w:pPr>
        <w:pStyle w:val="ListParagraph"/>
        <w:numPr>
          <w:ilvl w:val="2"/>
          <w:numId w:val="1"/>
        </w:numPr>
        <w:tabs>
          <w:tab w:pos="995" w:val="left" w:leader="none"/>
          <w:tab w:pos="996" w:val="left" w:leader="none"/>
          <w:tab w:pos="8960" w:val="right" w:leader="dot"/>
        </w:tabs>
        <w:spacing w:line="240" w:lineRule="auto" w:before="141" w:after="0"/>
        <w:ind w:left="995" w:right="0" w:hanging="619"/>
        <w:jc w:val="left"/>
        <w:rPr>
          <w:sz w:val="24"/>
        </w:rPr>
      </w:pPr>
      <w:hyperlink w:history="true" w:anchor="_bookmark111">
        <w:r>
          <w:rPr>
            <w:sz w:val="24"/>
          </w:rPr>
          <w:t>Inhiber les modifications post-transcriptionnelles et la</w:t>
        </w:r>
        <w:r>
          <w:rPr>
            <w:spacing w:val="-3"/>
            <w:sz w:val="24"/>
          </w:rPr>
          <w:t> </w:t>
        </w:r>
        <w:r>
          <w:rPr>
            <w:sz w:val="24"/>
          </w:rPr>
          <w:t>traduction</w:t>
        </w:r>
        <w:r>
          <w:rPr>
            <w:spacing w:val="-1"/>
            <w:sz w:val="24"/>
          </w:rPr>
          <w:t> </w:t>
        </w:r>
        <w:r>
          <w:rPr>
            <w:sz w:val="24"/>
          </w:rPr>
          <w:t>protéique</w:t>
          <w:tab/>
          <w:t>68</w:t>
        </w:r>
      </w:hyperlink>
    </w:p>
    <w:p>
      <w:pPr>
        <w:pStyle w:val="ListParagraph"/>
        <w:numPr>
          <w:ilvl w:val="2"/>
          <w:numId w:val="1"/>
        </w:numPr>
        <w:tabs>
          <w:tab w:pos="889" w:val="left" w:leader="none"/>
          <w:tab w:pos="996" w:val="left" w:leader="none"/>
          <w:tab w:pos="8854" w:val="right" w:leader="dot"/>
        </w:tabs>
        <w:spacing w:line="240" w:lineRule="auto" w:before="143" w:after="0"/>
        <w:ind w:left="995" w:right="0" w:hanging="619"/>
        <w:jc w:val="left"/>
        <w:rPr>
          <w:sz w:val="24"/>
        </w:rPr>
      </w:pPr>
      <w:hyperlink w:history="true" w:anchor="_bookmark112">
        <w:r>
          <w:rPr>
            <w:sz w:val="24"/>
          </w:rPr>
          <w:t>Inhiber les versions protéiques de HIF-1-</w:t>
        </w:r>
        <w:r>
          <w:rPr>
            <w:rFonts w:ascii="Symbol" w:hAnsi="Symbol"/>
            <w:sz w:val="24"/>
          </w:rPr>
          <w:t></w:t>
        </w:r>
        <w:r>
          <w:rPr>
            <w:sz w:val="24"/>
          </w:rPr>
          <w:t> et</w:t>
        </w:r>
        <w:r>
          <w:rPr>
            <w:spacing w:val="-4"/>
            <w:sz w:val="24"/>
          </w:rPr>
          <w:t> </w:t>
        </w:r>
        <w:r>
          <w:rPr>
            <w:sz w:val="24"/>
          </w:rPr>
          <w:t>de</w:t>
        </w:r>
        <w:r>
          <w:rPr>
            <w:spacing w:val="-1"/>
            <w:sz w:val="24"/>
          </w:rPr>
          <w:t> </w:t>
        </w:r>
        <w:r>
          <w:rPr>
            <w:sz w:val="24"/>
          </w:rPr>
          <w:t>HIF-1</w:t>
          <w:tab/>
          <w:t>68</w:t>
        </w:r>
      </w:hyperlink>
    </w:p>
    <w:p>
      <w:pPr>
        <w:pStyle w:val="ListParagraph"/>
        <w:numPr>
          <w:ilvl w:val="1"/>
          <w:numId w:val="1"/>
        </w:numPr>
        <w:tabs>
          <w:tab w:pos="777" w:val="left" w:leader="none"/>
          <w:tab w:pos="778" w:val="left" w:leader="none"/>
          <w:tab w:pos="8960" w:val="right" w:leader="dot"/>
        </w:tabs>
        <w:spacing w:line="240" w:lineRule="auto" w:before="142" w:after="0"/>
        <w:ind w:left="777" w:right="0" w:hanging="660"/>
        <w:jc w:val="left"/>
        <w:rPr>
          <w:sz w:val="24"/>
        </w:rPr>
      </w:pPr>
      <w:hyperlink w:history="true" w:anchor="_bookmark113">
        <w:r>
          <w:rPr>
            <w:sz w:val="24"/>
          </w:rPr>
          <w:t>Cibler la voie AMPK (AMP-activated</w:t>
        </w:r>
        <w:r>
          <w:rPr>
            <w:spacing w:val="-4"/>
            <w:sz w:val="24"/>
          </w:rPr>
          <w:t> </w:t>
        </w:r>
        <w:r>
          <w:rPr>
            <w:sz w:val="24"/>
          </w:rPr>
          <w:t>protein</w:t>
        </w:r>
        <w:r>
          <w:rPr>
            <w:spacing w:val="-1"/>
            <w:sz w:val="24"/>
          </w:rPr>
          <w:t> </w:t>
        </w:r>
        <w:r>
          <w:rPr>
            <w:sz w:val="24"/>
          </w:rPr>
          <w:t>kinase)-mTOR</w:t>
          <w:tab/>
          <w:t>69</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114">
        <w:r>
          <w:rPr>
            <w:sz w:val="24"/>
          </w:rPr>
          <w:t>La</w:t>
        </w:r>
        <w:r>
          <w:rPr>
            <w:spacing w:val="-2"/>
            <w:sz w:val="24"/>
          </w:rPr>
          <w:t> </w:t>
        </w:r>
        <w:r>
          <w:rPr>
            <w:sz w:val="24"/>
          </w:rPr>
          <w:t>metformine</w:t>
          <w:tab/>
          <w:t>69</w:t>
        </w:r>
      </w:hyperlink>
    </w:p>
    <w:p>
      <w:pPr>
        <w:pStyle w:val="ListParagraph"/>
        <w:numPr>
          <w:ilvl w:val="2"/>
          <w:numId w:val="1"/>
        </w:numPr>
        <w:tabs>
          <w:tab w:pos="889" w:val="left" w:leader="none"/>
          <w:tab w:pos="996" w:val="left" w:leader="none"/>
          <w:tab w:pos="8854" w:val="right" w:leader="dot"/>
        </w:tabs>
        <w:spacing w:line="240" w:lineRule="auto" w:before="141" w:after="0"/>
        <w:ind w:left="995" w:right="0" w:hanging="619"/>
        <w:jc w:val="left"/>
        <w:rPr>
          <w:sz w:val="24"/>
        </w:rPr>
      </w:pPr>
      <w:hyperlink w:history="true" w:anchor="_bookmark115">
        <w:r>
          <w:rPr>
            <w:sz w:val="24"/>
          </w:rPr>
          <w:t>Les inhibiteurs</w:t>
        </w:r>
        <w:r>
          <w:rPr>
            <w:spacing w:val="-1"/>
            <w:sz w:val="24"/>
          </w:rPr>
          <w:t> </w:t>
        </w:r>
        <w:r>
          <w:rPr>
            <w:sz w:val="24"/>
          </w:rPr>
          <w:t>de</w:t>
        </w:r>
        <w:r>
          <w:rPr>
            <w:spacing w:val="-2"/>
            <w:sz w:val="24"/>
          </w:rPr>
          <w:t> </w:t>
        </w:r>
        <w:r>
          <w:rPr>
            <w:sz w:val="24"/>
          </w:rPr>
          <w:t>mTOR</w:t>
          <w:tab/>
          <w:t>70</w:t>
        </w:r>
      </w:hyperlink>
    </w:p>
    <w:p>
      <w:pPr>
        <w:pStyle w:val="ListParagraph"/>
        <w:numPr>
          <w:ilvl w:val="1"/>
          <w:numId w:val="1"/>
        </w:numPr>
        <w:tabs>
          <w:tab w:pos="777" w:val="left" w:leader="none"/>
          <w:tab w:pos="778" w:val="left" w:leader="none"/>
          <w:tab w:pos="8960" w:val="right" w:leader="dot"/>
        </w:tabs>
        <w:spacing w:line="240" w:lineRule="auto" w:before="141" w:after="0"/>
        <w:ind w:left="777" w:right="0" w:hanging="660"/>
        <w:jc w:val="left"/>
        <w:rPr>
          <w:sz w:val="24"/>
        </w:rPr>
      </w:pPr>
      <w:hyperlink w:history="true" w:anchor="_bookmark116">
        <w:r>
          <w:rPr>
            <w:sz w:val="24"/>
          </w:rPr>
          <w:t>Cibler la formation d’acétyl-CoA, à la base des</w:t>
        </w:r>
        <w:r>
          <w:rPr>
            <w:spacing w:val="-7"/>
            <w:sz w:val="24"/>
          </w:rPr>
          <w:t> </w:t>
        </w:r>
        <w:r>
          <w:rPr>
            <w:sz w:val="24"/>
          </w:rPr>
          <w:t>réactions</w:t>
        </w:r>
        <w:r>
          <w:rPr>
            <w:spacing w:val="-1"/>
            <w:sz w:val="24"/>
          </w:rPr>
          <w:t> </w:t>
        </w:r>
        <w:r>
          <w:rPr>
            <w:sz w:val="24"/>
          </w:rPr>
          <w:t>anaboliques</w:t>
          <w:tab/>
          <w:t>72</w:t>
        </w:r>
      </w:hyperlink>
    </w:p>
    <w:p>
      <w:pPr>
        <w:pStyle w:val="ListParagraph"/>
        <w:numPr>
          <w:ilvl w:val="2"/>
          <w:numId w:val="1"/>
        </w:numPr>
        <w:tabs>
          <w:tab w:pos="889" w:val="left" w:leader="none"/>
          <w:tab w:pos="996" w:val="left" w:leader="none"/>
          <w:tab w:pos="8854" w:val="right" w:leader="dot"/>
        </w:tabs>
        <w:spacing w:line="240" w:lineRule="auto" w:before="138" w:after="0"/>
        <w:ind w:left="995" w:right="0" w:hanging="619"/>
        <w:jc w:val="left"/>
        <w:rPr>
          <w:sz w:val="24"/>
        </w:rPr>
      </w:pPr>
      <w:hyperlink w:history="true" w:anchor="_bookmark117">
        <w:r>
          <w:rPr>
            <w:sz w:val="24"/>
          </w:rPr>
          <w:t>Cibler la pyruvate</w:t>
        </w:r>
        <w:r>
          <w:rPr>
            <w:spacing w:val="-3"/>
            <w:sz w:val="24"/>
          </w:rPr>
          <w:t> </w:t>
        </w:r>
        <w:r>
          <w:rPr>
            <w:sz w:val="24"/>
          </w:rPr>
          <w:t>déshydrogénase (PDH)</w:t>
          <w:tab/>
          <w:t>72</w:t>
        </w:r>
      </w:hyperlink>
    </w:p>
    <w:p>
      <w:pPr>
        <w:spacing w:after="0" w:line="240" w:lineRule="auto"/>
        <w:jc w:val="left"/>
        <w:rPr>
          <w:sz w:val="24"/>
        </w:rPr>
        <w:sectPr>
          <w:pgSz w:w="11910" w:h="16840"/>
          <w:pgMar w:header="0" w:footer="995" w:top="1320" w:bottom="1240" w:left="1520" w:right="1320"/>
        </w:sectPr>
      </w:pPr>
    </w:p>
    <w:p>
      <w:pPr>
        <w:pStyle w:val="ListParagraph"/>
        <w:numPr>
          <w:ilvl w:val="3"/>
          <w:numId w:val="1"/>
        </w:numPr>
        <w:tabs>
          <w:tab w:pos="1215" w:val="left" w:leader="none"/>
          <w:tab w:pos="1216" w:val="left" w:leader="none"/>
          <w:tab w:pos="9180" w:val="right" w:leader="dot"/>
        </w:tabs>
        <w:spacing w:line="240" w:lineRule="auto" w:before="69" w:after="0"/>
        <w:ind w:left="1215" w:right="0" w:hanging="439"/>
        <w:jc w:val="left"/>
        <w:rPr>
          <w:sz w:val="22"/>
        </w:rPr>
      </w:pPr>
      <w:hyperlink w:history="true" w:anchor="_bookmark118">
        <w:r>
          <w:rPr>
            <w:sz w:val="22"/>
          </w:rPr>
          <w:t>Le</w:t>
        </w:r>
        <w:r>
          <w:rPr>
            <w:spacing w:val="-1"/>
            <w:sz w:val="22"/>
          </w:rPr>
          <w:t> </w:t>
        </w:r>
        <w:r>
          <w:rPr>
            <w:sz w:val="22"/>
          </w:rPr>
          <w:t>dichloroacétate</w:t>
        </w:r>
        <w:r>
          <w:rPr>
            <w:spacing w:val="-1"/>
            <w:sz w:val="22"/>
          </w:rPr>
          <w:t> </w:t>
        </w:r>
        <w:r>
          <w:rPr>
            <w:sz w:val="22"/>
          </w:rPr>
          <w:t>(DCA)</w:t>
          <w:tab/>
          <w:t>72</w:t>
        </w:r>
      </w:hyperlink>
    </w:p>
    <w:p>
      <w:pPr>
        <w:pStyle w:val="ListParagraph"/>
        <w:numPr>
          <w:ilvl w:val="3"/>
          <w:numId w:val="1"/>
        </w:numPr>
        <w:tabs>
          <w:tab w:pos="1215" w:val="left" w:leader="none"/>
          <w:tab w:pos="1216" w:val="left" w:leader="none"/>
          <w:tab w:pos="9180" w:val="right" w:leader="dot"/>
        </w:tabs>
        <w:spacing w:line="240" w:lineRule="auto" w:before="138" w:after="0"/>
        <w:ind w:left="1215" w:right="0" w:hanging="439"/>
        <w:jc w:val="left"/>
        <w:rPr>
          <w:sz w:val="22"/>
        </w:rPr>
      </w:pPr>
      <w:hyperlink w:history="true" w:anchor="_bookmark121">
        <w:r>
          <w:rPr>
            <w:sz w:val="22"/>
          </w:rPr>
          <w:t>L’acide alpha</w:t>
        </w:r>
        <w:r>
          <w:rPr>
            <w:spacing w:val="-1"/>
            <w:sz w:val="22"/>
          </w:rPr>
          <w:t> </w:t>
        </w:r>
        <w:r>
          <w:rPr>
            <w:sz w:val="22"/>
          </w:rPr>
          <w:t>lipoïque</w:t>
        </w:r>
        <w:r>
          <w:rPr>
            <w:spacing w:val="-3"/>
            <w:sz w:val="22"/>
          </w:rPr>
          <w:t> </w:t>
        </w:r>
        <w:r>
          <w:rPr>
            <w:sz w:val="22"/>
          </w:rPr>
          <w:t>(ALA)</w:t>
          <w:tab/>
          <w:t>74</w:t>
        </w:r>
      </w:hyperlink>
    </w:p>
    <w:p>
      <w:pPr>
        <w:pStyle w:val="ListParagraph"/>
        <w:numPr>
          <w:ilvl w:val="2"/>
          <w:numId w:val="1"/>
        </w:numPr>
        <w:tabs>
          <w:tab w:pos="1109" w:val="left" w:leader="none"/>
          <w:tab w:pos="1216" w:val="left" w:leader="none"/>
          <w:tab w:pos="9074" w:val="right" w:leader="dot"/>
        </w:tabs>
        <w:spacing w:line="240" w:lineRule="auto" w:before="139" w:after="0"/>
        <w:ind w:left="1215" w:right="0" w:hanging="619"/>
        <w:jc w:val="left"/>
        <w:rPr>
          <w:sz w:val="24"/>
        </w:rPr>
      </w:pPr>
      <w:hyperlink w:history="true" w:anchor="_bookmark122">
        <w:r>
          <w:rPr>
            <w:sz w:val="24"/>
          </w:rPr>
          <w:t>Cibler l’ATP-citrate Lyase</w:t>
        </w:r>
        <w:r>
          <w:rPr>
            <w:spacing w:val="-2"/>
            <w:sz w:val="24"/>
          </w:rPr>
          <w:t> </w:t>
        </w:r>
        <w:r>
          <w:rPr>
            <w:sz w:val="24"/>
          </w:rPr>
          <w:t>(ACLY)</w:t>
          <w:tab/>
          <w:t>74</w:t>
        </w:r>
      </w:hyperlink>
    </w:p>
    <w:p>
      <w:pPr>
        <w:pStyle w:val="ListParagraph"/>
        <w:numPr>
          <w:ilvl w:val="1"/>
          <w:numId w:val="1"/>
        </w:numPr>
        <w:tabs>
          <w:tab w:pos="997" w:val="left" w:leader="none"/>
          <w:tab w:pos="998" w:val="left" w:leader="none"/>
          <w:tab w:pos="9180" w:val="right" w:leader="dot"/>
        </w:tabs>
        <w:spacing w:line="240" w:lineRule="auto" w:before="141" w:after="0"/>
        <w:ind w:left="997" w:right="0" w:hanging="660"/>
        <w:jc w:val="left"/>
        <w:rPr>
          <w:sz w:val="24"/>
        </w:rPr>
      </w:pPr>
      <w:hyperlink w:history="true" w:anchor="_bookmark123">
        <w:r>
          <w:rPr>
            <w:sz w:val="24"/>
          </w:rPr>
          <w:t>Cibler</w:t>
        </w:r>
        <w:r>
          <w:rPr>
            <w:spacing w:val="-1"/>
            <w:sz w:val="24"/>
          </w:rPr>
          <w:t> </w:t>
        </w:r>
        <w:r>
          <w:rPr>
            <w:sz w:val="24"/>
          </w:rPr>
          <w:t>l’équilibre</w:t>
        </w:r>
        <w:r>
          <w:rPr>
            <w:spacing w:val="-3"/>
            <w:sz w:val="24"/>
          </w:rPr>
          <w:t> </w:t>
        </w:r>
        <w:r>
          <w:rPr>
            <w:sz w:val="24"/>
          </w:rPr>
          <w:t>acido-basique</w:t>
          <w:tab/>
          <w:t>75</w:t>
        </w:r>
      </w:hyperlink>
    </w:p>
    <w:p>
      <w:pPr>
        <w:pStyle w:val="ListParagraph"/>
        <w:numPr>
          <w:ilvl w:val="2"/>
          <w:numId w:val="1"/>
        </w:numPr>
        <w:tabs>
          <w:tab w:pos="1215" w:val="left" w:leader="none"/>
          <w:tab w:pos="1216" w:val="left" w:leader="none"/>
          <w:tab w:pos="9180" w:val="right" w:leader="dot"/>
        </w:tabs>
        <w:spacing w:line="362" w:lineRule="auto" w:before="141" w:after="0"/>
        <w:ind w:left="596" w:right="104" w:firstLine="0"/>
        <w:jc w:val="left"/>
        <w:rPr>
          <w:sz w:val="24"/>
        </w:rPr>
      </w:pPr>
      <w:hyperlink w:history="true" w:anchor="_bookmark124">
        <w:r>
          <w:rPr>
            <w:sz w:val="24"/>
          </w:rPr>
          <w:t>Réduire la formation du lactate </w:t>
        </w:r>
        <w:r>
          <w:rPr>
            <w:i/>
            <w:sz w:val="24"/>
          </w:rPr>
          <w:t>via </w:t>
        </w:r>
        <w:r>
          <w:rPr>
            <w:sz w:val="24"/>
          </w:rPr>
          <w:t>les inhibiteurs de la lactate déshydrogénase..</w:t>
        </w:r>
        <w:r>
          <w:rPr>
            <w:spacing w:val="-17"/>
            <w:sz w:val="24"/>
          </w:rPr>
          <w:t> </w:t>
        </w:r>
        <w:r>
          <w:rPr>
            <w:sz w:val="24"/>
          </w:rPr>
          <w:t>75</w:t>
        </w:r>
      </w:hyperlink>
      <w:hyperlink w:history="true" w:anchor="_bookmark125">
        <w:r>
          <w:rPr>
            <w:sz w:val="24"/>
          </w:rPr>
          <w:t> 2.</w:t>
          <w:tab/>
          <w:t>Limiter l’import de lactate </w:t>
        </w:r>
        <w:r>
          <w:rPr>
            <w:i/>
            <w:sz w:val="24"/>
          </w:rPr>
          <w:t>via </w:t>
        </w:r>
        <w:r>
          <w:rPr>
            <w:sz w:val="24"/>
          </w:rPr>
          <w:t>l’inhibition</w:t>
        </w:r>
        <w:r>
          <w:rPr>
            <w:spacing w:val="-3"/>
            <w:sz w:val="24"/>
          </w:rPr>
          <w:t> </w:t>
        </w:r>
        <w:r>
          <w:rPr>
            <w:sz w:val="24"/>
          </w:rPr>
          <w:t>des</w:t>
        </w:r>
        <w:r>
          <w:rPr>
            <w:spacing w:val="-1"/>
            <w:sz w:val="24"/>
          </w:rPr>
          <w:t> </w:t>
        </w:r>
        <w:r>
          <w:rPr>
            <w:sz w:val="24"/>
          </w:rPr>
          <w:t>MCT-1</w:t>
          <w:tab/>
          <w:t>76</w:t>
        </w:r>
      </w:hyperlink>
    </w:p>
    <w:p>
      <w:pPr>
        <w:pStyle w:val="ListParagraph"/>
        <w:numPr>
          <w:ilvl w:val="0"/>
          <w:numId w:val="2"/>
        </w:numPr>
        <w:tabs>
          <w:tab w:pos="1215" w:val="left" w:leader="none"/>
          <w:tab w:pos="1216" w:val="left" w:leader="none"/>
        </w:tabs>
        <w:spacing w:line="240" w:lineRule="auto" w:before="8" w:after="0"/>
        <w:ind w:left="1215" w:right="0" w:hanging="619"/>
        <w:jc w:val="left"/>
        <w:rPr>
          <w:sz w:val="24"/>
        </w:rPr>
      </w:pPr>
      <w:hyperlink w:history="true" w:anchor="_bookmark126">
        <w:r>
          <w:rPr>
            <w:sz w:val="24"/>
          </w:rPr>
          <w:t>Accentuer l’acidification intracellulaire </w:t>
        </w:r>
        <w:r>
          <w:rPr>
            <w:i/>
            <w:sz w:val="24"/>
          </w:rPr>
          <w:t>via </w:t>
        </w:r>
        <w:r>
          <w:rPr>
            <w:sz w:val="24"/>
          </w:rPr>
          <w:t>les inhibiteurs des molécules</w:t>
        </w:r>
        <w:r>
          <w:rPr>
            <w:spacing w:val="-16"/>
            <w:sz w:val="24"/>
          </w:rPr>
          <w:t> </w:t>
        </w:r>
        <w:r>
          <w:rPr>
            <w:sz w:val="24"/>
          </w:rPr>
          <w:t>gérant</w:t>
        </w:r>
      </w:hyperlink>
    </w:p>
    <w:p>
      <w:pPr>
        <w:pStyle w:val="BodyText"/>
        <w:tabs>
          <w:tab w:pos="9074" w:val="right" w:leader="dot"/>
        </w:tabs>
        <w:spacing w:before="38"/>
        <w:ind w:left="490"/>
        <w:jc w:val="center"/>
      </w:pPr>
      <w:hyperlink w:history="true" w:anchor="_bookmark126">
        <w:r>
          <w:rPr/>
          <w:t>les efflux</w:t>
        </w:r>
        <w:r>
          <w:rPr>
            <w:spacing w:val="0"/>
          </w:rPr>
          <w:t> </w:t>
        </w:r>
        <w:r>
          <w:rPr/>
          <w:t>de</w:t>
        </w:r>
        <w:r>
          <w:rPr>
            <w:spacing w:val="-2"/>
          </w:rPr>
          <w:t> </w:t>
        </w:r>
        <w:r>
          <w:rPr/>
          <w:t>protons</w:t>
          <w:tab/>
          <w:t>77</w:t>
        </w:r>
      </w:hyperlink>
    </w:p>
    <w:p>
      <w:pPr>
        <w:pStyle w:val="ListParagraph"/>
        <w:numPr>
          <w:ilvl w:val="1"/>
          <w:numId w:val="2"/>
        </w:numPr>
        <w:tabs>
          <w:tab w:pos="1215" w:val="left" w:leader="none"/>
          <w:tab w:pos="1216" w:val="left" w:leader="none"/>
          <w:tab w:pos="9180" w:val="right" w:leader="dot"/>
        </w:tabs>
        <w:spacing w:line="240" w:lineRule="auto" w:before="141" w:after="0"/>
        <w:ind w:left="1215" w:right="0" w:hanging="439"/>
        <w:jc w:val="left"/>
        <w:rPr>
          <w:sz w:val="22"/>
        </w:rPr>
      </w:pPr>
      <w:hyperlink w:history="true" w:anchor="_bookmark127">
        <w:r>
          <w:rPr>
            <w:sz w:val="22"/>
          </w:rPr>
          <w:t>Les inhibiteurs des pompes à protons (IPP), régulant</w:t>
        </w:r>
        <w:r>
          <w:rPr>
            <w:spacing w:val="-5"/>
            <w:sz w:val="22"/>
          </w:rPr>
          <w:t> </w:t>
        </w:r>
        <w:r>
          <w:rPr>
            <w:sz w:val="22"/>
          </w:rPr>
          <w:t>la</w:t>
        </w:r>
        <w:r>
          <w:rPr>
            <w:spacing w:val="-3"/>
            <w:sz w:val="22"/>
          </w:rPr>
          <w:t> </w:t>
        </w:r>
        <w:r>
          <w:rPr>
            <w:sz w:val="22"/>
          </w:rPr>
          <w:t>V-ATPase</w:t>
          <w:tab/>
          <w:t>77</w:t>
        </w:r>
      </w:hyperlink>
    </w:p>
    <w:p>
      <w:pPr>
        <w:pStyle w:val="ListParagraph"/>
        <w:numPr>
          <w:ilvl w:val="1"/>
          <w:numId w:val="2"/>
        </w:numPr>
        <w:tabs>
          <w:tab w:pos="1215" w:val="left" w:leader="none"/>
          <w:tab w:pos="1216" w:val="left" w:leader="none"/>
          <w:tab w:pos="9180" w:val="right" w:leader="dot"/>
        </w:tabs>
        <w:spacing w:line="240" w:lineRule="auto" w:before="138" w:after="0"/>
        <w:ind w:left="1215" w:right="0" w:hanging="439"/>
        <w:jc w:val="left"/>
        <w:rPr>
          <w:sz w:val="22"/>
        </w:rPr>
      </w:pPr>
      <w:hyperlink w:history="true" w:anchor="_bookmark128">
        <w:r>
          <w:rPr>
            <w:sz w:val="22"/>
          </w:rPr>
          <w:t>Les inhibiteurs de l’échangeur</w:t>
        </w:r>
        <w:r>
          <w:rPr>
            <w:spacing w:val="-2"/>
            <w:sz w:val="22"/>
          </w:rPr>
          <w:t> </w:t>
        </w:r>
        <w:r>
          <w:rPr>
            <w:sz w:val="22"/>
          </w:rPr>
          <w:t>Na+/H+</w:t>
        </w:r>
        <w:r>
          <w:rPr>
            <w:spacing w:val="-3"/>
            <w:sz w:val="22"/>
          </w:rPr>
          <w:t> </w:t>
        </w:r>
        <w:r>
          <w:rPr>
            <w:sz w:val="22"/>
          </w:rPr>
          <w:t>(NHE-1)</w:t>
          <w:tab/>
          <w:t>78</w:t>
        </w:r>
      </w:hyperlink>
    </w:p>
    <w:p>
      <w:pPr>
        <w:pStyle w:val="ListParagraph"/>
        <w:numPr>
          <w:ilvl w:val="1"/>
          <w:numId w:val="2"/>
        </w:numPr>
        <w:tabs>
          <w:tab w:pos="1216" w:val="left" w:leader="none"/>
          <w:tab w:pos="9180" w:val="right" w:leader="dot"/>
        </w:tabs>
        <w:spacing w:line="240" w:lineRule="auto" w:before="137" w:after="0"/>
        <w:ind w:left="1215" w:right="0" w:hanging="439"/>
        <w:jc w:val="left"/>
        <w:rPr>
          <w:sz w:val="22"/>
        </w:rPr>
      </w:pPr>
      <w:hyperlink w:history="true" w:anchor="_bookmark129">
        <w:r>
          <w:rPr>
            <w:sz w:val="22"/>
          </w:rPr>
          <w:t>Les inhibiteurs des anhydrases carboniques (CA) IX</w:t>
        </w:r>
        <w:r>
          <w:rPr>
            <w:spacing w:val="-5"/>
            <w:sz w:val="22"/>
          </w:rPr>
          <w:t> </w:t>
        </w:r>
        <w:r>
          <w:rPr>
            <w:sz w:val="22"/>
          </w:rPr>
          <w:t>et</w:t>
        </w:r>
        <w:r>
          <w:rPr>
            <w:spacing w:val="-3"/>
            <w:sz w:val="22"/>
          </w:rPr>
          <w:t> </w:t>
        </w:r>
        <w:r>
          <w:rPr>
            <w:sz w:val="22"/>
          </w:rPr>
          <w:t>XII</w:t>
          <w:tab/>
          <w:t>78</w:t>
        </w:r>
      </w:hyperlink>
    </w:p>
    <w:p>
      <w:pPr>
        <w:pStyle w:val="ListParagraph"/>
        <w:numPr>
          <w:ilvl w:val="1"/>
          <w:numId w:val="1"/>
        </w:numPr>
        <w:tabs>
          <w:tab w:pos="1052" w:val="left" w:leader="none"/>
          <w:tab w:pos="1053" w:val="left" w:leader="none"/>
          <w:tab w:pos="9180" w:val="right" w:leader="dot"/>
        </w:tabs>
        <w:spacing w:line="240" w:lineRule="auto" w:before="138" w:after="0"/>
        <w:ind w:left="1052" w:right="0" w:hanging="715"/>
        <w:jc w:val="left"/>
        <w:rPr>
          <w:sz w:val="24"/>
        </w:rPr>
      </w:pPr>
      <w:hyperlink w:history="true" w:anchor="_bookmark130">
        <w:r>
          <w:rPr>
            <w:sz w:val="24"/>
          </w:rPr>
          <w:t>Conclusion</w:t>
        </w:r>
        <w:r>
          <w:rPr>
            <w:spacing w:val="-1"/>
            <w:sz w:val="24"/>
          </w:rPr>
          <w:t> </w:t>
        </w:r>
        <w:r>
          <w:rPr>
            <w:sz w:val="24"/>
          </w:rPr>
          <w:t>partielle</w:t>
          <w:tab/>
          <w:t>79</w:t>
        </w:r>
      </w:hyperlink>
    </w:p>
    <w:p>
      <w:pPr>
        <w:pStyle w:val="BodyText"/>
        <w:tabs>
          <w:tab w:pos="9180" w:val="right" w:leader="dot"/>
        </w:tabs>
        <w:spacing w:line="276" w:lineRule="auto" w:before="600"/>
        <w:ind w:left="116" w:right="104"/>
      </w:pPr>
      <w:hyperlink w:history="true" w:anchor="_bookmark132">
        <w:r>
          <w:rPr/>
          <w:t>Partie 2 : Utilisation clinique des molécules ciblant le métabolisme énergétique modifié des</w:t>
        </w:r>
      </w:hyperlink>
      <w:r>
        <w:rPr/>
        <w:t> </w:t>
      </w:r>
      <w:hyperlink w:history="true" w:anchor="_bookmark132">
        <w:r>
          <w:rPr/>
          <w:t>cellules</w:t>
        </w:r>
        <w:r>
          <w:rPr>
            <w:spacing w:val="-1"/>
          </w:rPr>
          <w:t> </w:t>
        </w:r>
        <w:r>
          <w:rPr/>
          <w:t>tumorales</w:t>
          <w:tab/>
          <w:t>87</w:t>
        </w:r>
      </w:hyperlink>
    </w:p>
    <w:p>
      <w:pPr>
        <w:pStyle w:val="ListParagraph"/>
        <w:numPr>
          <w:ilvl w:val="0"/>
          <w:numId w:val="3"/>
        </w:numPr>
        <w:tabs>
          <w:tab w:pos="596" w:val="left" w:leader="none"/>
          <w:tab w:pos="597" w:val="left" w:leader="none"/>
          <w:tab w:pos="9180" w:val="right" w:leader="dot"/>
        </w:tabs>
        <w:spacing w:line="240" w:lineRule="auto" w:before="558" w:after="0"/>
        <w:ind w:left="596" w:right="0" w:hanging="480"/>
        <w:jc w:val="left"/>
        <w:rPr>
          <w:sz w:val="24"/>
        </w:rPr>
      </w:pPr>
      <w:hyperlink w:history="true" w:anchor="_bookmark133">
        <w:r>
          <w:rPr>
            <w:sz w:val="24"/>
          </w:rPr>
          <w:t>Préalable</w:t>
        </w:r>
        <w:r>
          <w:rPr>
            <w:spacing w:val="-2"/>
            <w:sz w:val="24"/>
          </w:rPr>
          <w:t> </w:t>
        </w:r>
        <w:r>
          <w:rPr>
            <w:sz w:val="24"/>
          </w:rPr>
          <w:t>à</w:t>
        </w:r>
        <w:r>
          <w:rPr>
            <w:spacing w:val="-2"/>
            <w:sz w:val="24"/>
          </w:rPr>
          <w:t> </w:t>
        </w:r>
        <w:r>
          <w:rPr>
            <w:sz w:val="24"/>
          </w:rPr>
          <w:t>l’étude</w:t>
          <w:tab/>
          <w:t>89</w:t>
        </w:r>
      </w:hyperlink>
    </w:p>
    <w:p>
      <w:pPr>
        <w:pStyle w:val="ListParagraph"/>
        <w:numPr>
          <w:ilvl w:val="1"/>
          <w:numId w:val="3"/>
        </w:numPr>
        <w:tabs>
          <w:tab w:pos="997" w:val="left" w:leader="none"/>
          <w:tab w:pos="998" w:val="left" w:leader="none"/>
          <w:tab w:pos="9180" w:val="right" w:leader="dot"/>
        </w:tabs>
        <w:spacing w:line="240" w:lineRule="auto" w:before="141" w:after="0"/>
        <w:ind w:left="997" w:right="0" w:hanging="660"/>
        <w:jc w:val="left"/>
        <w:rPr>
          <w:sz w:val="24"/>
        </w:rPr>
      </w:pPr>
      <w:hyperlink w:history="true" w:anchor="_bookmark134">
        <w:r>
          <w:rPr>
            <w:sz w:val="24"/>
          </w:rPr>
          <w:t>Contexte en</w:t>
        </w:r>
        <w:r>
          <w:rPr>
            <w:spacing w:val="-1"/>
            <w:sz w:val="24"/>
          </w:rPr>
          <w:t> </w:t>
        </w:r>
        <w:r>
          <w:rPr>
            <w:sz w:val="24"/>
          </w:rPr>
          <w:t>médecine</w:t>
        </w:r>
        <w:r>
          <w:rPr>
            <w:spacing w:val="-1"/>
            <w:sz w:val="24"/>
          </w:rPr>
          <w:t> </w:t>
        </w:r>
        <w:r>
          <w:rPr>
            <w:sz w:val="24"/>
          </w:rPr>
          <w:t>humaine</w:t>
          <w:tab/>
          <w:t>89</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35">
        <w:r>
          <w:rPr>
            <w:sz w:val="24"/>
          </w:rPr>
          <w:t>Méthodologie</w:t>
          <w:tab/>
          <w:t>89</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36">
        <w:r>
          <w:rPr>
            <w:sz w:val="24"/>
          </w:rPr>
          <w:t>Résultats</w:t>
          <w:tab/>
          <w:t>90</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38">
        <w:r>
          <w:rPr>
            <w:sz w:val="24"/>
          </w:rPr>
          <w:t>Discussion</w:t>
        </w:r>
        <w:r>
          <w:rPr>
            <w:spacing w:val="-1"/>
            <w:sz w:val="24"/>
          </w:rPr>
          <w:t> </w:t>
        </w:r>
        <w:r>
          <w:rPr>
            <w:sz w:val="24"/>
          </w:rPr>
          <w:t>et</w:t>
        </w:r>
        <w:r>
          <w:rPr>
            <w:spacing w:val="-1"/>
            <w:sz w:val="24"/>
          </w:rPr>
          <w:t> </w:t>
        </w:r>
        <w:r>
          <w:rPr>
            <w:sz w:val="24"/>
          </w:rPr>
          <w:t>conclusions</w:t>
          <w:tab/>
          <w:t>98</w:t>
        </w:r>
      </w:hyperlink>
    </w:p>
    <w:p>
      <w:pPr>
        <w:pStyle w:val="ListParagraph"/>
        <w:numPr>
          <w:ilvl w:val="3"/>
          <w:numId w:val="3"/>
        </w:numPr>
        <w:tabs>
          <w:tab w:pos="1215" w:val="left" w:leader="none"/>
          <w:tab w:pos="1216" w:val="left" w:leader="none"/>
          <w:tab w:pos="9180" w:val="right" w:leader="dot"/>
        </w:tabs>
        <w:spacing w:line="240" w:lineRule="auto" w:before="141" w:after="0"/>
        <w:ind w:left="776" w:right="0" w:firstLine="0"/>
        <w:jc w:val="left"/>
        <w:rPr>
          <w:sz w:val="22"/>
        </w:rPr>
      </w:pPr>
      <w:hyperlink w:history="true" w:anchor="_bookmark139">
        <w:r>
          <w:rPr>
            <w:sz w:val="22"/>
          </w:rPr>
          <w:t>Bilan</w:t>
          <w:tab/>
          <w:t>98</w:t>
        </w:r>
      </w:hyperlink>
    </w:p>
    <w:p>
      <w:pPr>
        <w:pStyle w:val="ListParagraph"/>
        <w:numPr>
          <w:ilvl w:val="3"/>
          <w:numId w:val="3"/>
        </w:numPr>
        <w:tabs>
          <w:tab w:pos="1215" w:val="left" w:leader="none"/>
          <w:tab w:pos="1216" w:val="left" w:leader="none"/>
          <w:tab w:pos="9180" w:val="right" w:leader="dot"/>
        </w:tabs>
        <w:spacing w:line="240" w:lineRule="auto" w:before="138" w:after="0"/>
        <w:ind w:left="776" w:right="0" w:firstLine="0"/>
        <w:jc w:val="left"/>
        <w:rPr>
          <w:sz w:val="22"/>
        </w:rPr>
      </w:pPr>
      <w:hyperlink w:history="true" w:anchor="_bookmark140">
        <w:r>
          <w:rPr>
            <w:sz w:val="22"/>
          </w:rPr>
          <w:t>Critères</w:t>
        </w:r>
        <w:r>
          <w:rPr>
            <w:spacing w:val="-1"/>
            <w:sz w:val="22"/>
          </w:rPr>
          <w:t> </w:t>
        </w:r>
        <w:r>
          <w:rPr>
            <w:sz w:val="22"/>
          </w:rPr>
          <w:t>de</w:t>
        </w:r>
        <w:r>
          <w:rPr>
            <w:spacing w:val="-3"/>
            <w:sz w:val="22"/>
          </w:rPr>
          <w:t> </w:t>
        </w:r>
        <w:r>
          <w:rPr>
            <w:sz w:val="22"/>
          </w:rPr>
          <w:t>sélection</w:t>
          <w:tab/>
          <w:t>98</w:t>
        </w:r>
      </w:hyperlink>
    </w:p>
    <w:p>
      <w:pPr>
        <w:pStyle w:val="ListParagraph"/>
        <w:numPr>
          <w:ilvl w:val="3"/>
          <w:numId w:val="3"/>
        </w:numPr>
        <w:tabs>
          <w:tab w:pos="1216" w:val="left" w:leader="none"/>
          <w:tab w:pos="9180" w:val="right" w:leader="dot"/>
        </w:tabs>
        <w:spacing w:line="276" w:lineRule="auto" w:before="138" w:after="0"/>
        <w:ind w:left="776" w:right="104" w:firstLine="0"/>
        <w:jc w:val="left"/>
        <w:rPr>
          <w:sz w:val="22"/>
        </w:rPr>
      </w:pPr>
      <w:hyperlink w:history="true" w:anchor="_bookmark141">
        <w:r>
          <w:rPr>
            <w:sz w:val="22"/>
          </w:rPr>
          <w:t>Détails des doses utilisées et des effets indésirables connus des molécules retenues en</w:t>
        </w:r>
      </w:hyperlink>
      <w:hyperlink w:history="true" w:anchor="_bookmark141">
        <w:r>
          <w:rPr>
            <w:sz w:val="22"/>
          </w:rPr>
          <w:t> médecine humaine</w:t>
          <w:tab/>
          <w:t>98</w:t>
        </w:r>
      </w:hyperlink>
    </w:p>
    <w:p>
      <w:pPr>
        <w:pStyle w:val="ListParagraph"/>
        <w:numPr>
          <w:ilvl w:val="1"/>
          <w:numId w:val="3"/>
        </w:numPr>
        <w:tabs>
          <w:tab w:pos="997" w:val="left" w:leader="none"/>
          <w:tab w:pos="998" w:val="left" w:leader="none"/>
          <w:tab w:pos="9180" w:val="right" w:leader="dot"/>
        </w:tabs>
        <w:spacing w:line="240" w:lineRule="auto" w:before="103" w:after="0"/>
        <w:ind w:left="997" w:right="0" w:hanging="660"/>
        <w:jc w:val="left"/>
        <w:rPr>
          <w:sz w:val="24"/>
        </w:rPr>
      </w:pPr>
      <w:hyperlink w:history="true" w:anchor="_bookmark142">
        <w:r>
          <w:rPr>
            <w:sz w:val="24"/>
          </w:rPr>
          <w:t>Contexte en</w:t>
        </w:r>
        <w:r>
          <w:rPr>
            <w:spacing w:val="-1"/>
            <w:sz w:val="24"/>
          </w:rPr>
          <w:t> </w:t>
        </w:r>
        <w:r>
          <w:rPr>
            <w:sz w:val="24"/>
          </w:rPr>
          <w:t>médecine</w:t>
        </w:r>
        <w:r>
          <w:rPr>
            <w:spacing w:val="-1"/>
            <w:sz w:val="24"/>
          </w:rPr>
          <w:t> </w:t>
        </w:r>
        <w:r>
          <w:rPr>
            <w:sz w:val="24"/>
          </w:rPr>
          <w:t>vétérinaire</w:t>
          <w:tab/>
          <w:t>100</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43">
        <w:r>
          <w:rPr>
            <w:sz w:val="24"/>
          </w:rPr>
          <w:t>Méthodologie</w:t>
          <w:tab/>
          <w:t>100</w:t>
        </w:r>
      </w:hyperlink>
    </w:p>
    <w:p>
      <w:pPr>
        <w:pStyle w:val="ListParagraph"/>
        <w:numPr>
          <w:ilvl w:val="2"/>
          <w:numId w:val="3"/>
        </w:numPr>
        <w:tabs>
          <w:tab w:pos="1109" w:val="left" w:leader="none"/>
          <w:tab w:pos="1216" w:val="left" w:leader="none"/>
          <w:tab w:pos="9074" w:val="right" w:leader="dot"/>
        </w:tabs>
        <w:spacing w:line="240" w:lineRule="auto" w:before="138" w:after="0"/>
        <w:ind w:left="1215" w:right="0" w:hanging="619"/>
        <w:jc w:val="left"/>
        <w:rPr>
          <w:sz w:val="24"/>
        </w:rPr>
      </w:pPr>
      <w:hyperlink w:history="true" w:anchor="_bookmark144">
        <w:r>
          <w:rPr>
            <w:sz w:val="24"/>
          </w:rPr>
          <w:t>Résultats</w:t>
          <w:tab/>
          <w:t>100</w:t>
        </w:r>
      </w:hyperlink>
    </w:p>
    <w:p>
      <w:pPr>
        <w:pStyle w:val="ListParagraph"/>
        <w:numPr>
          <w:ilvl w:val="3"/>
          <w:numId w:val="3"/>
        </w:numPr>
        <w:tabs>
          <w:tab w:pos="1215" w:val="left" w:leader="none"/>
          <w:tab w:pos="1216" w:val="left" w:leader="none"/>
          <w:tab w:pos="9180" w:val="right" w:leader="dot"/>
        </w:tabs>
        <w:spacing w:line="240" w:lineRule="auto" w:before="140" w:after="0"/>
        <w:ind w:left="1215" w:right="0" w:hanging="439"/>
        <w:jc w:val="left"/>
        <w:rPr>
          <w:sz w:val="22"/>
        </w:rPr>
      </w:pPr>
      <w:hyperlink w:history="true" w:anchor="_bookmark145">
        <w:r>
          <w:rPr>
            <w:sz w:val="22"/>
          </w:rPr>
          <w:t>L’utilisation des inhibiteurs de pompes à</w:t>
        </w:r>
        <w:r>
          <w:rPr>
            <w:spacing w:val="-3"/>
            <w:sz w:val="22"/>
          </w:rPr>
          <w:t> </w:t>
        </w:r>
        <w:r>
          <w:rPr>
            <w:sz w:val="22"/>
          </w:rPr>
          <w:t>protons</w:t>
        </w:r>
        <w:r>
          <w:rPr>
            <w:spacing w:val="-1"/>
            <w:sz w:val="22"/>
          </w:rPr>
          <w:t> </w:t>
        </w:r>
        <w:r>
          <w:rPr>
            <w:sz w:val="22"/>
          </w:rPr>
          <w:t>(IPP)</w:t>
          <w:tab/>
          <w:t>100</w:t>
        </w:r>
      </w:hyperlink>
    </w:p>
    <w:p>
      <w:pPr>
        <w:pStyle w:val="ListParagraph"/>
        <w:numPr>
          <w:ilvl w:val="3"/>
          <w:numId w:val="3"/>
        </w:numPr>
        <w:tabs>
          <w:tab w:pos="1215" w:val="left" w:leader="none"/>
          <w:tab w:pos="1216" w:val="left" w:leader="none"/>
          <w:tab w:pos="9180" w:val="right" w:leader="dot"/>
        </w:tabs>
        <w:spacing w:line="240" w:lineRule="auto" w:before="137" w:after="0"/>
        <w:ind w:left="1215" w:right="0" w:hanging="439"/>
        <w:jc w:val="left"/>
        <w:rPr>
          <w:sz w:val="22"/>
        </w:rPr>
      </w:pPr>
      <w:hyperlink w:history="true" w:anchor="_bookmark146">
        <w:r>
          <w:rPr>
            <w:sz w:val="22"/>
          </w:rPr>
          <w:t>La</w:t>
        </w:r>
        <w:r>
          <w:rPr>
            <w:spacing w:val="-1"/>
            <w:sz w:val="22"/>
          </w:rPr>
          <w:t> </w:t>
        </w:r>
        <w:r>
          <w:rPr>
            <w:sz w:val="22"/>
          </w:rPr>
          <w:t>metformine</w:t>
        </w:r>
        <w:r>
          <w:rPr>
            <w:spacing w:val="-1"/>
            <w:sz w:val="22"/>
          </w:rPr>
          <w:t> </w:t>
        </w:r>
        <w:r>
          <w:rPr>
            <w:sz w:val="22"/>
          </w:rPr>
          <w:t>(MET)</w:t>
          <w:tab/>
          <w:t>102</w:t>
        </w:r>
      </w:hyperlink>
    </w:p>
    <w:p>
      <w:pPr>
        <w:pStyle w:val="ListParagraph"/>
        <w:numPr>
          <w:ilvl w:val="3"/>
          <w:numId w:val="3"/>
        </w:numPr>
        <w:tabs>
          <w:tab w:pos="1216" w:val="left" w:leader="none"/>
          <w:tab w:pos="9180" w:val="right" w:leader="dot"/>
        </w:tabs>
        <w:spacing w:line="240" w:lineRule="auto" w:before="137" w:after="0"/>
        <w:ind w:left="1215" w:right="0" w:hanging="439"/>
        <w:jc w:val="left"/>
        <w:rPr>
          <w:sz w:val="22"/>
        </w:rPr>
      </w:pPr>
      <w:hyperlink w:history="true" w:anchor="_bookmark147">
        <w:r>
          <w:rPr>
            <w:sz w:val="22"/>
          </w:rPr>
          <w:t>L’hydroxycitrate</w:t>
        </w:r>
        <w:r>
          <w:rPr>
            <w:spacing w:val="-1"/>
            <w:sz w:val="22"/>
          </w:rPr>
          <w:t> </w:t>
        </w:r>
        <w:r>
          <w:rPr>
            <w:sz w:val="22"/>
          </w:rPr>
          <w:t>(HCA)</w:t>
          <w:tab/>
          <w:t>102</w:t>
        </w:r>
      </w:hyperlink>
    </w:p>
    <w:p>
      <w:pPr>
        <w:pStyle w:val="ListParagraph"/>
        <w:numPr>
          <w:ilvl w:val="3"/>
          <w:numId w:val="3"/>
        </w:numPr>
        <w:tabs>
          <w:tab w:pos="1215" w:val="left" w:leader="none"/>
          <w:tab w:pos="1216" w:val="left" w:leader="none"/>
          <w:tab w:pos="9180" w:val="right" w:leader="dot"/>
        </w:tabs>
        <w:spacing w:line="240" w:lineRule="auto" w:before="137" w:after="0"/>
        <w:ind w:left="1215" w:right="0" w:hanging="439"/>
        <w:jc w:val="left"/>
        <w:rPr>
          <w:sz w:val="22"/>
        </w:rPr>
      </w:pPr>
      <w:hyperlink w:history="true" w:anchor="_bookmark148">
        <w:r>
          <w:rPr>
            <w:sz w:val="22"/>
          </w:rPr>
          <w:t>L’acide alpha</w:t>
        </w:r>
        <w:r>
          <w:rPr>
            <w:spacing w:val="-1"/>
            <w:sz w:val="22"/>
          </w:rPr>
          <w:t> </w:t>
        </w:r>
        <w:r>
          <w:rPr>
            <w:sz w:val="22"/>
          </w:rPr>
          <w:t>lipoïque</w:t>
        </w:r>
        <w:r>
          <w:rPr>
            <w:spacing w:val="-3"/>
            <w:sz w:val="22"/>
          </w:rPr>
          <w:t> </w:t>
        </w:r>
        <w:r>
          <w:rPr>
            <w:sz w:val="22"/>
          </w:rPr>
          <w:t>(ALA)</w:t>
          <w:tab/>
          <w:t>103</w:t>
        </w:r>
      </w:hyperlink>
    </w:p>
    <w:p>
      <w:pPr>
        <w:pStyle w:val="ListParagraph"/>
        <w:numPr>
          <w:ilvl w:val="3"/>
          <w:numId w:val="3"/>
        </w:numPr>
        <w:tabs>
          <w:tab w:pos="1215" w:val="left" w:leader="none"/>
          <w:tab w:pos="1216" w:val="left" w:leader="none"/>
          <w:tab w:pos="9180" w:val="right" w:leader="dot"/>
        </w:tabs>
        <w:spacing w:line="240" w:lineRule="auto" w:before="137" w:after="0"/>
        <w:ind w:left="1215" w:right="0" w:hanging="439"/>
        <w:jc w:val="left"/>
        <w:rPr>
          <w:sz w:val="22"/>
        </w:rPr>
      </w:pPr>
      <w:hyperlink w:history="true" w:anchor="_bookmark149">
        <w:r>
          <w:rPr>
            <w:sz w:val="22"/>
          </w:rPr>
          <w:t>Le</w:t>
        </w:r>
        <w:r>
          <w:rPr>
            <w:spacing w:val="-1"/>
            <w:sz w:val="22"/>
          </w:rPr>
          <w:t> </w:t>
        </w:r>
        <w:r>
          <w:rPr>
            <w:sz w:val="22"/>
          </w:rPr>
          <w:t>dichloroacétate</w:t>
        </w:r>
        <w:r>
          <w:rPr>
            <w:spacing w:val="-1"/>
            <w:sz w:val="22"/>
          </w:rPr>
          <w:t> </w:t>
        </w:r>
        <w:r>
          <w:rPr>
            <w:sz w:val="22"/>
          </w:rPr>
          <w:t>(DCA)</w:t>
          <w:tab/>
          <w:t>103</w:t>
        </w:r>
      </w:hyperlink>
    </w:p>
    <w:p>
      <w:pPr>
        <w:pStyle w:val="ListParagraph"/>
        <w:numPr>
          <w:ilvl w:val="3"/>
          <w:numId w:val="3"/>
        </w:numPr>
        <w:tabs>
          <w:tab w:pos="1215" w:val="left" w:leader="none"/>
          <w:tab w:pos="1216" w:val="left" w:leader="none"/>
          <w:tab w:pos="9180" w:val="right" w:leader="dot"/>
        </w:tabs>
        <w:spacing w:line="240" w:lineRule="auto" w:before="138" w:after="0"/>
        <w:ind w:left="1215" w:right="0" w:hanging="439"/>
        <w:jc w:val="left"/>
        <w:rPr>
          <w:sz w:val="22"/>
        </w:rPr>
      </w:pPr>
      <w:hyperlink w:history="true" w:anchor="_bookmark150">
        <w:r>
          <w:rPr>
            <w:sz w:val="22"/>
          </w:rPr>
          <w:t>Le</w:t>
        </w:r>
        <w:r>
          <w:rPr>
            <w:spacing w:val="-1"/>
            <w:sz w:val="22"/>
          </w:rPr>
          <w:t> </w:t>
        </w:r>
        <w:r>
          <w:rPr>
            <w:sz w:val="22"/>
          </w:rPr>
          <w:t>citrate</w:t>
        </w:r>
        <w:r>
          <w:rPr>
            <w:spacing w:val="-2"/>
            <w:sz w:val="22"/>
          </w:rPr>
          <w:t> </w:t>
        </w:r>
        <w:r>
          <w:rPr>
            <w:sz w:val="22"/>
          </w:rPr>
          <w:t>(CIT)</w:t>
          <w:tab/>
          <w:t>104</w:t>
        </w:r>
      </w:hyperlink>
    </w:p>
    <w:p>
      <w:pPr>
        <w:pStyle w:val="ListParagraph"/>
        <w:numPr>
          <w:ilvl w:val="3"/>
          <w:numId w:val="3"/>
        </w:numPr>
        <w:tabs>
          <w:tab w:pos="1875" w:val="left" w:leader="none"/>
          <w:tab w:pos="1876" w:val="left" w:leader="none"/>
          <w:tab w:pos="9180" w:val="right" w:leader="dot"/>
        </w:tabs>
        <w:spacing w:line="240" w:lineRule="auto" w:before="138" w:after="0"/>
        <w:ind w:left="1875" w:right="0" w:hanging="1099"/>
        <w:jc w:val="left"/>
        <w:rPr>
          <w:sz w:val="22"/>
        </w:rPr>
      </w:pPr>
      <w:hyperlink w:history="true" w:anchor="_bookmark151">
        <w:r>
          <w:rPr>
            <w:sz w:val="22"/>
          </w:rPr>
          <w:t>Le</w:t>
        </w:r>
        <w:r>
          <w:rPr>
            <w:spacing w:val="-1"/>
            <w:sz w:val="22"/>
          </w:rPr>
          <w:t> </w:t>
        </w:r>
        <w:r>
          <w:rPr>
            <w:sz w:val="22"/>
          </w:rPr>
          <w:t>3-Bromopyruvate</w:t>
        </w:r>
        <w:r>
          <w:rPr>
            <w:spacing w:val="-1"/>
            <w:sz w:val="22"/>
          </w:rPr>
          <w:t> </w:t>
        </w:r>
        <w:r>
          <w:rPr>
            <w:sz w:val="22"/>
          </w:rPr>
          <w:t>(3-BP)</w:t>
          <w:tab/>
          <w:t>104</w:t>
        </w:r>
      </w:hyperlink>
    </w:p>
    <w:p>
      <w:pPr>
        <w:spacing w:after="0" w:line="240" w:lineRule="auto"/>
        <w:jc w:val="left"/>
        <w:rPr>
          <w:sz w:val="22"/>
        </w:rPr>
        <w:sectPr>
          <w:pgSz w:w="11910" w:h="16840"/>
          <w:pgMar w:header="0" w:footer="995" w:top="1320" w:bottom="1240" w:left="1300" w:right="1320"/>
        </w:sectPr>
      </w:pPr>
    </w:p>
    <w:p>
      <w:pPr>
        <w:pStyle w:val="ListParagraph"/>
        <w:numPr>
          <w:ilvl w:val="3"/>
          <w:numId w:val="3"/>
        </w:numPr>
        <w:tabs>
          <w:tab w:pos="1769" w:val="left" w:leader="none"/>
          <w:tab w:pos="1876" w:val="left" w:leader="none"/>
          <w:tab w:pos="9074" w:val="right" w:leader="dot"/>
        </w:tabs>
        <w:spacing w:line="240" w:lineRule="auto" w:before="69" w:after="0"/>
        <w:ind w:left="1875" w:right="0" w:hanging="1099"/>
        <w:jc w:val="left"/>
        <w:rPr>
          <w:sz w:val="22"/>
        </w:rPr>
      </w:pPr>
      <w:hyperlink w:history="true" w:anchor="_bookmark152">
        <w:r>
          <w:rPr>
            <w:sz w:val="22"/>
          </w:rPr>
          <w:t>Le</w:t>
        </w:r>
        <w:r>
          <w:rPr>
            <w:spacing w:val="-1"/>
            <w:sz w:val="22"/>
          </w:rPr>
          <w:t> </w:t>
        </w:r>
        <w:r>
          <w:rPr>
            <w:sz w:val="22"/>
          </w:rPr>
          <w:t>2-désoxyglucose</w:t>
        </w:r>
        <w:r>
          <w:rPr>
            <w:spacing w:val="-3"/>
            <w:sz w:val="22"/>
          </w:rPr>
          <w:t> </w:t>
        </w:r>
        <w:r>
          <w:rPr>
            <w:sz w:val="22"/>
          </w:rPr>
          <w:t>(2-DG)</w:t>
          <w:tab/>
          <w:t>104</w:t>
        </w:r>
      </w:hyperlink>
    </w:p>
    <w:p>
      <w:pPr>
        <w:pStyle w:val="ListParagraph"/>
        <w:numPr>
          <w:ilvl w:val="2"/>
          <w:numId w:val="3"/>
        </w:numPr>
        <w:tabs>
          <w:tab w:pos="1109" w:val="left" w:leader="none"/>
          <w:tab w:pos="1216" w:val="left" w:leader="none"/>
          <w:tab w:pos="9074" w:val="right" w:leader="dot"/>
        </w:tabs>
        <w:spacing w:line="240" w:lineRule="auto" w:before="138" w:after="0"/>
        <w:ind w:left="1215" w:right="0" w:hanging="619"/>
        <w:jc w:val="left"/>
        <w:rPr>
          <w:sz w:val="24"/>
        </w:rPr>
      </w:pPr>
      <w:hyperlink w:history="true" w:anchor="_bookmark153">
        <w:r>
          <w:rPr>
            <w:sz w:val="24"/>
          </w:rPr>
          <w:t>Conclusions</w:t>
        </w:r>
        <w:r>
          <w:rPr>
            <w:spacing w:val="-1"/>
            <w:sz w:val="24"/>
          </w:rPr>
          <w:t> </w:t>
        </w:r>
        <w:r>
          <w:rPr>
            <w:sz w:val="24"/>
          </w:rPr>
          <w:t>et</w:t>
        </w:r>
        <w:r>
          <w:rPr>
            <w:spacing w:val="-1"/>
            <w:sz w:val="24"/>
          </w:rPr>
          <w:t> </w:t>
        </w:r>
        <w:r>
          <w:rPr>
            <w:sz w:val="24"/>
          </w:rPr>
          <w:t>discussion</w:t>
          <w:tab/>
          <w:t>105</w:t>
        </w:r>
      </w:hyperlink>
    </w:p>
    <w:p>
      <w:pPr>
        <w:pStyle w:val="ListParagraph"/>
        <w:numPr>
          <w:ilvl w:val="0"/>
          <w:numId w:val="3"/>
        </w:numPr>
        <w:tabs>
          <w:tab w:pos="596" w:val="left" w:leader="none"/>
          <w:tab w:pos="597" w:val="left" w:leader="none"/>
          <w:tab w:pos="9180" w:val="right" w:leader="dot"/>
        </w:tabs>
        <w:spacing w:line="240" w:lineRule="auto" w:before="599" w:after="0"/>
        <w:ind w:left="596" w:right="0" w:hanging="480"/>
        <w:jc w:val="left"/>
        <w:rPr>
          <w:sz w:val="24"/>
        </w:rPr>
      </w:pPr>
      <w:hyperlink w:history="true" w:anchor="_bookmark154">
        <w:r>
          <w:rPr>
            <w:sz w:val="24"/>
          </w:rPr>
          <w:t>Rapport de</w:t>
        </w:r>
        <w:r>
          <w:rPr>
            <w:spacing w:val="-3"/>
            <w:sz w:val="24"/>
          </w:rPr>
          <w:t> </w:t>
        </w:r>
        <w:r>
          <w:rPr>
            <w:sz w:val="24"/>
          </w:rPr>
          <w:t>cas</w:t>
        </w:r>
        <w:r>
          <w:rPr>
            <w:spacing w:val="0"/>
            <w:sz w:val="24"/>
          </w:rPr>
          <w:t> </w:t>
        </w:r>
        <w:r>
          <w:rPr>
            <w:sz w:val="24"/>
          </w:rPr>
          <w:t>cliniques</w:t>
          <w:tab/>
          <w:t>106</w:t>
        </w:r>
      </w:hyperlink>
    </w:p>
    <w:p>
      <w:pPr>
        <w:pStyle w:val="ListParagraph"/>
        <w:numPr>
          <w:ilvl w:val="1"/>
          <w:numId w:val="3"/>
        </w:numPr>
        <w:tabs>
          <w:tab w:pos="1052" w:val="left" w:leader="none"/>
          <w:tab w:pos="1053" w:val="left" w:leader="none"/>
          <w:tab w:pos="9180" w:val="right" w:leader="dot"/>
        </w:tabs>
        <w:spacing w:line="240" w:lineRule="auto" w:before="141" w:after="0"/>
        <w:ind w:left="1052" w:right="0" w:hanging="715"/>
        <w:jc w:val="left"/>
        <w:rPr>
          <w:sz w:val="24"/>
        </w:rPr>
      </w:pPr>
      <w:hyperlink w:history="true" w:anchor="_bookmark155">
        <w:r>
          <w:rPr>
            <w:sz w:val="24"/>
          </w:rPr>
          <w:t>Matériels</w:t>
        </w:r>
        <w:r>
          <w:rPr>
            <w:spacing w:val="-1"/>
            <w:sz w:val="24"/>
          </w:rPr>
          <w:t> </w:t>
        </w:r>
        <w:r>
          <w:rPr>
            <w:sz w:val="24"/>
          </w:rPr>
          <w:t>et</w:t>
        </w:r>
        <w:r>
          <w:rPr>
            <w:spacing w:val="-1"/>
            <w:sz w:val="24"/>
          </w:rPr>
          <w:t> </w:t>
        </w:r>
        <w:r>
          <w:rPr>
            <w:sz w:val="24"/>
          </w:rPr>
          <w:t>méthodes</w:t>
          <w:tab/>
          <w:t>106</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56">
        <w:r>
          <w:rPr>
            <w:sz w:val="24"/>
          </w:rPr>
          <w:t>Critères d’inclusion</w:t>
        </w:r>
        <w:r>
          <w:rPr>
            <w:spacing w:val="-2"/>
            <w:sz w:val="24"/>
          </w:rPr>
          <w:t> </w:t>
        </w:r>
        <w:r>
          <w:rPr>
            <w:sz w:val="24"/>
          </w:rPr>
          <w:t>des</w:t>
        </w:r>
        <w:r>
          <w:rPr>
            <w:spacing w:val="0"/>
            <w:sz w:val="24"/>
          </w:rPr>
          <w:t> </w:t>
        </w:r>
        <w:r>
          <w:rPr>
            <w:sz w:val="24"/>
          </w:rPr>
          <w:t>patients</w:t>
          <w:tab/>
          <w:t>106</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57">
        <w:r>
          <w:rPr>
            <w:sz w:val="24"/>
          </w:rPr>
          <w:t>Molécules utilisées et critères de</w:t>
        </w:r>
        <w:r>
          <w:rPr>
            <w:spacing w:val="-2"/>
            <w:sz w:val="24"/>
          </w:rPr>
          <w:t> </w:t>
        </w:r>
        <w:r>
          <w:rPr>
            <w:sz w:val="24"/>
          </w:rPr>
          <w:t>la</w:t>
        </w:r>
        <w:r>
          <w:rPr>
            <w:spacing w:val="-1"/>
            <w:sz w:val="24"/>
          </w:rPr>
          <w:t> </w:t>
        </w:r>
        <w:r>
          <w:rPr>
            <w:sz w:val="24"/>
          </w:rPr>
          <w:t>prescription</w:t>
          <w:tab/>
          <w:t>106</w:t>
        </w:r>
      </w:hyperlink>
    </w:p>
    <w:p>
      <w:pPr>
        <w:pStyle w:val="ListParagraph"/>
        <w:numPr>
          <w:ilvl w:val="3"/>
          <w:numId w:val="3"/>
        </w:numPr>
        <w:tabs>
          <w:tab w:pos="1109" w:val="left" w:leader="none"/>
          <w:tab w:pos="1216" w:val="left" w:leader="none"/>
          <w:tab w:pos="9074" w:val="right" w:leader="dot"/>
        </w:tabs>
        <w:spacing w:line="240" w:lineRule="auto" w:before="141" w:after="0"/>
        <w:ind w:left="1215" w:right="0" w:hanging="439"/>
        <w:jc w:val="left"/>
        <w:rPr>
          <w:sz w:val="22"/>
        </w:rPr>
      </w:pPr>
      <w:hyperlink w:history="true" w:anchor="_bookmark158">
        <w:r>
          <w:rPr>
            <w:sz w:val="22"/>
          </w:rPr>
          <w:t>Molécules utilisées</w:t>
        </w:r>
        <w:r>
          <w:rPr>
            <w:spacing w:val="-1"/>
            <w:sz w:val="22"/>
          </w:rPr>
          <w:t> </w:t>
        </w:r>
        <w:r>
          <w:rPr>
            <w:sz w:val="22"/>
          </w:rPr>
          <w:t>et association</w:t>
          <w:tab/>
          <w:t>106</w:t>
        </w:r>
      </w:hyperlink>
    </w:p>
    <w:p>
      <w:pPr>
        <w:pStyle w:val="ListParagraph"/>
        <w:numPr>
          <w:ilvl w:val="3"/>
          <w:numId w:val="3"/>
        </w:numPr>
        <w:tabs>
          <w:tab w:pos="1109" w:val="left" w:leader="none"/>
          <w:tab w:pos="1216" w:val="left" w:leader="none"/>
          <w:tab w:pos="9074" w:val="right" w:leader="dot"/>
        </w:tabs>
        <w:spacing w:line="240" w:lineRule="auto" w:before="136" w:after="0"/>
        <w:ind w:left="1215" w:right="0" w:hanging="439"/>
        <w:jc w:val="left"/>
        <w:rPr>
          <w:sz w:val="22"/>
        </w:rPr>
      </w:pPr>
      <w:hyperlink w:history="true" w:anchor="_bookmark159">
        <w:r>
          <w:rPr>
            <w:sz w:val="22"/>
          </w:rPr>
          <w:t>Doses utilisées et</w:t>
        </w:r>
        <w:r>
          <w:rPr>
            <w:spacing w:val="-3"/>
            <w:sz w:val="22"/>
          </w:rPr>
          <w:t> </w:t>
        </w:r>
        <w:r>
          <w:rPr>
            <w:sz w:val="22"/>
          </w:rPr>
          <w:t>voie</w:t>
        </w:r>
        <w:r>
          <w:rPr>
            <w:spacing w:val="-1"/>
            <w:sz w:val="22"/>
          </w:rPr>
          <w:t> </w:t>
        </w:r>
        <w:r>
          <w:rPr>
            <w:sz w:val="22"/>
          </w:rPr>
          <w:t>d’administration</w:t>
          <w:tab/>
          <w:t>107</w:t>
        </w:r>
      </w:hyperlink>
    </w:p>
    <w:p>
      <w:pPr>
        <w:pStyle w:val="ListParagraph"/>
        <w:numPr>
          <w:ilvl w:val="3"/>
          <w:numId w:val="3"/>
        </w:numPr>
        <w:tabs>
          <w:tab w:pos="1216" w:val="left" w:leader="none"/>
          <w:tab w:pos="9074" w:val="right" w:leader="dot"/>
        </w:tabs>
        <w:spacing w:line="240" w:lineRule="auto" w:before="138" w:after="0"/>
        <w:ind w:left="1215" w:right="0" w:hanging="439"/>
        <w:jc w:val="left"/>
        <w:rPr>
          <w:sz w:val="22"/>
        </w:rPr>
      </w:pPr>
      <w:hyperlink w:history="true" w:anchor="_bookmark161">
        <w:r>
          <w:rPr>
            <w:sz w:val="22"/>
          </w:rPr>
          <w:t>Provenance</w:t>
        </w:r>
        <w:r>
          <w:rPr>
            <w:spacing w:val="-2"/>
            <w:sz w:val="22"/>
          </w:rPr>
          <w:t> </w:t>
        </w:r>
        <w:r>
          <w:rPr>
            <w:sz w:val="22"/>
          </w:rPr>
          <w:t>des</w:t>
        </w:r>
        <w:r>
          <w:rPr>
            <w:spacing w:val="-1"/>
            <w:sz w:val="22"/>
          </w:rPr>
          <w:t> </w:t>
        </w:r>
        <w:r>
          <w:rPr>
            <w:sz w:val="22"/>
          </w:rPr>
          <w:t>molécules</w:t>
          <w:tab/>
          <w:t>107</w:t>
        </w:r>
      </w:hyperlink>
    </w:p>
    <w:p>
      <w:pPr>
        <w:pStyle w:val="ListParagraph"/>
        <w:numPr>
          <w:ilvl w:val="1"/>
          <w:numId w:val="3"/>
        </w:numPr>
        <w:tabs>
          <w:tab w:pos="997" w:val="left" w:leader="none"/>
          <w:tab w:pos="998" w:val="left" w:leader="none"/>
          <w:tab w:pos="9180" w:val="right" w:leader="dot"/>
        </w:tabs>
        <w:spacing w:line="240" w:lineRule="auto" w:before="138" w:after="0"/>
        <w:ind w:left="997" w:right="0" w:hanging="660"/>
        <w:jc w:val="left"/>
        <w:rPr>
          <w:sz w:val="24"/>
        </w:rPr>
      </w:pPr>
      <w:hyperlink w:history="true" w:anchor="_bookmark162">
        <w:r>
          <w:rPr>
            <w:sz w:val="24"/>
          </w:rPr>
          <w:t>Résultats</w:t>
          <w:tab/>
          <w:t>108</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63">
        <w:r>
          <w:rPr>
            <w:sz w:val="24"/>
          </w:rPr>
          <w:t>Patients</w:t>
        </w:r>
        <w:r>
          <w:rPr>
            <w:spacing w:val="-1"/>
            <w:sz w:val="24"/>
          </w:rPr>
          <w:t> </w:t>
        </w:r>
        <w:r>
          <w:rPr>
            <w:sz w:val="24"/>
          </w:rPr>
          <w:t>inclus</w:t>
          <w:tab/>
          <w:t>108</w:t>
        </w:r>
      </w:hyperlink>
    </w:p>
    <w:p>
      <w:pPr>
        <w:pStyle w:val="ListParagraph"/>
        <w:numPr>
          <w:ilvl w:val="2"/>
          <w:numId w:val="3"/>
        </w:numPr>
        <w:tabs>
          <w:tab w:pos="1215" w:val="left" w:leader="none"/>
          <w:tab w:pos="1216" w:val="left" w:leader="none"/>
          <w:tab w:pos="9180" w:val="right" w:leader="dot"/>
        </w:tabs>
        <w:spacing w:line="240" w:lineRule="auto" w:before="141" w:after="0"/>
        <w:ind w:left="1215" w:right="0" w:hanging="619"/>
        <w:jc w:val="left"/>
        <w:rPr>
          <w:sz w:val="24"/>
        </w:rPr>
      </w:pPr>
      <w:hyperlink w:history="true" w:anchor="_bookmark165">
        <w:r>
          <w:rPr>
            <w:sz w:val="24"/>
          </w:rPr>
          <w:t>Suivi clinique, effets secondaires et perception</w:t>
        </w:r>
        <w:r>
          <w:rPr>
            <w:spacing w:val="-3"/>
            <w:sz w:val="24"/>
          </w:rPr>
          <w:t> </w:t>
        </w:r>
        <w:r>
          <w:rPr>
            <w:sz w:val="24"/>
          </w:rPr>
          <w:t>des</w:t>
        </w:r>
        <w:r>
          <w:rPr>
            <w:spacing w:val="-1"/>
            <w:sz w:val="24"/>
          </w:rPr>
          <w:t> </w:t>
        </w:r>
        <w:r>
          <w:rPr>
            <w:sz w:val="24"/>
          </w:rPr>
          <w:t>propriétaires</w:t>
          <w:tab/>
          <w:t>110</w:t>
        </w:r>
      </w:hyperlink>
    </w:p>
    <w:p>
      <w:pPr>
        <w:pStyle w:val="ListParagraph"/>
        <w:numPr>
          <w:ilvl w:val="3"/>
          <w:numId w:val="3"/>
        </w:numPr>
        <w:tabs>
          <w:tab w:pos="1109" w:val="left" w:leader="none"/>
          <w:tab w:pos="1216" w:val="left" w:leader="none"/>
          <w:tab w:pos="9074" w:val="right" w:leader="dot"/>
        </w:tabs>
        <w:spacing w:line="240" w:lineRule="auto" w:before="140" w:after="0"/>
        <w:ind w:left="1215" w:right="0" w:hanging="439"/>
        <w:jc w:val="left"/>
        <w:rPr>
          <w:sz w:val="22"/>
        </w:rPr>
      </w:pPr>
      <w:hyperlink w:history="true" w:anchor="_bookmark166">
        <w:r>
          <w:rPr>
            <w:sz w:val="22"/>
          </w:rPr>
          <w:t>Suivi clinique</w:t>
          <w:tab/>
          <w:t>110</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67">
        <w:r>
          <w:rPr>
            <w:sz w:val="22"/>
          </w:rPr>
          <w:t>Observation des</w:t>
        </w:r>
        <w:r>
          <w:rPr>
            <w:spacing w:val="-1"/>
            <w:sz w:val="22"/>
          </w:rPr>
          <w:t> </w:t>
        </w:r>
        <w:r>
          <w:rPr>
            <w:sz w:val="22"/>
          </w:rPr>
          <w:t>effets</w:t>
        </w:r>
        <w:r>
          <w:rPr>
            <w:spacing w:val="-3"/>
            <w:sz w:val="22"/>
          </w:rPr>
          <w:t> </w:t>
        </w:r>
        <w:r>
          <w:rPr>
            <w:sz w:val="22"/>
          </w:rPr>
          <w:t>secondaires</w:t>
          <w:tab/>
          <w:t>110</w:t>
        </w:r>
      </w:hyperlink>
    </w:p>
    <w:p>
      <w:pPr>
        <w:pStyle w:val="ListParagraph"/>
        <w:numPr>
          <w:ilvl w:val="3"/>
          <w:numId w:val="3"/>
        </w:numPr>
        <w:tabs>
          <w:tab w:pos="1216" w:val="left" w:leader="none"/>
          <w:tab w:pos="9074" w:val="right" w:leader="dot"/>
        </w:tabs>
        <w:spacing w:line="240" w:lineRule="auto" w:before="138" w:after="0"/>
        <w:ind w:left="1215" w:right="0" w:hanging="439"/>
        <w:jc w:val="left"/>
        <w:rPr>
          <w:sz w:val="22"/>
        </w:rPr>
      </w:pPr>
      <w:hyperlink w:history="true" w:anchor="_bookmark168">
        <w:r>
          <w:rPr>
            <w:sz w:val="22"/>
          </w:rPr>
          <w:t>Perception</w:t>
        </w:r>
        <w:r>
          <w:rPr>
            <w:spacing w:val="-1"/>
            <w:sz w:val="22"/>
          </w:rPr>
          <w:t> </w:t>
        </w:r>
        <w:r>
          <w:rPr>
            <w:sz w:val="22"/>
          </w:rPr>
          <w:t>des</w:t>
        </w:r>
        <w:r>
          <w:rPr>
            <w:spacing w:val="-1"/>
            <w:sz w:val="22"/>
          </w:rPr>
          <w:t> </w:t>
        </w:r>
        <w:r>
          <w:rPr>
            <w:sz w:val="22"/>
          </w:rPr>
          <w:t>propriétaires</w:t>
          <w:tab/>
          <w:t>110</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69">
        <w:r>
          <w:rPr>
            <w:sz w:val="22"/>
          </w:rPr>
          <w:t>Synthèse</w:t>
          <w:tab/>
          <w:t>111</w:t>
        </w:r>
      </w:hyperlink>
    </w:p>
    <w:p>
      <w:pPr>
        <w:pStyle w:val="ListParagraph"/>
        <w:numPr>
          <w:ilvl w:val="2"/>
          <w:numId w:val="3"/>
        </w:numPr>
        <w:tabs>
          <w:tab w:pos="1215" w:val="left" w:leader="none"/>
          <w:tab w:pos="1216" w:val="left" w:leader="none"/>
          <w:tab w:pos="9180" w:val="right" w:leader="dot"/>
        </w:tabs>
        <w:spacing w:line="240" w:lineRule="auto" w:before="138" w:after="0"/>
        <w:ind w:left="1215" w:right="0" w:hanging="619"/>
        <w:jc w:val="left"/>
        <w:rPr>
          <w:sz w:val="24"/>
        </w:rPr>
      </w:pPr>
      <w:hyperlink w:history="true" w:anchor="_bookmark171">
        <w:r>
          <w:rPr>
            <w:sz w:val="24"/>
          </w:rPr>
          <w:t>Examens paracliniques suite à l’instauration du</w:t>
        </w:r>
        <w:r>
          <w:rPr>
            <w:spacing w:val="-6"/>
            <w:sz w:val="24"/>
          </w:rPr>
          <w:t> </w:t>
        </w:r>
        <w:r>
          <w:rPr>
            <w:sz w:val="24"/>
          </w:rPr>
          <w:t>traitement</w:t>
        </w:r>
        <w:r>
          <w:rPr>
            <w:spacing w:val="-1"/>
            <w:sz w:val="24"/>
          </w:rPr>
          <w:t> </w:t>
        </w:r>
        <w:r>
          <w:rPr>
            <w:sz w:val="24"/>
          </w:rPr>
          <w:t>métabolique</w:t>
          <w:tab/>
          <w:t>115</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72">
        <w:r>
          <w:rPr>
            <w:sz w:val="22"/>
          </w:rPr>
          <w:t>Imagerie</w:t>
        </w:r>
        <w:r>
          <w:rPr>
            <w:spacing w:val="-1"/>
            <w:sz w:val="22"/>
          </w:rPr>
          <w:t> </w:t>
        </w:r>
        <w:r>
          <w:rPr>
            <w:sz w:val="22"/>
          </w:rPr>
          <w:t>médicale</w:t>
          <w:tab/>
          <w:t>115</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73">
        <w:r>
          <w:rPr>
            <w:sz w:val="22"/>
          </w:rPr>
          <w:t>Bilans</w:t>
        </w:r>
        <w:r>
          <w:rPr>
            <w:spacing w:val="-1"/>
            <w:sz w:val="22"/>
          </w:rPr>
          <w:t> </w:t>
        </w:r>
        <w:r>
          <w:rPr>
            <w:sz w:val="22"/>
          </w:rPr>
          <w:t>sanguins</w:t>
          <w:tab/>
          <w:t>115</w:t>
        </w:r>
      </w:hyperlink>
    </w:p>
    <w:p>
      <w:pPr>
        <w:pStyle w:val="ListParagraph"/>
        <w:numPr>
          <w:ilvl w:val="1"/>
          <w:numId w:val="3"/>
        </w:numPr>
        <w:tabs>
          <w:tab w:pos="997" w:val="left" w:leader="none"/>
          <w:tab w:pos="998" w:val="left" w:leader="none"/>
          <w:tab w:pos="9180" w:val="right" w:leader="dot"/>
        </w:tabs>
        <w:spacing w:line="240" w:lineRule="auto" w:before="138" w:after="0"/>
        <w:ind w:left="997" w:right="0" w:hanging="660"/>
        <w:jc w:val="left"/>
        <w:rPr>
          <w:sz w:val="24"/>
        </w:rPr>
      </w:pPr>
      <w:hyperlink w:history="true" w:anchor="_bookmark175">
        <w:r>
          <w:rPr>
            <w:sz w:val="24"/>
          </w:rPr>
          <w:t>Discussion</w:t>
          <w:tab/>
          <w:t>119</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76">
        <w:r>
          <w:rPr>
            <w:sz w:val="24"/>
          </w:rPr>
          <w:t>Les patients inclus</w:t>
        </w:r>
        <w:r>
          <w:rPr>
            <w:spacing w:val="-2"/>
            <w:sz w:val="24"/>
          </w:rPr>
          <w:t> </w:t>
        </w:r>
        <w:r>
          <w:rPr>
            <w:sz w:val="24"/>
          </w:rPr>
          <w:t>dans</w:t>
        </w:r>
        <w:r>
          <w:rPr>
            <w:spacing w:val="-1"/>
            <w:sz w:val="24"/>
          </w:rPr>
          <w:t> </w:t>
        </w:r>
        <w:r>
          <w:rPr>
            <w:sz w:val="24"/>
          </w:rPr>
          <w:t>l’étude</w:t>
          <w:tab/>
          <w:t>119</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77">
        <w:r>
          <w:rPr>
            <w:sz w:val="24"/>
          </w:rPr>
          <w:t>Les critères de choix des</w:t>
        </w:r>
        <w:r>
          <w:rPr>
            <w:spacing w:val="2"/>
            <w:sz w:val="24"/>
          </w:rPr>
          <w:t> </w:t>
        </w:r>
        <w:r>
          <w:rPr>
            <w:sz w:val="24"/>
          </w:rPr>
          <w:t>molécules</w:t>
        </w:r>
        <w:r>
          <w:rPr>
            <w:spacing w:val="-1"/>
            <w:sz w:val="24"/>
          </w:rPr>
          <w:t> </w:t>
        </w:r>
        <w:r>
          <w:rPr>
            <w:sz w:val="24"/>
          </w:rPr>
          <w:t>utilisées</w:t>
          <w:tab/>
          <w:t>119</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78">
        <w:r>
          <w:rPr>
            <w:sz w:val="24"/>
          </w:rPr>
          <w:t>La tolérance des animaux à la thérapie</w:t>
        </w:r>
        <w:r>
          <w:rPr>
            <w:spacing w:val="-1"/>
            <w:sz w:val="24"/>
          </w:rPr>
          <w:t> </w:t>
        </w:r>
        <w:r>
          <w:rPr>
            <w:sz w:val="24"/>
          </w:rPr>
          <w:t>métabolique</w:t>
          <w:tab/>
          <w:t>119</w:t>
        </w:r>
      </w:hyperlink>
    </w:p>
    <w:p>
      <w:pPr>
        <w:pStyle w:val="ListParagraph"/>
        <w:numPr>
          <w:ilvl w:val="3"/>
          <w:numId w:val="3"/>
        </w:numPr>
        <w:tabs>
          <w:tab w:pos="1109" w:val="left" w:leader="none"/>
          <w:tab w:pos="1216" w:val="left" w:leader="none"/>
          <w:tab w:pos="9074" w:val="right" w:leader="dot"/>
        </w:tabs>
        <w:spacing w:line="240" w:lineRule="auto" w:before="142" w:after="0"/>
        <w:ind w:left="1215" w:right="0" w:hanging="439"/>
        <w:jc w:val="left"/>
        <w:rPr>
          <w:sz w:val="22"/>
        </w:rPr>
      </w:pPr>
      <w:hyperlink w:history="true" w:anchor="_bookmark179">
        <w:r>
          <w:rPr>
            <w:sz w:val="22"/>
          </w:rPr>
          <w:t>Tolérance sans</w:t>
        </w:r>
        <w:r>
          <w:rPr>
            <w:spacing w:val="-1"/>
            <w:sz w:val="22"/>
          </w:rPr>
          <w:t> </w:t>
        </w:r>
        <w:r>
          <w:rPr>
            <w:sz w:val="22"/>
          </w:rPr>
          <w:t>chimiothérapie</w:t>
        </w:r>
        <w:r>
          <w:rPr>
            <w:spacing w:val="-1"/>
            <w:sz w:val="22"/>
          </w:rPr>
          <w:t> </w:t>
        </w:r>
        <w:r>
          <w:rPr>
            <w:sz w:val="22"/>
          </w:rPr>
          <w:t>associée</w:t>
          <w:tab/>
          <w:t>120</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80">
        <w:r>
          <w:rPr>
            <w:sz w:val="22"/>
          </w:rPr>
          <w:t>Tolérance avec</w:t>
        </w:r>
        <w:r>
          <w:rPr>
            <w:spacing w:val="-1"/>
            <w:sz w:val="22"/>
          </w:rPr>
          <w:t> </w:t>
        </w:r>
        <w:r>
          <w:rPr>
            <w:sz w:val="22"/>
          </w:rPr>
          <w:t>chimiothérapie</w:t>
        </w:r>
        <w:r>
          <w:rPr>
            <w:spacing w:val="-1"/>
            <w:sz w:val="22"/>
          </w:rPr>
          <w:t> </w:t>
        </w:r>
        <w:r>
          <w:rPr>
            <w:sz w:val="22"/>
          </w:rPr>
          <w:t>associée</w:t>
          <w:tab/>
          <w:t>120</w:t>
        </w:r>
      </w:hyperlink>
    </w:p>
    <w:p>
      <w:pPr>
        <w:pStyle w:val="ListParagraph"/>
        <w:numPr>
          <w:ilvl w:val="2"/>
          <w:numId w:val="3"/>
        </w:numPr>
        <w:tabs>
          <w:tab w:pos="1109" w:val="left" w:leader="none"/>
          <w:tab w:pos="1216" w:val="left" w:leader="none"/>
          <w:tab w:pos="9074" w:val="right" w:leader="dot"/>
        </w:tabs>
        <w:spacing w:line="240" w:lineRule="auto" w:before="138" w:after="0"/>
        <w:ind w:left="1215" w:right="0" w:hanging="619"/>
        <w:jc w:val="left"/>
        <w:rPr>
          <w:sz w:val="24"/>
        </w:rPr>
      </w:pPr>
      <w:hyperlink w:history="true" w:anchor="_bookmark181">
        <w:r>
          <w:rPr>
            <w:sz w:val="24"/>
          </w:rPr>
          <w:t>L’efficacité de la</w:t>
        </w:r>
        <w:r>
          <w:rPr>
            <w:spacing w:val="-3"/>
            <w:sz w:val="24"/>
          </w:rPr>
          <w:t> </w:t>
        </w:r>
        <w:r>
          <w:rPr>
            <w:sz w:val="24"/>
          </w:rPr>
          <w:t>thérapie</w:t>
        </w:r>
        <w:r>
          <w:rPr>
            <w:spacing w:val="-2"/>
            <w:sz w:val="24"/>
          </w:rPr>
          <w:t> </w:t>
        </w:r>
        <w:r>
          <w:rPr>
            <w:sz w:val="24"/>
          </w:rPr>
          <w:t>métabolique</w:t>
          <w:tab/>
          <w:t>121</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82">
        <w:r>
          <w:rPr>
            <w:sz w:val="22"/>
          </w:rPr>
          <w:t>Une</w:t>
        </w:r>
        <w:r>
          <w:rPr>
            <w:spacing w:val="-1"/>
            <w:sz w:val="22"/>
          </w:rPr>
          <w:t> </w:t>
        </w:r>
        <w:r>
          <w:rPr>
            <w:sz w:val="22"/>
          </w:rPr>
          <w:t>interprétation</w:t>
        </w:r>
        <w:r>
          <w:rPr>
            <w:spacing w:val="-1"/>
            <w:sz w:val="22"/>
          </w:rPr>
          <w:t> </w:t>
        </w:r>
        <w:r>
          <w:rPr>
            <w:sz w:val="22"/>
          </w:rPr>
          <w:t>limitée</w:t>
          <w:tab/>
          <w:t>121</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83">
        <w:r>
          <w:rPr>
            <w:sz w:val="22"/>
          </w:rPr>
          <w:t>L’évolution</w:t>
        </w:r>
        <w:r>
          <w:rPr>
            <w:spacing w:val="-3"/>
            <w:sz w:val="22"/>
          </w:rPr>
          <w:t> </w:t>
        </w:r>
        <w:r>
          <w:rPr>
            <w:sz w:val="22"/>
          </w:rPr>
          <w:t>tumorale</w:t>
          <w:tab/>
          <w:t>122</w:t>
        </w:r>
      </w:hyperlink>
    </w:p>
    <w:p>
      <w:pPr>
        <w:pStyle w:val="ListParagraph"/>
        <w:numPr>
          <w:ilvl w:val="3"/>
          <w:numId w:val="3"/>
        </w:numPr>
        <w:tabs>
          <w:tab w:pos="1216" w:val="left" w:leader="none"/>
          <w:tab w:pos="9074" w:val="right" w:leader="dot"/>
        </w:tabs>
        <w:spacing w:line="240" w:lineRule="auto" w:before="138" w:after="0"/>
        <w:ind w:left="1215" w:right="0" w:hanging="439"/>
        <w:jc w:val="left"/>
        <w:rPr>
          <w:sz w:val="22"/>
        </w:rPr>
      </w:pPr>
      <w:hyperlink w:history="true" w:anchor="_bookmark184">
        <w:r>
          <w:rPr>
            <w:sz w:val="22"/>
          </w:rPr>
          <w:t>La</w:t>
        </w:r>
        <w:r>
          <w:rPr>
            <w:spacing w:val="-1"/>
            <w:sz w:val="22"/>
          </w:rPr>
          <w:t> </w:t>
        </w:r>
        <w:r>
          <w:rPr>
            <w:sz w:val="22"/>
          </w:rPr>
          <w:t>survie</w:t>
        </w:r>
        <w:r>
          <w:rPr>
            <w:spacing w:val="-1"/>
            <w:sz w:val="22"/>
          </w:rPr>
          <w:t> </w:t>
        </w:r>
        <w:r>
          <w:rPr>
            <w:sz w:val="22"/>
          </w:rPr>
          <w:t>globale</w:t>
          <w:tab/>
          <w:t>122</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85">
        <w:r>
          <w:rPr>
            <w:sz w:val="22"/>
          </w:rPr>
          <w:t>L’impact sur le métabolisme de la</w:t>
        </w:r>
        <w:r>
          <w:rPr>
            <w:spacing w:val="-3"/>
            <w:sz w:val="22"/>
          </w:rPr>
          <w:t> </w:t>
        </w:r>
        <w:r>
          <w:rPr>
            <w:sz w:val="22"/>
          </w:rPr>
          <w:t>cellule</w:t>
        </w:r>
        <w:r>
          <w:rPr>
            <w:spacing w:val="-1"/>
            <w:sz w:val="22"/>
          </w:rPr>
          <w:t> </w:t>
        </w:r>
        <w:r>
          <w:rPr>
            <w:sz w:val="22"/>
          </w:rPr>
          <w:t>tumorale</w:t>
          <w:tab/>
          <w:t>123</w:t>
        </w:r>
      </w:hyperlink>
    </w:p>
    <w:p>
      <w:pPr>
        <w:pStyle w:val="ListParagraph"/>
        <w:numPr>
          <w:ilvl w:val="2"/>
          <w:numId w:val="3"/>
        </w:numPr>
        <w:tabs>
          <w:tab w:pos="1109" w:val="left" w:leader="none"/>
          <w:tab w:pos="1216" w:val="left" w:leader="none"/>
          <w:tab w:pos="9074" w:val="right" w:leader="dot"/>
        </w:tabs>
        <w:spacing w:line="240" w:lineRule="auto" w:before="139" w:after="0"/>
        <w:ind w:left="1215" w:right="0" w:hanging="619"/>
        <w:jc w:val="left"/>
        <w:rPr>
          <w:sz w:val="24"/>
        </w:rPr>
      </w:pPr>
      <w:hyperlink w:history="true" w:anchor="_bookmark186">
        <w:r>
          <w:rPr>
            <w:sz w:val="24"/>
          </w:rPr>
          <w:t>Conclusions</w:t>
          <w:tab/>
          <w:t>123</w:t>
        </w:r>
      </w:hyperlink>
    </w:p>
    <w:p>
      <w:pPr>
        <w:spacing w:after="0" w:line="240" w:lineRule="auto"/>
        <w:jc w:val="left"/>
        <w:rPr>
          <w:sz w:val="24"/>
        </w:rPr>
        <w:sectPr>
          <w:pgSz w:w="11910" w:h="16840"/>
          <w:pgMar w:header="0" w:footer="995" w:top="1320" w:bottom="1240" w:left="1300" w:right="1320"/>
        </w:sectPr>
      </w:pPr>
    </w:p>
    <w:p>
      <w:pPr>
        <w:pStyle w:val="ListParagraph"/>
        <w:numPr>
          <w:ilvl w:val="0"/>
          <w:numId w:val="3"/>
        </w:numPr>
        <w:tabs>
          <w:tab w:pos="776" w:val="left" w:leader="none"/>
          <w:tab w:pos="777" w:val="left" w:leader="none"/>
          <w:tab w:pos="9180" w:val="right" w:leader="dot"/>
        </w:tabs>
        <w:spacing w:line="240" w:lineRule="auto" w:before="70" w:after="0"/>
        <w:ind w:left="776" w:right="0" w:hanging="660"/>
        <w:jc w:val="left"/>
        <w:rPr>
          <w:sz w:val="24"/>
        </w:rPr>
      </w:pPr>
      <w:hyperlink w:history="true" w:anchor="_bookmark187">
        <w:r>
          <w:rPr>
            <w:sz w:val="24"/>
          </w:rPr>
          <w:t>Perspectives</w:t>
          <w:tab/>
          <w:t>124</w:t>
        </w:r>
      </w:hyperlink>
    </w:p>
    <w:p>
      <w:pPr>
        <w:pStyle w:val="ListParagraph"/>
        <w:numPr>
          <w:ilvl w:val="1"/>
          <w:numId w:val="3"/>
        </w:numPr>
        <w:tabs>
          <w:tab w:pos="997" w:val="left" w:leader="none"/>
          <w:tab w:pos="998" w:val="left" w:leader="none"/>
          <w:tab w:pos="9180" w:val="right" w:leader="dot"/>
        </w:tabs>
        <w:spacing w:line="240" w:lineRule="auto" w:before="141" w:after="0"/>
        <w:ind w:left="997" w:right="0" w:hanging="660"/>
        <w:jc w:val="left"/>
        <w:rPr>
          <w:sz w:val="24"/>
        </w:rPr>
      </w:pPr>
      <w:hyperlink w:history="true" w:anchor="_bookmark188">
        <w:r>
          <w:rPr>
            <w:sz w:val="24"/>
          </w:rPr>
          <w:t>Introduction</w:t>
          <w:tab/>
          <w:t>124</w:t>
        </w:r>
      </w:hyperlink>
    </w:p>
    <w:p>
      <w:pPr>
        <w:pStyle w:val="ListParagraph"/>
        <w:numPr>
          <w:ilvl w:val="1"/>
          <w:numId w:val="3"/>
        </w:numPr>
        <w:tabs>
          <w:tab w:pos="997" w:val="left" w:leader="none"/>
          <w:tab w:pos="998" w:val="left" w:leader="none"/>
          <w:tab w:pos="9180" w:val="right" w:leader="dot"/>
        </w:tabs>
        <w:spacing w:line="240" w:lineRule="auto" w:before="141" w:after="0"/>
        <w:ind w:left="997" w:right="0" w:hanging="660"/>
        <w:jc w:val="left"/>
        <w:rPr>
          <w:sz w:val="24"/>
        </w:rPr>
      </w:pPr>
      <w:hyperlink w:history="true" w:anchor="_bookmark189">
        <w:r>
          <w:rPr>
            <w:sz w:val="24"/>
          </w:rPr>
          <w:t>Protocole</w:t>
        </w:r>
        <w:r>
          <w:rPr>
            <w:spacing w:val="-2"/>
            <w:sz w:val="24"/>
          </w:rPr>
          <w:t> </w:t>
        </w:r>
        <w:r>
          <w:rPr>
            <w:sz w:val="24"/>
          </w:rPr>
          <w:t>d’étude</w:t>
          <w:tab/>
          <w:t>125</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90">
        <w:r>
          <w:rPr>
            <w:sz w:val="24"/>
          </w:rPr>
          <w:t>Objectifs</w:t>
          <w:tab/>
          <w:t>125</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91">
        <w:r>
          <w:rPr>
            <w:sz w:val="24"/>
          </w:rPr>
          <w:t>Contacts – sites</w:t>
        </w:r>
        <w:r>
          <w:rPr>
            <w:spacing w:val="-1"/>
            <w:sz w:val="24"/>
          </w:rPr>
          <w:t> </w:t>
        </w:r>
        <w:r>
          <w:rPr>
            <w:sz w:val="24"/>
          </w:rPr>
          <w:t>de</w:t>
        </w:r>
        <w:r>
          <w:rPr>
            <w:spacing w:val="-2"/>
            <w:sz w:val="24"/>
          </w:rPr>
          <w:t> </w:t>
        </w:r>
        <w:r>
          <w:rPr>
            <w:sz w:val="24"/>
          </w:rPr>
          <w:t>l’étude</w:t>
          <w:tab/>
          <w:t>125</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92">
        <w:r>
          <w:rPr>
            <w:sz w:val="24"/>
          </w:rPr>
          <w:t>Justifications</w:t>
          <w:tab/>
          <w:t>125</w:t>
        </w:r>
      </w:hyperlink>
    </w:p>
    <w:p>
      <w:pPr>
        <w:pStyle w:val="ListParagraph"/>
        <w:numPr>
          <w:ilvl w:val="3"/>
          <w:numId w:val="3"/>
        </w:numPr>
        <w:tabs>
          <w:tab w:pos="1109" w:val="left" w:leader="none"/>
          <w:tab w:pos="1216" w:val="left" w:leader="none"/>
          <w:tab w:pos="9074" w:val="right" w:leader="dot"/>
        </w:tabs>
        <w:spacing w:line="240" w:lineRule="auto" w:before="140" w:after="0"/>
        <w:ind w:left="1215" w:right="0" w:hanging="439"/>
        <w:jc w:val="left"/>
        <w:rPr>
          <w:sz w:val="22"/>
        </w:rPr>
      </w:pPr>
      <w:hyperlink w:history="true" w:anchor="_bookmark193">
        <w:r>
          <w:rPr>
            <w:sz w:val="22"/>
          </w:rPr>
          <w:t>Justification du choix</w:t>
        </w:r>
        <w:r>
          <w:rPr>
            <w:spacing w:val="-4"/>
            <w:sz w:val="22"/>
          </w:rPr>
          <w:t> </w:t>
        </w:r>
        <w:r>
          <w:rPr>
            <w:sz w:val="22"/>
          </w:rPr>
          <w:t>des</w:t>
        </w:r>
        <w:r>
          <w:rPr>
            <w:spacing w:val="-3"/>
            <w:sz w:val="22"/>
          </w:rPr>
          <w:t> </w:t>
        </w:r>
        <w:r>
          <w:rPr>
            <w:sz w:val="22"/>
          </w:rPr>
          <w:t>molécules</w:t>
          <w:tab/>
          <w:t>126</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95">
        <w:r>
          <w:rPr>
            <w:sz w:val="22"/>
          </w:rPr>
          <w:t>Justification du choix du type de</w:t>
        </w:r>
        <w:r>
          <w:rPr>
            <w:spacing w:val="-7"/>
            <w:sz w:val="22"/>
          </w:rPr>
          <w:t> </w:t>
        </w:r>
        <w:r>
          <w:rPr>
            <w:sz w:val="22"/>
          </w:rPr>
          <w:t>cancer étudié</w:t>
          <w:tab/>
          <w:t>127</w:t>
        </w:r>
      </w:hyperlink>
    </w:p>
    <w:p>
      <w:pPr>
        <w:pStyle w:val="ListParagraph"/>
        <w:numPr>
          <w:ilvl w:val="3"/>
          <w:numId w:val="3"/>
        </w:numPr>
        <w:tabs>
          <w:tab w:pos="1216" w:val="left" w:leader="none"/>
          <w:tab w:pos="9180" w:val="right" w:leader="dot"/>
        </w:tabs>
        <w:spacing w:line="240" w:lineRule="auto" w:before="139" w:after="0"/>
        <w:ind w:left="1215" w:right="0" w:hanging="439"/>
        <w:jc w:val="left"/>
        <w:rPr>
          <w:sz w:val="22"/>
        </w:rPr>
      </w:pPr>
      <w:hyperlink w:history="true" w:anchor="_bookmark196">
        <w:r>
          <w:rPr>
            <w:sz w:val="22"/>
          </w:rPr>
          <w:t>Justification du choix d’une chirurgie pré-étude</w:t>
        </w:r>
        <w:r>
          <w:rPr>
            <w:spacing w:val="-6"/>
            <w:sz w:val="22"/>
          </w:rPr>
          <w:t> </w:t>
        </w:r>
        <w:r>
          <w:rPr>
            <w:sz w:val="22"/>
          </w:rPr>
          <w:t>ou</w:t>
        </w:r>
        <w:r>
          <w:rPr>
            <w:spacing w:val="-1"/>
            <w:sz w:val="22"/>
          </w:rPr>
          <w:t> </w:t>
        </w:r>
        <w:r>
          <w:rPr>
            <w:sz w:val="22"/>
          </w:rPr>
          <w:t>non</w:t>
          <w:tab/>
          <w:t>128</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197">
        <w:r>
          <w:rPr>
            <w:sz w:val="22"/>
          </w:rPr>
          <w:t>Justification du choix de</w:t>
        </w:r>
        <w:r>
          <w:rPr>
            <w:spacing w:val="-6"/>
            <w:sz w:val="22"/>
          </w:rPr>
          <w:t> </w:t>
        </w:r>
        <w:r>
          <w:rPr>
            <w:sz w:val="22"/>
          </w:rPr>
          <w:t>l’espèce</w:t>
        </w:r>
        <w:r>
          <w:rPr>
            <w:spacing w:val="-3"/>
            <w:sz w:val="22"/>
          </w:rPr>
          <w:t> </w:t>
        </w:r>
        <w:r>
          <w:rPr>
            <w:sz w:val="22"/>
          </w:rPr>
          <w:t>étudiée</w:t>
          <w:tab/>
          <w:t>128</w:t>
        </w:r>
      </w:hyperlink>
    </w:p>
    <w:p>
      <w:pPr>
        <w:pStyle w:val="ListParagraph"/>
        <w:numPr>
          <w:ilvl w:val="2"/>
          <w:numId w:val="3"/>
        </w:numPr>
        <w:tabs>
          <w:tab w:pos="1109" w:val="left" w:leader="none"/>
          <w:tab w:pos="1216" w:val="left" w:leader="none"/>
          <w:tab w:pos="9074" w:val="right" w:leader="dot"/>
        </w:tabs>
        <w:spacing w:line="240" w:lineRule="auto" w:before="136" w:after="0"/>
        <w:ind w:left="1215" w:right="0" w:hanging="619"/>
        <w:jc w:val="left"/>
        <w:rPr>
          <w:sz w:val="24"/>
        </w:rPr>
      </w:pPr>
      <w:hyperlink w:history="true" w:anchor="_bookmark198">
        <w:r>
          <w:rPr>
            <w:sz w:val="24"/>
          </w:rPr>
          <w:t>Déroulé</w:t>
        </w:r>
        <w:r>
          <w:rPr>
            <w:spacing w:val="-3"/>
            <w:sz w:val="24"/>
          </w:rPr>
          <w:t> </w:t>
        </w:r>
        <w:r>
          <w:rPr>
            <w:sz w:val="24"/>
          </w:rPr>
          <w:t>des</w:t>
        </w:r>
        <w:r>
          <w:rPr>
            <w:spacing w:val="0"/>
            <w:sz w:val="24"/>
          </w:rPr>
          <w:t> </w:t>
        </w:r>
        <w:r>
          <w:rPr>
            <w:sz w:val="24"/>
          </w:rPr>
          <w:t>événements</w:t>
          <w:tab/>
          <w:t>128</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199">
        <w:r>
          <w:rPr>
            <w:sz w:val="24"/>
          </w:rPr>
          <w:t>Conception</w:t>
        </w:r>
        <w:r>
          <w:rPr>
            <w:spacing w:val="-1"/>
            <w:sz w:val="24"/>
          </w:rPr>
          <w:t> </w:t>
        </w:r>
        <w:r>
          <w:rPr>
            <w:sz w:val="24"/>
          </w:rPr>
          <w:t>de</w:t>
        </w:r>
        <w:r>
          <w:rPr>
            <w:spacing w:val="-2"/>
            <w:sz w:val="24"/>
          </w:rPr>
          <w:t> </w:t>
        </w:r>
        <w:r>
          <w:rPr>
            <w:sz w:val="24"/>
          </w:rPr>
          <w:t>l’étude</w:t>
          <w:tab/>
          <w:t>128</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200">
        <w:r>
          <w:rPr>
            <w:sz w:val="24"/>
          </w:rPr>
          <w:t>Sélection</w:t>
        </w:r>
        <w:r>
          <w:rPr>
            <w:spacing w:val="-1"/>
            <w:sz w:val="24"/>
          </w:rPr>
          <w:t> </w:t>
        </w:r>
        <w:r>
          <w:rPr>
            <w:sz w:val="24"/>
          </w:rPr>
          <w:t>des</w:t>
        </w:r>
        <w:r>
          <w:rPr>
            <w:spacing w:val="-1"/>
            <w:sz w:val="24"/>
          </w:rPr>
          <w:t> </w:t>
        </w:r>
        <w:r>
          <w:rPr>
            <w:sz w:val="24"/>
          </w:rPr>
          <w:t>animaux</w:t>
          <w:tab/>
          <w:t>129</w:t>
        </w:r>
      </w:hyperlink>
    </w:p>
    <w:p>
      <w:pPr>
        <w:pStyle w:val="ListParagraph"/>
        <w:numPr>
          <w:ilvl w:val="3"/>
          <w:numId w:val="3"/>
        </w:numPr>
        <w:tabs>
          <w:tab w:pos="1109" w:val="left" w:leader="none"/>
          <w:tab w:pos="1216" w:val="left" w:leader="none"/>
          <w:tab w:pos="9074" w:val="right" w:leader="dot"/>
        </w:tabs>
        <w:spacing w:line="240" w:lineRule="auto" w:before="141" w:after="0"/>
        <w:ind w:left="1215" w:right="0" w:hanging="439"/>
        <w:jc w:val="left"/>
        <w:rPr>
          <w:sz w:val="22"/>
        </w:rPr>
      </w:pPr>
      <w:hyperlink w:history="true" w:anchor="_bookmark201">
        <w:r>
          <w:rPr>
            <w:sz w:val="22"/>
          </w:rPr>
          <w:t>Prérequis pour rentrer</w:t>
        </w:r>
        <w:r>
          <w:rPr>
            <w:spacing w:val="-1"/>
            <w:sz w:val="22"/>
          </w:rPr>
          <w:t> </w:t>
        </w:r>
        <w:r>
          <w:rPr>
            <w:sz w:val="22"/>
          </w:rPr>
          <w:t>dans</w:t>
        </w:r>
        <w:r>
          <w:rPr>
            <w:spacing w:val="-3"/>
            <w:sz w:val="22"/>
          </w:rPr>
          <w:t> </w:t>
        </w:r>
        <w:r>
          <w:rPr>
            <w:sz w:val="22"/>
          </w:rPr>
          <w:t>l’étude</w:t>
          <w:tab/>
          <w:t>129</w:t>
        </w:r>
      </w:hyperlink>
    </w:p>
    <w:p>
      <w:pPr>
        <w:pStyle w:val="ListParagraph"/>
        <w:numPr>
          <w:ilvl w:val="3"/>
          <w:numId w:val="3"/>
        </w:numPr>
        <w:tabs>
          <w:tab w:pos="1109" w:val="left" w:leader="none"/>
          <w:tab w:pos="1216" w:val="left" w:leader="none"/>
          <w:tab w:pos="9074" w:val="right" w:leader="dot"/>
        </w:tabs>
        <w:spacing w:line="240" w:lineRule="auto" w:before="138" w:after="0"/>
        <w:ind w:left="1215" w:right="0" w:hanging="439"/>
        <w:jc w:val="left"/>
        <w:rPr>
          <w:sz w:val="22"/>
        </w:rPr>
      </w:pPr>
      <w:hyperlink w:history="true" w:anchor="_bookmark202">
        <w:r>
          <w:rPr>
            <w:sz w:val="22"/>
          </w:rPr>
          <w:t>Informations et</w:t>
        </w:r>
        <w:r>
          <w:rPr>
            <w:spacing w:val="-5"/>
            <w:sz w:val="22"/>
          </w:rPr>
          <w:t> </w:t>
        </w:r>
        <w:r>
          <w:rPr>
            <w:sz w:val="22"/>
          </w:rPr>
          <w:t>examens</w:t>
        </w:r>
        <w:r>
          <w:rPr>
            <w:spacing w:val="-1"/>
            <w:sz w:val="22"/>
          </w:rPr>
          <w:t> </w:t>
        </w:r>
        <w:r>
          <w:rPr>
            <w:sz w:val="22"/>
          </w:rPr>
          <w:t>nécessaires</w:t>
          <w:tab/>
          <w:t>130</w:t>
        </w:r>
      </w:hyperlink>
    </w:p>
    <w:p>
      <w:pPr>
        <w:pStyle w:val="ListParagraph"/>
        <w:numPr>
          <w:ilvl w:val="2"/>
          <w:numId w:val="3"/>
        </w:numPr>
        <w:tabs>
          <w:tab w:pos="1109" w:val="left" w:leader="none"/>
          <w:tab w:pos="1216" w:val="left" w:leader="none"/>
          <w:tab w:pos="9074" w:val="right" w:leader="dot"/>
        </w:tabs>
        <w:spacing w:line="240" w:lineRule="auto" w:before="138" w:after="0"/>
        <w:ind w:left="1215" w:right="0" w:hanging="619"/>
        <w:jc w:val="left"/>
        <w:rPr>
          <w:sz w:val="24"/>
        </w:rPr>
      </w:pPr>
      <w:hyperlink w:history="true" w:anchor="_bookmark203">
        <w:r>
          <w:rPr>
            <w:sz w:val="24"/>
          </w:rPr>
          <w:t>Hospitalisation</w:t>
        </w:r>
        <w:r>
          <w:rPr>
            <w:spacing w:val="-1"/>
            <w:sz w:val="24"/>
          </w:rPr>
          <w:t> </w:t>
        </w:r>
        <w:r>
          <w:rPr>
            <w:sz w:val="24"/>
          </w:rPr>
          <w:t>des</w:t>
        </w:r>
        <w:r>
          <w:rPr>
            <w:spacing w:val="-1"/>
            <w:sz w:val="24"/>
          </w:rPr>
          <w:t> </w:t>
        </w:r>
        <w:r>
          <w:rPr>
            <w:sz w:val="24"/>
          </w:rPr>
          <w:t>animaux</w:t>
          <w:tab/>
          <w:t>130</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204">
        <w:r>
          <w:rPr>
            <w:sz w:val="24"/>
          </w:rPr>
          <w:t>Rations</w:t>
          <w:tab/>
          <w:t>131</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205">
        <w:r>
          <w:rPr>
            <w:sz w:val="24"/>
          </w:rPr>
          <w:t>Traitement</w:t>
        </w:r>
        <w:r>
          <w:rPr>
            <w:spacing w:val="-1"/>
            <w:sz w:val="24"/>
          </w:rPr>
          <w:t> </w:t>
        </w:r>
        <w:r>
          <w:rPr>
            <w:sz w:val="24"/>
          </w:rPr>
          <w:t>administré</w:t>
          <w:tab/>
          <w:t>131</w:t>
        </w:r>
      </w:hyperlink>
    </w:p>
    <w:p>
      <w:pPr>
        <w:pStyle w:val="ListParagraph"/>
        <w:numPr>
          <w:ilvl w:val="3"/>
          <w:numId w:val="3"/>
        </w:numPr>
        <w:tabs>
          <w:tab w:pos="1109" w:val="left" w:leader="none"/>
          <w:tab w:pos="1216" w:val="left" w:leader="none"/>
          <w:tab w:pos="9074" w:val="right" w:leader="dot"/>
        </w:tabs>
        <w:spacing w:line="240" w:lineRule="auto" w:before="141" w:after="0"/>
        <w:ind w:left="1215" w:right="0" w:hanging="439"/>
        <w:jc w:val="left"/>
        <w:rPr>
          <w:sz w:val="22"/>
        </w:rPr>
      </w:pPr>
      <w:hyperlink w:history="true" w:anchor="_bookmark206">
        <w:r>
          <w:rPr>
            <w:sz w:val="22"/>
          </w:rPr>
          <w:t>La</w:t>
        </w:r>
        <w:r>
          <w:rPr>
            <w:spacing w:val="-1"/>
            <w:sz w:val="22"/>
          </w:rPr>
          <w:t> </w:t>
        </w:r>
        <w:r>
          <w:rPr>
            <w:sz w:val="22"/>
          </w:rPr>
          <w:t>chimiothérapie</w:t>
          <w:tab/>
          <w:t>131</w:t>
        </w:r>
      </w:hyperlink>
    </w:p>
    <w:p>
      <w:pPr>
        <w:pStyle w:val="ListParagraph"/>
        <w:numPr>
          <w:ilvl w:val="3"/>
          <w:numId w:val="3"/>
        </w:numPr>
        <w:tabs>
          <w:tab w:pos="1109" w:val="left" w:leader="none"/>
          <w:tab w:pos="1216" w:val="left" w:leader="none"/>
          <w:tab w:pos="9074" w:val="right" w:leader="dot"/>
        </w:tabs>
        <w:spacing w:line="240" w:lineRule="auto" w:before="136" w:after="0"/>
        <w:ind w:left="1215" w:right="0" w:hanging="439"/>
        <w:jc w:val="left"/>
        <w:rPr>
          <w:sz w:val="22"/>
        </w:rPr>
      </w:pPr>
      <w:hyperlink w:history="true" w:anchor="_bookmark207">
        <w:r>
          <w:rPr>
            <w:sz w:val="22"/>
          </w:rPr>
          <w:t>La</w:t>
        </w:r>
        <w:r>
          <w:rPr>
            <w:spacing w:val="-1"/>
            <w:sz w:val="22"/>
          </w:rPr>
          <w:t> </w:t>
        </w:r>
        <w:r>
          <w:rPr>
            <w:sz w:val="22"/>
          </w:rPr>
          <w:t>thérapie</w:t>
        </w:r>
        <w:r>
          <w:rPr>
            <w:spacing w:val="-1"/>
            <w:sz w:val="22"/>
          </w:rPr>
          <w:t> </w:t>
        </w:r>
        <w:r>
          <w:rPr>
            <w:sz w:val="22"/>
          </w:rPr>
          <w:t>métabolique</w:t>
          <w:tab/>
          <w:t>131</w:t>
        </w:r>
      </w:hyperlink>
    </w:p>
    <w:p>
      <w:pPr>
        <w:pStyle w:val="ListParagraph"/>
        <w:numPr>
          <w:ilvl w:val="3"/>
          <w:numId w:val="3"/>
        </w:numPr>
        <w:tabs>
          <w:tab w:pos="1216" w:val="left" w:leader="none"/>
          <w:tab w:pos="9074" w:val="right" w:leader="dot"/>
        </w:tabs>
        <w:spacing w:line="240" w:lineRule="auto" w:before="138" w:after="0"/>
        <w:ind w:left="1215" w:right="0" w:hanging="439"/>
        <w:jc w:val="left"/>
        <w:rPr>
          <w:sz w:val="22"/>
        </w:rPr>
      </w:pPr>
      <w:hyperlink w:history="true" w:anchor="_bookmark208">
        <w:r>
          <w:rPr>
            <w:sz w:val="22"/>
          </w:rPr>
          <w:t>Planning</w:t>
        </w:r>
        <w:r>
          <w:rPr>
            <w:spacing w:val="-3"/>
            <w:sz w:val="22"/>
          </w:rPr>
          <w:t> </w:t>
        </w:r>
        <w:r>
          <w:rPr>
            <w:sz w:val="22"/>
          </w:rPr>
          <w:t>des</w:t>
        </w:r>
        <w:r>
          <w:rPr>
            <w:spacing w:val="-1"/>
            <w:sz w:val="22"/>
          </w:rPr>
          <w:t> </w:t>
        </w:r>
        <w:r>
          <w:rPr>
            <w:sz w:val="22"/>
          </w:rPr>
          <w:t>contrôles</w:t>
          <w:tab/>
          <w:t>132</w:t>
        </w:r>
      </w:hyperlink>
    </w:p>
    <w:p>
      <w:pPr>
        <w:pStyle w:val="ListParagraph"/>
        <w:numPr>
          <w:ilvl w:val="2"/>
          <w:numId w:val="3"/>
        </w:numPr>
        <w:tabs>
          <w:tab w:pos="1109" w:val="left" w:leader="none"/>
          <w:tab w:pos="1216" w:val="left" w:leader="none"/>
          <w:tab w:pos="9074" w:val="right" w:leader="dot"/>
        </w:tabs>
        <w:spacing w:line="240" w:lineRule="auto" w:before="138" w:after="0"/>
        <w:ind w:left="1215" w:right="0" w:hanging="619"/>
        <w:jc w:val="left"/>
        <w:rPr>
          <w:sz w:val="24"/>
        </w:rPr>
      </w:pPr>
      <w:hyperlink w:history="true" w:anchor="_bookmark209">
        <w:r>
          <w:rPr>
            <w:sz w:val="24"/>
          </w:rPr>
          <w:t>Évaluation</w:t>
        </w:r>
        <w:r>
          <w:rPr>
            <w:spacing w:val="-1"/>
            <w:sz w:val="24"/>
          </w:rPr>
          <w:t> </w:t>
        </w:r>
        <w:r>
          <w:rPr>
            <w:sz w:val="24"/>
          </w:rPr>
          <w:t>de</w:t>
        </w:r>
        <w:r>
          <w:rPr>
            <w:spacing w:val="-1"/>
            <w:sz w:val="24"/>
          </w:rPr>
          <w:t> </w:t>
        </w:r>
        <w:r>
          <w:rPr>
            <w:sz w:val="24"/>
          </w:rPr>
          <w:t>l’efficacité</w:t>
          <w:tab/>
          <w:t>132</w:t>
        </w:r>
      </w:hyperlink>
    </w:p>
    <w:p>
      <w:pPr>
        <w:pStyle w:val="ListParagraph"/>
        <w:numPr>
          <w:ilvl w:val="3"/>
          <w:numId w:val="3"/>
        </w:numPr>
        <w:tabs>
          <w:tab w:pos="1109" w:val="left" w:leader="none"/>
          <w:tab w:pos="1216" w:val="left" w:leader="none"/>
          <w:tab w:pos="9074" w:val="right" w:leader="dot"/>
        </w:tabs>
        <w:spacing w:line="240" w:lineRule="auto" w:before="140" w:after="0"/>
        <w:ind w:left="1215" w:right="0" w:hanging="439"/>
        <w:jc w:val="left"/>
        <w:rPr>
          <w:sz w:val="22"/>
        </w:rPr>
      </w:pPr>
      <w:hyperlink w:history="true" w:anchor="_bookmark210">
        <w:r>
          <w:rPr>
            <w:sz w:val="22"/>
          </w:rPr>
          <w:t>Développement tumoral</w:t>
          <w:tab/>
          <w:t>132</w:t>
        </w:r>
      </w:hyperlink>
    </w:p>
    <w:p>
      <w:pPr>
        <w:pStyle w:val="ListParagraph"/>
        <w:numPr>
          <w:ilvl w:val="3"/>
          <w:numId w:val="3"/>
        </w:numPr>
        <w:tabs>
          <w:tab w:pos="1109" w:val="left" w:leader="none"/>
          <w:tab w:pos="1216" w:val="left" w:leader="none"/>
          <w:tab w:pos="9074" w:val="right" w:leader="dot"/>
        </w:tabs>
        <w:spacing w:line="240" w:lineRule="auto" w:before="137" w:after="0"/>
        <w:ind w:left="1215" w:right="0" w:hanging="439"/>
        <w:jc w:val="left"/>
        <w:rPr>
          <w:sz w:val="22"/>
        </w:rPr>
      </w:pPr>
      <w:hyperlink w:history="true" w:anchor="_bookmark211">
        <w:r>
          <w:rPr>
            <w:sz w:val="22"/>
          </w:rPr>
          <w:t>Survie</w:t>
          <w:tab/>
          <w:t>133</w:t>
        </w:r>
      </w:hyperlink>
    </w:p>
    <w:p>
      <w:pPr>
        <w:pStyle w:val="ListParagraph"/>
        <w:numPr>
          <w:ilvl w:val="3"/>
          <w:numId w:val="3"/>
        </w:numPr>
        <w:tabs>
          <w:tab w:pos="1216" w:val="left" w:leader="none"/>
          <w:tab w:pos="9074" w:val="right" w:leader="dot"/>
        </w:tabs>
        <w:spacing w:line="240" w:lineRule="auto" w:before="138" w:after="0"/>
        <w:ind w:left="1215" w:right="0" w:hanging="439"/>
        <w:jc w:val="left"/>
        <w:rPr>
          <w:sz w:val="22"/>
        </w:rPr>
      </w:pPr>
      <w:hyperlink w:history="true" w:anchor="_bookmark212">
        <w:r>
          <w:rPr>
            <w:sz w:val="22"/>
          </w:rPr>
          <w:t>Qualité</w:t>
        </w:r>
        <w:r>
          <w:rPr>
            <w:spacing w:val="-1"/>
            <w:sz w:val="22"/>
          </w:rPr>
          <w:t> </w:t>
        </w:r>
        <w:r>
          <w:rPr>
            <w:sz w:val="22"/>
          </w:rPr>
          <w:t>de vie</w:t>
          <w:tab/>
          <w:t>134</w:t>
        </w:r>
      </w:hyperlink>
    </w:p>
    <w:p>
      <w:pPr>
        <w:pStyle w:val="ListParagraph"/>
        <w:numPr>
          <w:ilvl w:val="2"/>
          <w:numId w:val="3"/>
        </w:numPr>
        <w:tabs>
          <w:tab w:pos="1109" w:val="left" w:leader="none"/>
          <w:tab w:pos="1216" w:val="left" w:leader="none"/>
          <w:tab w:pos="9074" w:val="right" w:leader="dot"/>
        </w:tabs>
        <w:spacing w:line="240" w:lineRule="auto" w:before="138" w:after="0"/>
        <w:ind w:left="1215" w:right="0" w:hanging="619"/>
        <w:jc w:val="left"/>
        <w:rPr>
          <w:sz w:val="24"/>
        </w:rPr>
      </w:pPr>
      <w:hyperlink w:history="true" w:anchor="_bookmark213">
        <w:r>
          <w:rPr>
            <w:sz w:val="24"/>
          </w:rPr>
          <w:t>Statistiques</w:t>
          <w:tab/>
          <w:t>134</w:t>
        </w:r>
      </w:hyperlink>
    </w:p>
    <w:p>
      <w:pPr>
        <w:pStyle w:val="ListParagraph"/>
        <w:numPr>
          <w:ilvl w:val="3"/>
          <w:numId w:val="3"/>
        </w:numPr>
        <w:tabs>
          <w:tab w:pos="1215" w:val="left" w:leader="none"/>
          <w:tab w:pos="1216" w:val="left" w:leader="none"/>
          <w:tab w:pos="9180" w:val="right" w:leader="dot"/>
        </w:tabs>
        <w:spacing w:line="240" w:lineRule="auto" w:before="140" w:after="0"/>
        <w:ind w:left="1215" w:right="0" w:hanging="439"/>
        <w:jc w:val="left"/>
        <w:rPr>
          <w:sz w:val="22"/>
        </w:rPr>
      </w:pPr>
      <w:hyperlink w:history="true" w:anchor="_bookmark214">
        <w:r>
          <w:rPr>
            <w:sz w:val="22"/>
          </w:rPr>
          <w:t>Estimation du nombre d’animaux nécessaires (puissance</w:t>
        </w:r>
        <w:r>
          <w:rPr>
            <w:spacing w:val="-3"/>
            <w:sz w:val="22"/>
          </w:rPr>
          <w:t> </w:t>
        </w:r>
        <w:r>
          <w:rPr>
            <w:sz w:val="22"/>
          </w:rPr>
          <w:t>de</w:t>
        </w:r>
        <w:r>
          <w:rPr>
            <w:spacing w:val="-3"/>
            <w:sz w:val="22"/>
          </w:rPr>
          <w:t> </w:t>
        </w:r>
        <w:r>
          <w:rPr>
            <w:sz w:val="22"/>
          </w:rPr>
          <w:t>l’étude)</w:t>
          <w:tab/>
          <w:t>134</w:t>
        </w:r>
      </w:hyperlink>
    </w:p>
    <w:p>
      <w:pPr>
        <w:pStyle w:val="ListParagraph"/>
        <w:numPr>
          <w:ilvl w:val="3"/>
          <w:numId w:val="3"/>
        </w:numPr>
        <w:tabs>
          <w:tab w:pos="1109" w:val="left" w:leader="none"/>
          <w:tab w:pos="1216" w:val="left" w:leader="none"/>
          <w:tab w:pos="9074" w:val="right" w:leader="dot"/>
        </w:tabs>
        <w:spacing w:line="240" w:lineRule="auto" w:before="137" w:after="0"/>
        <w:ind w:left="1215" w:right="0" w:hanging="439"/>
        <w:jc w:val="left"/>
        <w:rPr>
          <w:sz w:val="22"/>
        </w:rPr>
      </w:pPr>
      <w:hyperlink w:history="true" w:anchor="_bookmark215">
        <w:r>
          <w:rPr>
            <w:sz w:val="22"/>
          </w:rPr>
          <w:t>Analyse</w:t>
        </w:r>
        <w:r>
          <w:rPr>
            <w:spacing w:val="-1"/>
            <w:sz w:val="22"/>
          </w:rPr>
          <w:t> </w:t>
        </w:r>
        <w:r>
          <w:rPr>
            <w:sz w:val="22"/>
          </w:rPr>
          <w:t>des</w:t>
        </w:r>
        <w:r>
          <w:rPr>
            <w:spacing w:val="-3"/>
            <w:sz w:val="22"/>
          </w:rPr>
          <w:t> </w:t>
        </w:r>
        <w:r>
          <w:rPr>
            <w:sz w:val="22"/>
          </w:rPr>
          <w:t>résultats</w:t>
          <w:tab/>
          <w:t>135</w:t>
        </w:r>
      </w:hyperlink>
    </w:p>
    <w:p>
      <w:pPr>
        <w:pStyle w:val="ListParagraph"/>
        <w:numPr>
          <w:ilvl w:val="2"/>
          <w:numId w:val="3"/>
        </w:numPr>
        <w:tabs>
          <w:tab w:pos="1109" w:val="left" w:leader="none"/>
          <w:tab w:pos="1216" w:val="left" w:leader="none"/>
          <w:tab w:pos="9074" w:val="right" w:leader="dot"/>
        </w:tabs>
        <w:spacing w:line="240" w:lineRule="auto" w:before="138" w:after="0"/>
        <w:ind w:left="1215" w:right="0" w:hanging="619"/>
        <w:jc w:val="left"/>
        <w:rPr>
          <w:sz w:val="24"/>
        </w:rPr>
      </w:pPr>
      <w:hyperlink w:history="true" w:anchor="_bookmark216">
        <w:r>
          <w:rPr>
            <w:sz w:val="24"/>
          </w:rPr>
          <w:t>Procédures pour enregistrer et analyser les</w:t>
        </w:r>
        <w:r>
          <w:rPr>
            <w:spacing w:val="-1"/>
            <w:sz w:val="24"/>
          </w:rPr>
          <w:t> </w:t>
        </w:r>
        <w:r>
          <w:rPr>
            <w:sz w:val="24"/>
          </w:rPr>
          <w:t>données</w:t>
          <w:tab/>
          <w:t>135</w:t>
        </w:r>
      </w:hyperlink>
    </w:p>
    <w:p>
      <w:pPr>
        <w:pStyle w:val="ListParagraph"/>
        <w:numPr>
          <w:ilvl w:val="2"/>
          <w:numId w:val="3"/>
        </w:numPr>
        <w:tabs>
          <w:tab w:pos="1109" w:val="left" w:leader="none"/>
          <w:tab w:pos="1216" w:val="left" w:leader="none"/>
          <w:tab w:pos="9074" w:val="right" w:leader="dot"/>
        </w:tabs>
        <w:spacing w:line="240" w:lineRule="auto" w:before="139" w:after="0"/>
        <w:ind w:left="1215" w:right="0" w:hanging="619"/>
        <w:jc w:val="left"/>
        <w:rPr>
          <w:sz w:val="24"/>
        </w:rPr>
      </w:pPr>
      <w:hyperlink w:history="true" w:anchor="_bookmark217">
        <w:r>
          <w:rPr>
            <w:sz w:val="24"/>
          </w:rPr>
          <w:t>Effets</w:t>
        </w:r>
        <w:r>
          <w:rPr>
            <w:spacing w:val="-1"/>
            <w:sz w:val="24"/>
          </w:rPr>
          <w:t> </w:t>
        </w:r>
        <w:r>
          <w:rPr>
            <w:sz w:val="24"/>
          </w:rPr>
          <w:t>secondaires</w:t>
          <w:tab/>
          <w:t>135</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218">
        <w:r>
          <w:rPr>
            <w:sz w:val="24"/>
          </w:rPr>
          <w:t>Suppléments</w:t>
          <w:tab/>
          <w:t>136</w:t>
        </w:r>
      </w:hyperlink>
    </w:p>
    <w:p>
      <w:pPr>
        <w:pStyle w:val="ListParagraph"/>
        <w:numPr>
          <w:ilvl w:val="2"/>
          <w:numId w:val="3"/>
        </w:numPr>
        <w:tabs>
          <w:tab w:pos="1109" w:val="left" w:leader="none"/>
          <w:tab w:pos="1216" w:val="left" w:leader="none"/>
          <w:tab w:pos="9074" w:val="right" w:leader="dot"/>
        </w:tabs>
        <w:spacing w:line="240" w:lineRule="auto" w:before="141" w:after="0"/>
        <w:ind w:left="1215" w:right="0" w:hanging="619"/>
        <w:jc w:val="left"/>
        <w:rPr>
          <w:sz w:val="24"/>
        </w:rPr>
      </w:pPr>
      <w:hyperlink w:history="true" w:anchor="_bookmark219">
        <w:r>
          <w:rPr>
            <w:sz w:val="24"/>
          </w:rPr>
          <w:t>Changements dans</w:t>
        </w:r>
        <w:r>
          <w:rPr>
            <w:spacing w:val="-1"/>
            <w:sz w:val="24"/>
          </w:rPr>
          <w:t> </w:t>
        </w:r>
        <w:r>
          <w:rPr>
            <w:sz w:val="24"/>
          </w:rPr>
          <w:t>le</w:t>
        </w:r>
        <w:r>
          <w:rPr>
            <w:spacing w:val="-1"/>
            <w:sz w:val="24"/>
          </w:rPr>
          <w:t> </w:t>
        </w:r>
        <w:r>
          <w:rPr>
            <w:sz w:val="24"/>
          </w:rPr>
          <w:t>protocole</w:t>
          <w:tab/>
          <w:t>136</w:t>
        </w:r>
      </w:hyperlink>
    </w:p>
    <w:p>
      <w:pPr>
        <w:pStyle w:val="ListParagraph"/>
        <w:numPr>
          <w:ilvl w:val="2"/>
          <w:numId w:val="3"/>
        </w:numPr>
        <w:tabs>
          <w:tab w:pos="1109" w:val="left" w:leader="none"/>
          <w:tab w:pos="1216" w:val="left" w:leader="none"/>
          <w:tab w:pos="9074" w:val="right" w:leader="dot"/>
        </w:tabs>
        <w:spacing w:line="240" w:lineRule="auto" w:before="142" w:after="0"/>
        <w:ind w:left="1215" w:right="0" w:hanging="619"/>
        <w:jc w:val="left"/>
        <w:rPr>
          <w:sz w:val="24"/>
        </w:rPr>
      </w:pPr>
      <w:hyperlink w:history="true" w:anchor="_bookmark220">
        <w:r>
          <w:rPr>
            <w:sz w:val="24"/>
          </w:rPr>
          <w:t>Références</w:t>
          <w:tab/>
          <w:t>136</w:t>
        </w:r>
      </w:hyperlink>
    </w:p>
    <w:p>
      <w:pPr>
        <w:pStyle w:val="ListParagraph"/>
        <w:numPr>
          <w:ilvl w:val="1"/>
          <w:numId w:val="3"/>
        </w:numPr>
        <w:tabs>
          <w:tab w:pos="997" w:val="left" w:leader="none"/>
          <w:tab w:pos="998" w:val="left" w:leader="none"/>
          <w:tab w:pos="9180" w:val="right" w:leader="dot"/>
        </w:tabs>
        <w:spacing w:line="240" w:lineRule="auto" w:before="141" w:after="0"/>
        <w:ind w:left="997" w:right="0" w:hanging="660"/>
        <w:jc w:val="left"/>
        <w:rPr>
          <w:sz w:val="24"/>
        </w:rPr>
      </w:pPr>
      <w:hyperlink w:history="true" w:anchor="_bookmark221">
        <w:r>
          <w:rPr>
            <w:sz w:val="24"/>
          </w:rPr>
          <w:t>Autres angles</w:t>
        </w:r>
        <w:r>
          <w:rPr>
            <w:spacing w:val="-1"/>
            <w:sz w:val="24"/>
          </w:rPr>
          <w:t> </w:t>
        </w:r>
        <w:r>
          <w:rPr>
            <w:sz w:val="24"/>
          </w:rPr>
          <w:t>d’études</w:t>
        </w:r>
        <w:r>
          <w:rPr>
            <w:spacing w:val="-1"/>
            <w:sz w:val="24"/>
          </w:rPr>
          <w:t> </w:t>
        </w:r>
        <w:r>
          <w:rPr>
            <w:sz w:val="24"/>
          </w:rPr>
          <w:t>intéressants</w:t>
          <w:tab/>
          <w:t>137</w:t>
        </w:r>
      </w:hyperlink>
    </w:p>
    <w:p>
      <w:pPr>
        <w:spacing w:after="0" w:line="240" w:lineRule="auto"/>
        <w:jc w:val="left"/>
        <w:rPr>
          <w:sz w:val="24"/>
        </w:rPr>
        <w:sectPr>
          <w:pgSz w:w="11910" w:h="16840"/>
          <w:pgMar w:header="0" w:footer="995" w:top="1320" w:bottom="1240" w:left="1300" w:right="1320"/>
        </w:sectPr>
      </w:pPr>
    </w:p>
    <w:p>
      <w:pPr>
        <w:pStyle w:val="ListParagraph"/>
        <w:numPr>
          <w:ilvl w:val="2"/>
          <w:numId w:val="3"/>
        </w:numPr>
        <w:tabs>
          <w:tab w:pos="1355" w:val="left" w:leader="none"/>
          <w:tab w:pos="1356" w:val="left" w:leader="none"/>
          <w:tab w:pos="9320" w:val="right" w:leader="dot"/>
        </w:tabs>
        <w:spacing w:line="240" w:lineRule="auto" w:before="70" w:after="0"/>
        <w:ind w:left="1355" w:right="0" w:hanging="619"/>
        <w:jc w:val="left"/>
        <w:rPr>
          <w:sz w:val="24"/>
        </w:rPr>
      </w:pPr>
      <w:hyperlink w:history="true" w:anchor="_bookmark222">
        <w:r>
          <w:rPr>
            <w:sz w:val="24"/>
          </w:rPr>
          <w:t>Quel est l’impact réel de la TM sur le métabolisme</w:t>
        </w:r>
        <w:r>
          <w:rPr>
            <w:spacing w:val="-7"/>
            <w:sz w:val="24"/>
          </w:rPr>
          <w:t> </w:t>
        </w:r>
        <w:r>
          <w:rPr>
            <w:sz w:val="24"/>
          </w:rPr>
          <w:t>tumoral</w:t>
        </w:r>
        <w:r>
          <w:rPr>
            <w:spacing w:val="1"/>
            <w:sz w:val="24"/>
          </w:rPr>
          <w:t> </w:t>
        </w:r>
        <w:r>
          <w:rPr>
            <w:sz w:val="24"/>
          </w:rPr>
          <w:t>?</w:t>
          <w:tab/>
          <w:t>137</w:t>
        </w:r>
      </w:hyperlink>
    </w:p>
    <w:p>
      <w:pPr>
        <w:pStyle w:val="ListParagraph"/>
        <w:numPr>
          <w:ilvl w:val="2"/>
          <w:numId w:val="3"/>
        </w:numPr>
        <w:tabs>
          <w:tab w:pos="1355" w:val="left" w:leader="none"/>
          <w:tab w:pos="1356" w:val="left" w:leader="none"/>
          <w:tab w:pos="9320" w:val="right" w:leader="dot"/>
        </w:tabs>
        <w:spacing w:line="240" w:lineRule="auto" w:before="141" w:after="0"/>
        <w:ind w:left="1355" w:right="0" w:hanging="619"/>
        <w:jc w:val="left"/>
        <w:rPr>
          <w:sz w:val="24"/>
        </w:rPr>
      </w:pPr>
      <w:hyperlink w:history="true" w:anchor="_bookmark223">
        <w:r>
          <w:rPr>
            <w:sz w:val="24"/>
          </w:rPr>
          <w:t>Sur quels mécanismes agit la TM en association avec la</w:t>
        </w:r>
        <w:r>
          <w:rPr>
            <w:spacing w:val="-7"/>
            <w:sz w:val="24"/>
          </w:rPr>
          <w:t> </w:t>
        </w:r>
        <w:r>
          <w:rPr>
            <w:sz w:val="24"/>
          </w:rPr>
          <w:t>chimiothérapie</w:t>
        </w:r>
        <w:r>
          <w:rPr>
            <w:spacing w:val="2"/>
            <w:sz w:val="24"/>
          </w:rPr>
          <w:t> </w:t>
        </w:r>
        <w:r>
          <w:rPr>
            <w:sz w:val="24"/>
          </w:rPr>
          <w:t>?</w:t>
          <w:tab/>
          <w:t>137</w:t>
        </w:r>
      </w:hyperlink>
    </w:p>
    <w:p>
      <w:pPr>
        <w:pStyle w:val="ListParagraph"/>
        <w:numPr>
          <w:ilvl w:val="2"/>
          <w:numId w:val="3"/>
        </w:numPr>
        <w:tabs>
          <w:tab w:pos="1355" w:val="left" w:leader="none"/>
          <w:tab w:pos="1356" w:val="left" w:leader="none"/>
          <w:tab w:pos="9320" w:val="right" w:leader="dot"/>
        </w:tabs>
        <w:spacing w:line="240" w:lineRule="auto" w:before="141" w:after="0"/>
        <w:ind w:left="1355" w:right="0" w:hanging="619"/>
        <w:jc w:val="left"/>
        <w:rPr>
          <w:sz w:val="24"/>
        </w:rPr>
      </w:pPr>
      <w:hyperlink w:history="true" w:anchor="_bookmark224">
        <w:r>
          <w:rPr>
            <w:sz w:val="24"/>
          </w:rPr>
          <w:t>Quelle est l’efficacité de</w:t>
        </w:r>
        <w:r>
          <w:rPr>
            <w:spacing w:val="-3"/>
            <w:sz w:val="24"/>
          </w:rPr>
          <w:t> </w:t>
        </w:r>
        <w:r>
          <w:rPr>
            <w:sz w:val="24"/>
          </w:rPr>
          <w:t>la</w:t>
        </w:r>
        <w:r>
          <w:rPr>
            <w:spacing w:val="-1"/>
            <w:sz w:val="24"/>
          </w:rPr>
          <w:t> </w:t>
        </w:r>
        <w:r>
          <w:rPr>
            <w:sz w:val="24"/>
          </w:rPr>
          <w:t>TM…</w:t>
          <w:tab/>
          <w:t>138</w:t>
        </w:r>
      </w:hyperlink>
    </w:p>
    <w:p>
      <w:pPr>
        <w:pStyle w:val="ListParagraph"/>
        <w:numPr>
          <w:ilvl w:val="3"/>
          <w:numId w:val="3"/>
        </w:numPr>
        <w:tabs>
          <w:tab w:pos="1355" w:val="left" w:leader="none"/>
          <w:tab w:pos="1356" w:val="left" w:leader="none"/>
          <w:tab w:pos="9320" w:val="right" w:leader="dot"/>
        </w:tabs>
        <w:spacing w:line="240" w:lineRule="auto" w:before="141" w:after="0"/>
        <w:ind w:left="1355" w:right="0" w:hanging="439"/>
        <w:jc w:val="left"/>
        <w:rPr>
          <w:sz w:val="22"/>
        </w:rPr>
      </w:pPr>
      <w:hyperlink w:history="true" w:anchor="_bookmark225">
        <w:r>
          <w:rPr>
            <w:sz w:val="22"/>
          </w:rPr>
          <w:t>… en association avec la</w:t>
        </w:r>
        <w:r>
          <w:rPr>
            <w:spacing w:val="-1"/>
            <w:sz w:val="22"/>
          </w:rPr>
          <w:t> </w:t>
        </w:r>
        <w:r>
          <w:rPr>
            <w:sz w:val="22"/>
          </w:rPr>
          <w:t>radiothérapie ?</w:t>
          <w:tab/>
          <w:t>138</w:t>
        </w:r>
      </w:hyperlink>
    </w:p>
    <w:p>
      <w:pPr>
        <w:pStyle w:val="ListParagraph"/>
        <w:numPr>
          <w:ilvl w:val="3"/>
          <w:numId w:val="3"/>
        </w:numPr>
        <w:tabs>
          <w:tab w:pos="1355" w:val="left" w:leader="none"/>
          <w:tab w:pos="1356" w:val="left" w:leader="none"/>
        </w:tabs>
        <w:spacing w:line="240" w:lineRule="auto" w:before="140" w:after="0"/>
        <w:ind w:left="1355" w:right="0" w:hanging="439"/>
        <w:jc w:val="left"/>
        <w:rPr>
          <w:sz w:val="22"/>
        </w:rPr>
      </w:pPr>
      <w:hyperlink w:history="true" w:anchor="_bookmark226">
        <w:r>
          <w:rPr>
            <w:sz w:val="22"/>
          </w:rPr>
          <w:t>… en association avec une dose plus faible de chimiothérapie que les doses</w:t>
        </w:r>
        <w:r>
          <w:rPr>
            <w:spacing w:val="-21"/>
            <w:sz w:val="22"/>
          </w:rPr>
          <w:t> </w:t>
        </w:r>
        <w:r>
          <w:rPr>
            <w:sz w:val="22"/>
          </w:rPr>
          <w:t>de</w:t>
        </w:r>
      </w:hyperlink>
    </w:p>
    <w:p>
      <w:pPr>
        <w:tabs>
          <w:tab w:pos="9320" w:val="right" w:leader="dot"/>
        </w:tabs>
        <w:spacing w:before="34"/>
        <w:ind w:left="916" w:right="0" w:firstLine="0"/>
        <w:jc w:val="left"/>
        <w:rPr>
          <w:sz w:val="22"/>
        </w:rPr>
      </w:pPr>
      <w:hyperlink w:history="true" w:anchor="_bookmark226">
        <w:r>
          <w:rPr>
            <w:sz w:val="22"/>
          </w:rPr>
          <w:t>références</w:t>
        </w:r>
        <w:r>
          <w:rPr>
            <w:spacing w:val="-2"/>
            <w:sz w:val="22"/>
          </w:rPr>
          <w:t> </w:t>
        </w:r>
        <w:r>
          <w:rPr>
            <w:sz w:val="22"/>
          </w:rPr>
          <w:t>?</w:t>
          <w:tab/>
          <w:t>138</w:t>
        </w:r>
      </w:hyperlink>
    </w:p>
    <w:p>
      <w:pPr>
        <w:pStyle w:val="ListParagraph"/>
        <w:numPr>
          <w:ilvl w:val="3"/>
          <w:numId w:val="3"/>
        </w:numPr>
        <w:tabs>
          <w:tab w:pos="1356" w:val="left" w:leader="none"/>
          <w:tab w:pos="9320" w:val="right" w:leader="dot"/>
        </w:tabs>
        <w:spacing w:line="240" w:lineRule="auto" w:before="137" w:after="0"/>
        <w:ind w:left="1355" w:right="0" w:hanging="439"/>
        <w:jc w:val="left"/>
        <w:rPr>
          <w:sz w:val="22"/>
        </w:rPr>
      </w:pPr>
      <w:hyperlink w:history="true" w:anchor="_bookmark227">
        <w:r>
          <w:rPr>
            <w:sz w:val="22"/>
          </w:rPr>
          <w:t>… utilisée</w:t>
        </w:r>
        <w:r>
          <w:rPr>
            <w:spacing w:val="-1"/>
            <w:sz w:val="22"/>
          </w:rPr>
          <w:t> </w:t>
        </w:r>
        <w:r>
          <w:rPr>
            <w:sz w:val="22"/>
          </w:rPr>
          <w:t>seule</w:t>
        </w:r>
        <w:r>
          <w:rPr>
            <w:spacing w:val="-2"/>
            <w:sz w:val="22"/>
          </w:rPr>
          <w:t> </w:t>
        </w:r>
        <w:r>
          <w:rPr>
            <w:sz w:val="22"/>
          </w:rPr>
          <w:t>?</w:t>
          <w:tab/>
          <w:t>138</w:t>
        </w:r>
      </w:hyperlink>
    </w:p>
    <w:p>
      <w:pPr>
        <w:pStyle w:val="ListParagraph"/>
        <w:numPr>
          <w:ilvl w:val="3"/>
          <w:numId w:val="3"/>
        </w:numPr>
        <w:tabs>
          <w:tab w:pos="1355" w:val="left" w:leader="none"/>
          <w:tab w:pos="1356" w:val="left" w:leader="none"/>
          <w:tab w:pos="9320" w:val="right" w:leader="dot"/>
        </w:tabs>
        <w:spacing w:line="240" w:lineRule="auto" w:before="137" w:after="0"/>
        <w:ind w:left="1355" w:right="0" w:hanging="439"/>
        <w:jc w:val="left"/>
        <w:rPr>
          <w:sz w:val="22"/>
        </w:rPr>
      </w:pPr>
      <w:hyperlink w:history="true" w:anchor="_bookmark228">
        <w:r>
          <w:rPr>
            <w:sz w:val="22"/>
          </w:rPr>
          <w:t>… en association avec la diète</w:t>
        </w:r>
        <w:r>
          <w:rPr>
            <w:spacing w:val="-2"/>
            <w:sz w:val="22"/>
          </w:rPr>
          <w:t> </w:t>
        </w:r>
        <w:r>
          <w:rPr>
            <w:sz w:val="22"/>
          </w:rPr>
          <w:t>cétogène ?</w:t>
          <w:tab/>
          <w:t>138</w:t>
        </w:r>
      </w:hyperlink>
    </w:p>
    <w:p>
      <w:pPr>
        <w:pStyle w:val="BodyText"/>
        <w:tabs>
          <w:tab w:pos="9320" w:val="right" w:leader="dot"/>
        </w:tabs>
        <w:spacing w:before="606"/>
        <w:ind w:left="256"/>
      </w:pPr>
      <w:r>
        <w:rPr/>
        <w:drawing>
          <wp:anchor distT="0" distB="0" distL="0" distR="0" allowOverlap="1" layoutInCell="1" locked="0" behindDoc="1" simplePos="0" relativeHeight="268171439">
            <wp:simplePos x="0" y="0"/>
            <wp:positionH relativeFrom="page">
              <wp:posOffset>803148</wp:posOffset>
            </wp:positionH>
            <wp:positionV relativeFrom="paragraph">
              <wp:posOffset>337478</wp:posOffset>
            </wp:positionV>
            <wp:extent cx="1190244" cy="336803"/>
            <wp:effectExtent l="0" t="0" r="0" b="0"/>
            <wp:wrapNone/>
            <wp:docPr id="11" name="image4.png" descr=""/>
            <wp:cNvGraphicFramePr>
              <a:graphicFrameLocks noChangeAspect="1"/>
            </wp:cNvGraphicFramePr>
            <a:graphic>
              <a:graphicData uri="http://schemas.openxmlformats.org/drawingml/2006/picture">
                <pic:pic>
                  <pic:nvPicPr>
                    <pic:cNvPr id="12" name="image4.png"/>
                    <pic:cNvPicPr/>
                  </pic:nvPicPr>
                  <pic:blipFill>
                    <a:blip r:embed="rId10" cstate="print"/>
                    <a:stretch>
                      <a:fillRect/>
                    </a:stretch>
                  </pic:blipFill>
                  <pic:spPr>
                    <a:xfrm>
                      <a:off x="0" y="0"/>
                      <a:ext cx="1190244" cy="336803"/>
                    </a:xfrm>
                    <a:prstGeom prst="rect">
                      <a:avLst/>
                    </a:prstGeom>
                  </pic:spPr>
                </pic:pic>
              </a:graphicData>
            </a:graphic>
          </wp:anchor>
        </w:drawing>
      </w:r>
      <w:hyperlink w:history="true" w:anchor="_bookmark229">
        <w:r>
          <w:rPr/>
          <w:t>CONCLUSION</w:t>
          <w:tab/>
          <w:t>139</w:t>
        </w:r>
      </w:hyperlink>
    </w:p>
    <w:p>
      <w:pPr>
        <w:pStyle w:val="BodyText"/>
        <w:tabs>
          <w:tab w:pos="9320" w:val="right" w:leader="dot"/>
        </w:tabs>
        <w:spacing w:before="640"/>
        <w:ind w:left="256"/>
      </w:pPr>
      <w:hyperlink w:history="true" w:anchor="_bookmark230">
        <w:r>
          <w:rPr/>
          <w:t>Références</w:t>
        </w:r>
        <w:r>
          <w:rPr>
            <w:spacing w:val="-1"/>
          </w:rPr>
          <w:t> </w:t>
        </w:r>
        <w:r>
          <w:rPr/>
          <w:t>bibliographiques</w:t>
          <w:tab/>
          <w:t>141</w:t>
        </w:r>
      </w:hyperlink>
    </w:p>
    <w:p>
      <w:pPr>
        <w:pStyle w:val="BodyText"/>
        <w:tabs>
          <w:tab w:pos="9320" w:val="right" w:leader="dot"/>
        </w:tabs>
        <w:spacing w:before="141"/>
        <w:ind w:left="256"/>
      </w:pPr>
      <w:hyperlink w:history="true" w:anchor="_bookmark231">
        <w:r>
          <w:rPr/>
          <w:t>Annexes</w:t>
          <w:tab/>
          <w:t>165</w:t>
        </w:r>
      </w:hyperlink>
    </w:p>
    <w:p>
      <w:pPr>
        <w:spacing w:after="0"/>
        <w:sectPr>
          <w:pgSz w:w="11910" w:h="16840"/>
          <w:pgMar w:header="0" w:footer="995" w:top="1320" w:bottom="1240" w:left="1160" w:right="1320"/>
        </w:sectPr>
      </w:pPr>
    </w:p>
    <w:p>
      <w:pPr>
        <w:pStyle w:val="Heading1"/>
        <w:ind w:left="3107"/>
        <w:jc w:val="left"/>
        <w:rPr>
          <w:u w:val="none"/>
        </w:rPr>
      </w:pPr>
      <w:bookmarkStart w:name="_bookmark0" w:id="1"/>
      <w:bookmarkEnd w:id="1"/>
      <w:r>
        <w:rPr>
          <w:b w:val="0"/>
          <w:u w:val="none"/>
        </w:rPr>
      </w:r>
      <w:r>
        <w:rPr>
          <w:u w:val="thick"/>
        </w:rPr>
        <w:t>Table des annexes</w:t>
      </w:r>
    </w:p>
    <w:p>
      <w:pPr>
        <w:pStyle w:val="BodyText"/>
        <w:tabs>
          <w:tab w:pos="9180" w:val="right" w:leader="dot"/>
        </w:tabs>
        <w:spacing w:before="452"/>
        <w:ind w:left="116"/>
      </w:pPr>
      <w:hyperlink w:history="true" w:anchor="_bookmark232">
        <w:r>
          <w:rPr/>
          <w:t>Annexe 1 : Les mécanismes</w:t>
        </w:r>
        <w:r>
          <w:rPr>
            <w:spacing w:val="-1"/>
          </w:rPr>
          <w:t> </w:t>
        </w:r>
        <w:r>
          <w:rPr/>
          <w:t>de</w:t>
        </w:r>
        <w:r>
          <w:rPr>
            <w:spacing w:val="-3"/>
          </w:rPr>
          <w:t> </w:t>
        </w:r>
        <w:r>
          <w:rPr/>
          <w:t>l’apoptose</w:t>
          <w:tab/>
          <w:t>165</w:t>
        </w:r>
      </w:hyperlink>
    </w:p>
    <w:p>
      <w:pPr>
        <w:pStyle w:val="BodyText"/>
        <w:tabs>
          <w:tab w:pos="9180" w:val="right" w:leader="dot"/>
        </w:tabs>
        <w:spacing w:before="122"/>
        <w:ind w:left="116"/>
      </w:pPr>
      <w:hyperlink w:history="true" w:anchor="_bookmark233">
        <w:r>
          <w:rPr/>
          <w:t>Annexe 2 : Résultats</w:t>
        </w:r>
        <w:r>
          <w:rPr>
            <w:spacing w:val="-2"/>
          </w:rPr>
          <w:t> </w:t>
        </w:r>
        <w:r>
          <w:rPr/>
          <w:t>complémentaires</w:t>
        </w:r>
        <w:r>
          <w:rPr>
            <w:spacing w:val="-1"/>
          </w:rPr>
          <w:t> </w:t>
        </w:r>
        <w:r>
          <w:rPr/>
          <w:t>ALA</w:t>
          <w:tab/>
          <w:t>167</w:t>
        </w:r>
      </w:hyperlink>
    </w:p>
    <w:p>
      <w:pPr>
        <w:pStyle w:val="BodyText"/>
        <w:tabs>
          <w:tab w:pos="9180" w:val="right" w:leader="dot"/>
        </w:tabs>
        <w:spacing w:before="122"/>
        <w:ind w:left="116"/>
      </w:pPr>
      <w:hyperlink w:history="true" w:anchor="_bookmark234">
        <w:r>
          <w:rPr/>
          <w:t>Annexe 3 : Détails des différentes phases de réalisation d’un</w:t>
        </w:r>
        <w:r>
          <w:rPr>
            <w:spacing w:val="-9"/>
          </w:rPr>
          <w:t> </w:t>
        </w:r>
        <w:r>
          <w:rPr/>
          <w:t>essai</w:t>
        </w:r>
        <w:r>
          <w:rPr>
            <w:spacing w:val="-2"/>
          </w:rPr>
          <w:t> </w:t>
        </w:r>
        <w:r>
          <w:rPr/>
          <w:t>clinique</w:t>
          <w:tab/>
          <w:t>170</w:t>
        </w:r>
      </w:hyperlink>
    </w:p>
    <w:p>
      <w:pPr>
        <w:pStyle w:val="BodyText"/>
        <w:tabs>
          <w:tab w:pos="9180" w:val="right" w:leader="dot"/>
        </w:tabs>
        <w:spacing w:line="256" w:lineRule="auto" w:before="124"/>
        <w:ind w:left="116" w:right="104"/>
      </w:pPr>
      <w:hyperlink w:history="true" w:anchor="_bookmark235">
        <w:r>
          <w:rPr/>
          <w:t>Annexe 4 : Table des valeurs usuelles IDEXX (numération et formule sanguine et examen</w:t>
        </w:r>
      </w:hyperlink>
      <w:r>
        <w:rPr/>
        <w:t> </w:t>
      </w:r>
      <w:hyperlink w:history="true" w:anchor="_bookmark235">
        <w:r>
          <w:rPr/>
          <w:t>biochimique de base) chez le chien et</w:t>
        </w:r>
        <w:r>
          <w:rPr>
            <w:spacing w:val="-1"/>
          </w:rPr>
          <w:t> </w:t>
        </w:r>
        <w:r>
          <w:rPr/>
          <w:t>le</w:t>
        </w:r>
        <w:r>
          <w:rPr>
            <w:spacing w:val="-2"/>
          </w:rPr>
          <w:t> </w:t>
        </w:r>
        <w:r>
          <w:rPr/>
          <w:t>chat</w:t>
          <w:tab/>
          <w:t>172</w:t>
        </w:r>
      </w:hyperlink>
    </w:p>
    <w:p>
      <w:pPr>
        <w:pStyle w:val="BodyText"/>
        <w:tabs>
          <w:tab w:pos="9180" w:val="right" w:leader="dot"/>
        </w:tabs>
        <w:spacing w:line="256" w:lineRule="auto" w:before="103"/>
        <w:ind w:left="116" w:right="104"/>
      </w:pPr>
      <w:hyperlink w:history="true" w:anchor="_bookmark236">
        <w:r>
          <w:rPr/>
          <w:t>Annexe 5 : Statuts de performance permettant de sélectionner les patients à inclure dans</w:t>
        </w:r>
      </w:hyperlink>
      <w:r>
        <w:rPr/>
        <w:t> </w:t>
      </w:r>
      <w:hyperlink w:history="true" w:anchor="_bookmark236">
        <w:r>
          <w:rPr/>
          <w:t>l’étude</w:t>
          <w:tab/>
          <w:t>173</w:t>
        </w:r>
      </w:hyperlink>
    </w:p>
    <w:p>
      <w:pPr>
        <w:pStyle w:val="BodyText"/>
        <w:tabs>
          <w:tab w:pos="9180" w:val="right" w:leader="dot"/>
        </w:tabs>
        <w:spacing w:before="104"/>
        <w:ind w:left="116"/>
      </w:pPr>
      <w:hyperlink w:history="true" w:anchor="_bookmark237">
        <w:r>
          <w:rPr/>
          <w:t>Annexe 6 : Système de condition corporelle (Note d’Etat</w:t>
        </w:r>
        <w:r>
          <w:rPr>
            <w:spacing w:val="-8"/>
          </w:rPr>
          <w:t> </w:t>
        </w:r>
        <w:r>
          <w:rPr/>
          <w:t>Corporel</w:t>
        </w:r>
        <w:r>
          <w:rPr>
            <w:spacing w:val="-1"/>
          </w:rPr>
          <w:t> </w:t>
        </w:r>
        <w:r>
          <w:rPr/>
          <w:t>NEC)</w:t>
          <w:tab/>
          <w:t>174</w:t>
        </w:r>
      </w:hyperlink>
    </w:p>
    <w:p>
      <w:pPr>
        <w:pStyle w:val="BodyText"/>
        <w:tabs>
          <w:tab w:pos="9180" w:val="right" w:leader="dot"/>
        </w:tabs>
        <w:spacing w:before="122"/>
        <w:ind w:left="116"/>
      </w:pPr>
      <w:hyperlink w:history="true" w:anchor="_bookmark238">
        <w:r>
          <w:rPr/>
          <w:t>Annexe 7 : Grille d’évaluation de la toxicité d’un traitement par</w:t>
        </w:r>
        <w:r>
          <w:rPr>
            <w:spacing w:val="-7"/>
          </w:rPr>
          <w:t> </w:t>
        </w:r>
        <w:r>
          <w:rPr/>
          <w:t>le clinicien</w:t>
          <w:tab/>
          <w:t>175</w:t>
        </w:r>
      </w:hyperlink>
    </w:p>
    <w:p>
      <w:pPr>
        <w:pStyle w:val="BodyText"/>
        <w:spacing w:before="124"/>
        <w:ind w:left="116"/>
      </w:pPr>
      <w:hyperlink w:history="true" w:anchor="_bookmark239">
        <w:r>
          <w:rPr/>
          <w:t>Annexe 8 : Grille d’évaluation des effets secondaires d’un traitement et de la qualité de vie</w:t>
        </w:r>
      </w:hyperlink>
    </w:p>
    <w:p>
      <w:pPr>
        <w:pStyle w:val="BodyText"/>
        <w:tabs>
          <w:tab w:pos="9180" w:val="right" w:leader="dot"/>
        </w:tabs>
        <w:spacing w:before="18"/>
        <w:ind w:left="116"/>
      </w:pPr>
      <w:hyperlink w:history="true" w:anchor="_bookmark239">
        <w:r>
          <w:rPr/>
          <w:t>de l’animal par</w:t>
        </w:r>
        <w:r>
          <w:rPr>
            <w:spacing w:val="-4"/>
          </w:rPr>
          <w:t> </w:t>
        </w:r>
        <w:r>
          <w:rPr/>
          <w:t>le propriétaire</w:t>
          <w:tab/>
          <w:t>176</w:t>
        </w:r>
      </w:hyperlink>
    </w:p>
    <w:p>
      <w:pPr>
        <w:spacing w:after="0"/>
        <w:sectPr>
          <w:pgSz w:w="11910" w:h="16840"/>
          <w:pgMar w:header="0" w:footer="995" w:top="1340" w:bottom="1240" w:left="1300" w:right="1320"/>
        </w:sectPr>
      </w:pPr>
    </w:p>
    <w:p>
      <w:pPr>
        <w:pStyle w:val="Heading1"/>
        <w:ind w:left="17"/>
        <w:rPr>
          <w:u w:val="none"/>
        </w:rPr>
      </w:pPr>
      <w:bookmarkStart w:name="_bookmark2" w:id="2"/>
      <w:bookmarkEnd w:id="2"/>
      <w:r>
        <w:rPr>
          <w:b w:val="0"/>
          <w:u w:val="none"/>
        </w:rPr>
      </w:r>
      <w:bookmarkStart w:name="_bookmark1" w:id="3"/>
      <w:bookmarkEnd w:id="3"/>
      <w:r>
        <w:rPr>
          <w:b w:val="0"/>
          <w:u w:val="none"/>
        </w:rPr>
      </w:r>
      <w:r>
        <w:rPr>
          <w:u w:val="thick"/>
        </w:rPr>
        <w:t>Table des figures</w:t>
      </w:r>
    </w:p>
    <w:p>
      <w:pPr>
        <w:pStyle w:val="BodyText"/>
        <w:rPr>
          <w:b/>
          <w:sz w:val="26"/>
        </w:rPr>
      </w:pPr>
    </w:p>
    <w:p>
      <w:pPr>
        <w:pStyle w:val="BodyText"/>
        <w:tabs>
          <w:tab w:pos="8940" w:val="left" w:leader="dot"/>
        </w:tabs>
        <w:spacing w:before="225"/>
        <w:ind w:left="116"/>
      </w:pPr>
      <w:hyperlink w:history="true" w:anchor="_bookmark8">
        <w:r>
          <w:rPr/>
          <w:t>Figure 1 : Les 10 réactions de la glycolyse et les enzymes</w:t>
        </w:r>
        <w:r>
          <w:rPr>
            <w:spacing w:val="-16"/>
          </w:rPr>
          <w:t> </w:t>
        </w:r>
        <w:r>
          <w:rPr/>
          <w:t>les</w:t>
        </w:r>
        <w:r>
          <w:rPr>
            <w:spacing w:val="-2"/>
          </w:rPr>
          <w:t> </w:t>
        </w:r>
        <w:r>
          <w:rPr/>
          <w:t>catalysant.</w:t>
          <w:tab/>
          <w:t>26</w:t>
        </w:r>
      </w:hyperlink>
    </w:p>
    <w:p>
      <w:pPr>
        <w:pStyle w:val="BodyText"/>
        <w:tabs>
          <w:tab w:pos="8940" w:val="left" w:leader="dot"/>
        </w:tabs>
        <w:spacing w:before="21"/>
        <w:ind w:left="116"/>
      </w:pPr>
      <w:hyperlink w:history="true" w:anchor="_bookmark11">
        <w:r>
          <w:rPr/>
          <w:t>Figure 2 : Le cycle de Krebs et les</w:t>
        </w:r>
        <w:r>
          <w:rPr>
            <w:spacing w:val="-11"/>
          </w:rPr>
          <w:t> </w:t>
        </w:r>
        <w:r>
          <w:rPr/>
          <w:t>enzymes</w:t>
        </w:r>
        <w:r>
          <w:rPr>
            <w:spacing w:val="-2"/>
          </w:rPr>
          <w:t> </w:t>
        </w:r>
        <w:r>
          <w:rPr/>
          <w:t>impliquées.</w:t>
          <w:tab/>
          <w:t>27</w:t>
        </w:r>
      </w:hyperlink>
    </w:p>
    <w:p>
      <w:pPr>
        <w:pStyle w:val="BodyText"/>
        <w:tabs>
          <w:tab w:pos="8940" w:val="left" w:leader="dot"/>
        </w:tabs>
        <w:spacing w:before="21"/>
        <w:ind w:left="116"/>
      </w:pPr>
      <w:hyperlink w:history="true" w:anchor="_bookmark13">
        <w:r>
          <w:rPr/>
          <w:t>Figure 3 : Les phosphorylations oxydatives et la</w:t>
        </w:r>
        <w:r>
          <w:rPr>
            <w:spacing w:val="-9"/>
          </w:rPr>
          <w:t> </w:t>
        </w:r>
        <w:r>
          <w:rPr/>
          <w:t>synthèse</w:t>
        </w:r>
        <w:r>
          <w:rPr>
            <w:spacing w:val="-3"/>
          </w:rPr>
          <w:t> </w:t>
        </w:r>
        <w:r>
          <w:rPr/>
          <w:t>d'ATP</w:t>
          <w:tab/>
          <w:t>28</w:t>
        </w:r>
      </w:hyperlink>
    </w:p>
    <w:p>
      <w:pPr>
        <w:pStyle w:val="BodyText"/>
        <w:tabs>
          <w:tab w:pos="8940" w:val="left" w:leader="dot"/>
        </w:tabs>
        <w:spacing w:line="259" w:lineRule="auto" w:before="21"/>
        <w:ind w:left="116" w:right="104"/>
      </w:pPr>
      <w:hyperlink w:history="true" w:anchor="_bookmark15">
        <w:r>
          <w:rPr/>
          <w:t>Figure 4 : Les navettes glycérol-phosphate (gain de 2 ATP) et malate-aspartate (gain de 3</w:t>
        </w:r>
      </w:hyperlink>
      <w:r>
        <w:rPr/>
        <w:t> </w:t>
      </w:r>
      <w:hyperlink w:history="true" w:anchor="_bookmark15">
        <w:r>
          <w:rPr/>
          <w:t>ATP).</w:t>
          <w:tab/>
          <w:t>29</w:t>
        </w:r>
      </w:hyperlink>
    </w:p>
    <w:p>
      <w:pPr>
        <w:pStyle w:val="BodyText"/>
        <w:tabs>
          <w:tab w:pos="8940" w:val="left" w:leader="dot"/>
        </w:tabs>
        <w:spacing w:line="259" w:lineRule="auto"/>
        <w:ind w:left="116" w:right="104"/>
      </w:pPr>
      <w:hyperlink w:history="true" w:anchor="_bookmark17">
        <w:r>
          <w:rPr/>
          <w:t>Figure 5 : La régulation allostérique de la glycolyse par les intermédiaires du métabolisme</w:t>
        </w:r>
      </w:hyperlink>
      <w:r>
        <w:rPr/>
        <w:t> </w:t>
      </w:r>
      <w:hyperlink w:history="true" w:anchor="_bookmark17">
        <w:r>
          <w:rPr/>
          <w:t>énergétique</w:t>
          <w:tab/>
          <w:t>30</w:t>
        </w:r>
      </w:hyperlink>
    </w:p>
    <w:p>
      <w:pPr>
        <w:pStyle w:val="BodyText"/>
        <w:tabs>
          <w:tab w:pos="8940" w:val="left" w:leader="dot"/>
        </w:tabs>
        <w:spacing w:line="259" w:lineRule="auto"/>
        <w:ind w:left="116" w:right="104"/>
      </w:pPr>
      <w:hyperlink w:history="true" w:anchor="_bookmark18">
        <w:r>
          <w:rPr/>
          <w:t>Figure 6 : Le contrôle de l'activation de la PDH par les intermédiaires du métabolisme</w:t>
        </w:r>
      </w:hyperlink>
      <w:r>
        <w:rPr/>
        <w:t> </w:t>
      </w:r>
      <w:hyperlink w:history="true" w:anchor="_bookmark18">
        <w:r>
          <w:rPr/>
          <w:t>énergétique</w:t>
          <w:tab/>
          <w:t>31</w:t>
        </w:r>
      </w:hyperlink>
    </w:p>
    <w:p>
      <w:pPr>
        <w:pStyle w:val="BodyText"/>
        <w:tabs>
          <w:tab w:pos="8940" w:val="left" w:leader="dot"/>
        </w:tabs>
        <w:ind w:left="116"/>
      </w:pPr>
      <w:hyperlink w:history="true" w:anchor="_bookmark21">
        <w:r>
          <w:rPr/>
          <w:t>Figure 7 : Une vue d'ensemble simplifiée du métabolisme</w:t>
        </w:r>
        <w:r>
          <w:rPr>
            <w:spacing w:val="-8"/>
          </w:rPr>
          <w:t> </w:t>
        </w:r>
        <w:r>
          <w:rPr/>
          <w:t>du</w:t>
        </w:r>
        <w:r>
          <w:rPr>
            <w:spacing w:val="-1"/>
          </w:rPr>
          <w:t> </w:t>
        </w:r>
        <w:r>
          <w:rPr/>
          <w:t>glucose</w:t>
          <w:tab/>
          <w:t>32</w:t>
        </w:r>
      </w:hyperlink>
    </w:p>
    <w:p>
      <w:pPr>
        <w:pStyle w:val="BodyText"/>
        <w:tabs>
          <w:tab w:pos="8940" w:val="left" w:leader="dot"/>
        </w:tabs>
        <w:spacing w:before="24"/>
        <w:ind w:left="116"/>
      </w:pPr>
      <w:hyperlink w:history="true" w:anchor="_bookmark24">
        <w:r>
          <w:rPr/>
          <w:t>Figure 8 : Une représentation schématique de la</w:t>
        </w:r>
        <w:r>
          <w:rPr>
            <w:spacing w:val="-11"/>
          </w:rPr>
          <w:t> </w:t>
        </w:r>
        <w:r>
          <w:rPr/>
          <w:t>coopération</w:t>
        </w:r>
        <w:r>
          <w:rPr>
            <w:spacing w:val="-1"/>
          </w:rPr>
          <w:t> </w:t>
        </w:r>
        <w:r>
          <w:rPr/>
          <w:t>métabolique</w:t>
          <w:tab/>
          <w:t>34</w:t>
        </w:r>
      </w:hyperlink>
    </w:p>
    <w:p>
      <w:pPr>
        <w:pStyle w:val="BodyText"/>
        <w:tabs>
          <w:tab w:pos="8940" w:val="left" w:leader="dot"/>
        </w:tabs>
        <w:spacing w:before="21"/>
        <w:ind w:left="116"/>
      </w:pPr>
      <w:hyperlink w:history="true" w:anchor="_bookmark34">
        <w:r>
          <w:rPr/>
          <w:t>Figure 9 : Une connexion entre la glycolyse et le cycle de</w:t>
        </w:r>
        <w:r>
          <w:rPr>
            <w:spacing w:val="-13"/>
          </w:rPr>
          <w:t> </w:t>
        </w:r>
        <w:r>
          <w:rPr/>
          <w:t>Krebs</w:t>
        </w:r>
        <w:r>
          <w:rPr>
            <w:spacing w:val="-1"/>
          </w:rPr>
          <w:t> </w:t>
        </w:r>
        <w:r>
          <w:rPr/>
          <w:t>modifée</w:t>
          <w:tab/>
          <w:t>37</w:t>
        </w:r>
      </w:hyperlink>
    </w:p>
    <w:p>
      <w:pPr>
        <w:pStyle w:val="BodyText"/>
        <w:tabs>
          <w:tab w:pos="8940" w:val="left" w:leader="dot"/>
        </w:tabs>
        <w:spacing w:before="21"/>
        <w:ind w:left="116"/>
      </w:pPr>
      <w:hyperlink w:history="true" w:anchor="_bookmark44">
        <w:r>
          <w:rPr/>
          <w:t>Figure 10 :</w:t>
        </w:r>
        <w:r>
          <w:rPr>
            <w:spacing w:val="-5"/>
          </w:rPr>
          <w:t> </w:t>
        </w:r>
        <w:r>
          <w:rPr/>
          <w:t>La</w:t>
        </w:r>
        <w:r>
          <w:rPr>
            <w:spacing w:val="-1"/>
          </w:rPr>
          <w:t> </w:t>
        </w:r>
        <w:r>
          <w:rPr/>
          <w:t>glutaminolyse</w:t>
          <w:tab/>
          <w:t>40</w:t>
        </w:r>
      </w:hyperlink>
    </w:p>
    <w:p>
      <w:pPr>
        <w:pStyle w:val="BodyText"/>
        <w:spacing w:before="21"/>
        <w:ind w:left="116"/>
      </w:pPr>
      <w:hyperlink w:history="true" w:anchor="_bookmark45">
        <w:r>
          <w:rPr/>
          <w:t>Figure 11 : Le métabolisme de la glutamine au cœur du métabolisme énergétique de la</w:t>
        </w:r>
      </w:hyperlink>
    </w:p>
    <w:p>
      <w:pPr>
        <w:pStyle w:val="BodyText"/>
        <w:tabs>
          <w:tab w:pos="8940" w:val="left" w:leader="dot"/>
        </w:tabs>
        <w:spacing w:before="21"/>
        <w:ind w:left="116"/>
      </w:pPr>
      <w:hyperlink w:history="true" w:anchor="_bookmark45">
        <w:r>
          <w:rPr/>
          <w:t>cellule</w:t>
        </w:r>
        <w:r>
          <w:rPr>
            <w:spacing w:val="-2"/>
          </w:rPr>
          <w:t> </w:t>
        </w:r>
        <w:r>
          <w:rPr/>
          <w:t>cancéreuse</w:t>
          <w:tab/>
          <w:t>40</w:t>
        </w:r>
      </w:hyperlink>
    </w:p>
    <w:p>
      <w:pPr>
        <w:pStyle w:val="BodyText"/>
        <w:tabs>
          <w:tab w:pos="8940" w:val="left" w:leader="dot"/>
        </w:tabs>
        <w:spacing w:before="21"/>
        <w:ind w:left="116"/>
      </w:pPr>
      <w:hyperlink w:history="true" w:anchor="_bookmark47">
        <w:r>
          <w:rPr/>
          <w:t>Figure 12 : L’activité inverse</w:t>
        </w:r>
        <w:r>
          <w:rPr>
            <w:spacing w:val="-6"/>
          </w:rPr>
          <w:t> </w:t>
        </w:r>
        <w:r>
          <w:rPr/>
          <w:t>de</w:t>
        </w:r>
        <w:r>
          <w:rPr>
            <w:spacing w:val="-2"/>
          </w:rPr>
          <w:t> </w:t>
        </w:r>
        <w:r>
          <w:rPr/>
          <w:t>l'IDH</w:t>
          <w:tab/>
          <w:t>41</w:t>
        </w:r>
      </w:hyperlink>
    </w:p>
    <w:p>
      <w:pPr>
        <w:pStyle w:val="BodyText"/>
        <w:tabs>
          <w:tab w:pos="8940" w:val="left" w:leader="dot"/>
        </w:tabs>
        <w:spacing w:before="21"/>
        <w:ind w:left="116"/>
      </w:pPr>
      <w:hyperlink w:history="true" w:anchor="_bookmark50">
        <w:r>
          <w:rPr/>
          <w:t>Figure 13 : La voie de</w:t>
        </w:r>
        <w:r>
          <w:rPr>
            <w:spacing w:val="-6"/>
          </w:rPr>
          <w:t> </w:t>
        </w:r>
        <w:r>
          <w:rPr/>
          <w:t>signalisation</w:t>
        </w:r>
        <w:r>
          <w:rPr>
            <w:spacing w:val="-1"/>
          </w:rPr>
          <w:t> </w:t>
        </w:r>
        <w:r>
          <w:rPr/>
          <w:t>PI3K-Akt.</w:t>
          <w:tab/>
          <w:t>42</w:t>
        </w:r>
      </w:hyperlink>
    </w:p>
    <w:p>
      <w:pPr>
        <w:pStyle w:val="BodyText"/>
        <w:tabs>
          <w:tab w:pos="8940" w:val="left" w:leader="dot"/>
        </w:tabs>
        <w:spacing w:before="21"/>
        <w:ind w:left="116"/>
      </w:pPr>
      <w:hyperlink w:history="true" w:anchor="_bookmark52">
        <w:r>
          <w:rPr/>
          <w:t>Figure 14 : Schéma bilan des voies d’activation et du rôle</w:t>
        </w:r>
        <w:r>
          <w:rPr>
            <w:spacing w:val="-11"/>
          </w:rPr>
          <w:t> </w:t>
        </w:r>
        <w:r>
          <w:rPr/>
          <w:t>de</w:t>
        </w:r>
        <w:r>
          <w:rPr>
            <w:spacing w:val="-2"/>
          </w:rPr>
          <w:t> </w:t>
        </w:r>
        <w:r>
          <w:rPr/>
          <w:t>mTOR.</w:t>
          <w:tab/>
          <w:t>43</w:t>
        </w:r>
      </w:hyperlink>
    </w:p>
    <w:p>
      <w:pPr>
        <w:pStyle w:val="BodyText"/>
        <w:tabs>
          <w:tab w:pos="8940" w:val="left" w:leader="dot"/>
        </w:tabs>
        <w:spacing w:before="21"/>
        <w:ind w:left="116"/>
      </w:pPr>
      <w:hyperlink w:history="true" w:anchor="_bookmark53">
        <w:r>
          <w:rPr/>
          <w:t>Figure 15 : La voie</w:t>
        </w:r>
        <w:r>
          <w:rPr>
            <w:spacing w:val="-3"/>
          </w:rPr>
          <w:t> </w:t>
        </w:r>
        <w:r>
          <w:rPr/>
          <w:t>de</w:t>
        </w:r>
        <w:r>
          <w:rPr>
            <w:spacing w:val="-2"/>
          </w:rPr>
          <w:t> </w:t>
        </w:r>
        <w:r>
          <w:rPr/>
          <w:t>l'AMPK-mTOR</w:t>
          <w:tab/>
          <w:t>44</w:t>
        </w:r>
      </w:hyperlink>
    </w:p>
    <w:p>
      <w:pPr>
        <w:pStyle w:val="BodyText"/>
        <w:tabs>
          <w:tab w:pos="8940" w:val="left" w:leader="dot"/>
        </w:tabs>
        <w:spacing w:before="22"/>
        <w:ind w:left="116"/>
      </w:pPr>
      <w:hyperlink w:history="true" w:anchor="_bookmark55">
        <w:r>
          <w:rPr/>
          <w:t>Figure 16 : L’activation de HIF-1 en</w:t>
        </w:r>
        <w:r>
          <w:rPr>
            <w:spacing w:val="-6"/>
          </w:rPr>
          <w:t> </w:t>
        </w:r>
        <w:r>
          <w:rPr/>
          <w:t>situation</w:t>
        </w:r>
        <w:r>
          <w:rPr>
            <w:spacing w:val="-1"/>
          </w:rPr>
          <w:t> </w:t>
        </w:r>
        <w:r>
          <w:rPr/>
          <w:t>d'hypoxie.</w:t>
          <w:tab/>
          <w:t>45</w:t>
        </w:r>
      </w:hyperlink>
    </w:p>
    <w:p>
      <w:pPr>
        <w:pStyle w:val="BodyText"/>
        <w:tabs>
          <w:tab w:pos="8940" w:val="left" w:leader="dot"/>
        </w:tabs>
        <w:spacing w:before="22"/>
        <w:ind w:left="116"/>
      </w:pPr>
      <w:hyperlink w:history="true" w:anchor="_bookmark56">
        <w:r>
          <w:rPr/>
          <w:t>Figure 17 : Le facteur HIF-1 favorise l'activité de nombreuses enzymes de</w:t>
        </w:r>
        <w:r>
          <w:rPr>
            <w:spacing w:val="-15"/>
          </w:rPr>
          <w:t> </w:t>
        </w:r>
        <w:r>
          <w:rPr/>
          <w:t>la</w:t>
        </w:r>
        <w:r>
          <w:rPr>
            <w:spacing w:val="-2"/>
          </w:rPr>
          <w:t> </w:t>
        </w:r>
        <w:r>
          <w:rPr/>
          <w:t>glycolyse</w:t>
          <w:tab/>
          <w:t>46</w:t>
        </w:r>
      </w:hyperlink>
    </w:p>
    <w:p>
      <w:pPr>
        <w:pStyle w:val="BodyText"/>
        <w:tabs>
          <w:tab w:pos="8940" w:val="left" w:leader="dot"/>
        </w:tabs>
        <w:spacing w:before="24"/>
        <w:ind w:left="116"/>
      </w:pPr>
      <w:hyperlink w:history="true" w:anchor="_bookmark60">
        <w:r>
          <w:rPr/>
          <w:t>Figure 18 : L’activité de</w:t>
        </w:r>
        <w:r>
          <w:rPr>
            <w:spacing w:val="-8"/>
          </w:rPr>
          <w:t> </w:t>
        </w:r>
        <w:r>
          <w:rPr/>
          <w:t>la</w:t>
        </w:r>
        <w:r>
          <w:rPr>
            <w:spacing w:val="-1"/>
          </w:rPr>
          <w:t> </w:t>
        </w:r>
        <w:r>
          <w:rPr/>
          <w:t>LDH.</w:t>
          <w:tab/>
          <w:t>47</w:t>
        </w:r>
      </w:hyperlink>
    </w:p>
    <w:p>
      <w:pPr>
        <w:pStyle w:val="BodyText"/>
        <w:tabs>
          <w:tab w:pos="8940" w:val="left" w:leader="dot"/>
        </w:tabs>
        <w:spacing w:before="21"/>
        <w:ind w:left="116"/>
      </w:pPr>
      <w:hyperlink w:history="true" w:anchor="_bookmark61">
        <w:r>
          <w:rPr/>
          <w:t>Figure 19: Les échanges de lactate au sein d'un</w:t>
        </w:r>
        <w:r>
          <w:rPr>
            <w:spacing w:val="-8"/>
          </w:rPr>
          <w:t> </w:t>
        </w:r>
        <w:r>
          <w:rPr/>
          <w:t>tissu</w:t>
        </w:r>
        <w:r>
          <w:rPr>
            <w:spacing w:val="-2"/>
          </w:rPr>
          <w:t> </w:t>
        </w:r>
        <w:r>
          <w:rPr/>
          <w:t>tumoral.</w:t>
          <w:tab/>
          <w:t>48</w:t>
        </w:r>
      </w:hyperlink>
    </w:p>
    <w:p>
      <w:pPr>
        <w:pStyle w:val="BodyText"/>
        <w:tabs>
          <w:tab w:pos="8940" w:val="left" w:leader="dot"/>
        </w:tabs>
        <w:spacing w:before="21"/>
        <w:ind w:left="116"/>
      </w:pPr>
      <w:hyperlink w:history="true" w:anchor="_bookmark63">
        <w:r>
          <w:rPr/>
          <w:t>Figure 20 : Le rôle</w:t>
        </w:r>
        <w:r>
          <w:rPr>
            <w:spacing w:val="-7"/>
          </w:rPr>
          <w:t> </w:t>
        </w:r>
        <w:r>
          <w:rPr/>
          <w:t>de</w:t>
        </w:r>
        <w:r>
          <w:rPr>
            <w:spacing w:val="-3"/>
          </w:rPr>
          <w:t> </w:t>
        </w:r>
        <w:r>
          <w:rPr/>
          <w:t>l'ACLY.</w:t>
          <w:tab/>
          <w:t>49</w:t>
        </w:r>
      </w:hyperlink>
    </w:p>
    <w:p>
      <w:pPr>
        <w:pStyle w:val="BodyText"/>
        <w:tabs>
          <w:tab w:pos="8940" w:val="left" w:leader="dot"/>
        </w:tabs>
        <w:spacing w:before="21"/>
        <w:ind w:left="116"/>
      </w:pPr>
      <w:hyperlink w:history="true" w:anchor="_bookmark69">
        <w:r>
          <w:rPr/>
          <w:t>Figure 21 : Les efflux</w:t>
        </w:r>
        <w:r>
          <w:rPr>
            <w:spacing w:val="-2"/>
          </w:rPr>
          <w:t> </w:t>
        </w:r>
        <w:r>
          <w:rPr/>
          <w:t>de</w:t>
        </w:r>
        <w:r>
          <w:rPr>
            <w:spacing w:val="-3"/>
          </w:rPr>
          <w:t> </w:t>
        </w:r>
        <w:r>
          <w:rPr/>
          <w:t>protons.</w:t>
          <w:tab/>
          <w:t>51</w:t>
        </w:r>
      </w:hyperlink>
    </w:p>
    <w:p>
      <w:pPr>
        <w:pStyle w:val="BodyText"/>
        <w:tabs>
          <w:tab w:pos="8940" w:val="left" w:leader="dot"/>
        </w:tabs>
        <w:spacing w:before="21"/>
        <w:ind w:left="116"/>
      </w:pPr>
      <w:hyperlink w:history="true" w:anchor="_bookmark72">
        <w:r>
          <w:rPr/>
          <w:t>Figure 22 : La régulation du métabolisme par</w:t>
        </w:r>
        <w:r>
          <w:rPr>
            <w:spacing w:val="-9"/>
          </w:rPr>
          <w:t> </w:t>
        </w:r>
        <w:r>
          <w:rPr/>
          <w:t>les oncogènes.</w:t>
          <w:tab/>
          <w:t>52</w:t>
        </w:r>
      </w:hyperlink>
    </w:p>
    <w:p>
      <w:pPr>
        <w:pStyle w:val="BodyText"/>
        <w:tabs>
          <w:tab w:pos="8940" w:val="left" w:leader="dot"/>
        </w:tabs>
        <w:spacing w:line="259" w:lineRule="auto" w:before="21"/>
        <w:ind w:left="116" w:right="104"/>
      </w:pPr>
      <w:hyperlink w:history="true" w:anchor="_bookmark74">
        <w:r>
          <w:rPr/>
          <w:t>Figure 23 : Récapitulatif des expériences d’après Kaipparettu et al., (2013) et Elliott et al.,</w:t>
        </w:r>
      </w:hyperlink>
      <w:r>
        <w:rPr/>
        <w:t> </w:t>
      </w:r>
      <w:hyperlink w:history="true" w:anchor="_bookmark74">
        <w:r>
          <w:rPr/>
          <w:t>(2012)</w:t>
          <w:tab/>
          <w:t>53</w:t>
        </w:r>
      </w:hyperlink>
    </w:p>
    <w:p>
      <w:pPr>
        <w:pStyle w:val="BodyText"/>
        <w:tabs>
          <w:tab w:pos="8940" w:val="left" w:leader="dot"/>
        </w:tabs>
        <w:ind w:left="116"/>
      </w:pPr>
      <w:hyperlink w:history="true" w:anchor="_bookmark85">
        <w:r>
          <w:rPr/>
          <w:t>Figure 24 : Cibler</w:t>
        </w:r>
        <w:r>
          <w:rPr>
            <w:spacing w:val="-7"/>
          </w:rPr>
          <w:t> </w:t>
        </w:r>
        <w:r>
          <w:rPr/>
          <w:t>la</w:t>
        </w:r>
        <w:r>
          <w:rPr>
            <w:spacing w:val="-2"/>
          </w:rPr>
          <w:t> </w:t>
        </w:r>
        <w:r>
          <w:rPr/>
          <w:t>glycolyse</w:t>
          <w:tab/>
          <w:t>58</w:t>
        </w:r>
      </w:hyperlink>
    </w:p>
    <w:p>
      <w:pPr>
        <w:pStyle w:val="BodyText"/>
        <w:tabs>
          <w:tab w:pos="8940" w:val="left" w:leader="dot"/>
        </w:tabs>
        <w:spacing w:before="21"/>
        <w:ind w:left="116"/>
      </w:pPr>
      <w:hyperlink w:history="true" w:anchor="_bookmark93">
        <w:r>
          <w:rPr/>
          <w:t>Figure 25 : Modes d'action</w:t>
        </w:r>
        <w:r>
          <w:rPr>
            <w:spacing w:val="-4"/>
          </w:rPr>
          <w:t> </w:t>
        </w:r>
        <w:r>
          <w:rPr/>
          <w:t>du</w:t>
        </w:r>
        <w:r>
          <w:rPr>
            <w:spacing w:val="-1"/>
          </w:rPr>
          <w:t> </w:t>
        </w:r>
        <w:r>
          <w:rPr/>
          <w:t>3-BP</w:t>
          <w:tab/>
          <w:t>62</w:t>
        </w:r>
      </w:hyperlink>
    </w:p>
    <w:p>
      <w:pPr>
        <w:pStyle w:val="BodyText"/>
        <w:tabs>
          <w:tab w:pos="8940" w:val="left" w:leader="dot"/>
        </w:tabs>
        <w:spacing w:before="21"/>
        <w:ind w:left="116"/>
      </w:pPr>
      <w:hyperlink w:history="true" w:anchor="_bookmark109">
        <w:r>
          <w:rPr/>
          <w:t>Figure 26 : Les inhibiteurs de HIF-1 peuvent agir à</w:t>
        </w:r>
        <w:r>
          <w:rPr>
            <w:spacing w:val="-11"/>
          </w:rPr>
          <w:t> </w:t>
        </w:r>
        <w:r>
          <w:rPr/>
          <w:t>différents</w:t>
        </w:r>
        <w:r>
          <w:rPr>
            <w:spacing w:val="-1"/>
          </w:rPr>
          <w:t> </w:t>
        </w:r>
        <w:r>
          <w:rPr/>
          <w:t>niveaux</w:t>
          <w:tab/>
          <w:t>67</w:t>
        </w:r>
      </w:hyperlink>
    </w:p>
    <w:p>
      <w:pPr>
        <w:pStyle w:val="BodyText"/>
        <w:tabs>
          <w:tab w:pos="8940" w:val="left" w:leader="dot"/>
        </w:tabs>
        <w:spacing w:before="23"/>
        <w:ind w:left="116"/>
      </w:pPr>
      <w:hyperlink w:history="true" w:anchor="_bookmark119">
        <w:r>
          <w:rPr/>
          <w:t>Figure 27 : Mode d'action du DCA remis</w:t>
        </w:r>
        <w:r>
          <w:rPr>
            <w:spacing w:val="-4"/>
          </w:rPr>
          <w:t> </w:t>
        </w:r>
        <w:r>
          <w:rPr/>
          <w:t>en</w:t>
        </w:r>
        <w:r>
          <w:rPr>
            <w:spacing w:val="-1"/>
          </w:rPr>
          <w:t> </w:t>
        </w:r>
        <w:r>
          <w:rPr/>
          <w:t>contexte.</w:t>
          <w:tab/>
          <w:t>72</w:t>
        </w:r>
      </w:hyperlink>
    </w:p>
    <w:p>
      <w:pPr>
        <w:spacing w:after="0"/>
        <w:sectPr>
          <w:pgSz w:w="11910" w:h="16840"/>
          <w:pgMar w:header="0" w:footer="995" w:top="1340" w:bottom="1240" w:left="1300" w:right="1320"/>
        </w:sectPr>
      </w:pPr>
    </w:p>
    <w:p>
      <w:pPr>
        <w:pStyle w:val="Heading1"/>
        <w:ind w:left="3052"/>
        <w:jc w:val="left"/>
        <w:rPr>
          <w:u w:val="none"/>
        </w:rPr>
      </w:pPr>
      <w:bookmarkStart w:name="_bookmark3" w:id="4"/>
      <w:bookmarkEnd w:id="4"/>
      <w:r>
        <w:rPr>
          <w:b w:val="0"/>
          <w:u w:val="none"/>
        </w:rPr>
      </w:r>
      <w:r>
        <w:rPr>
          <w:u w:val="thick"/>
        </w:rPr>
        <w:t>Table des tableaux</w:t>
      </w:r>
    </w:p>
    <w:p>
      <w:pPr>
        <w:pStyle w:val="BodyText"/>
        <w:rPr>
          <w:b/>
          <w:sz w:val="20"/>
        </w:rPr>
      </w:pPr>
    </w:p>
    <w:p>
      <w:pPr>
        <w:pStyle w:val="BodyText"/>
        <w:rPr>
          <w:b/>
          <w:sz w:val="20"/>
        </w:rPr>
      </w:pPr>
    </w:p>
    <w:p>
      <w:pPr>
        <w:pStyle w:val="BodyText"/>
        <w:rPr>
          <w:b/>
          <w:sz w:val="19"/>
        </w:rPr>
      </w:pPr>
    </w:p>
    <w:p>
      <w:pPr>
        <w:pStyle w:val="BodyText"/>
        <w:tabs>
          <w:tab w:pos="9180" w:val="right" w:leader="dot"/>
        </w:tabs>
        <w:spacing w:before="90"/>
        <w:ind w:left="116"/>
      </w:pPr>
      <w:hyperlink w:history="true" w:anchor="_bookmark107">
        <w:r>
          <w:rPr/>
          <w:t>Tableau 1 : Cibler</w:t>
        </w:r>
        <w:r>
          <w:rPr>
            <w:spacing w:val="-1"/>
          </w:rPr>
          <w:t> </w:t>
        </w:r>
        <w:r>
          <w:rPr/>
          <w:t>les</w:t>
        </w:r>
        <w:r>
          <w:rPr>
            <w:spacing w:val="-1"/>
          </w:rPr>
          <w:t> </w:t>
        </w:r>
        <w:r>
          <w:rPr/>
          <w:t>transaminations</w:t>
          <w:tab/>
          <w:t>66</w:t>
        </w:r>
      </w:hyperlink>
    </w:p>
    <w:p>
      <w:pPr>
        <w:pStyle w:val="BodyText"/>
        <w:tabs>
          <w:tab w:pos="9180" w:val="right" w:leader="dot"/>
        </w:tabs>
        <w:spacing w:before="122"/>
        <w:ind w:left="116"/>
      </w:pPr>
      <w:hyperlink w:history="true" w:anchor="_bookmark120">
        <w:r>
          <w:rPr/>
          <w:t>Tableau 2 : Intérêt du DCA</w:t>
        </w:r>
        <w:r>
          <w:rPr>
            <w:spacing w:val="0"/>
          </w:rPr>
          <w:t> </w:t>
        </w:r>
        <w:r>
          <w:rPr/>
          <w:t>in</w:t>
        </w:r>
        <w:r>
          <w:rPr>
            <w:spacing w:val="-1"/>
          </w:rPr>
          <w:t> </w:t>
        </w:r>
        <w:r>
          <w:rPr/>
          <w:t>vitro</w:t>
          <w:tab/>
          <w:t>73</w:t>
        </w:r>
      </w:hyperlink>
    </w:p>
    <w:p>
      <w:pPr>
        <w:pStyle w:val="BodyText"/>
        <w:tabs>
          <w:tab w:pos="9180" w:val="right" w:leader="dot"/>
        </w:tabs>
        <w:spacing w:before="122"/>
        <w:ind w:left="116"/>
      </w:pPr>
      <w:hyperlink w:history="true" w:anchor="_bookmark131">
        <w:r>
          <w:rPr/>
          <w:t>Tableau 3 : Tableau bilan des molécules ciblant le métabolisme de la</w:t>
        </w:r>
        <w:r>
          <w:rPr>
            <w:spacing w:val="-10"/>
          </w:rPr>
          <w:t> </w:t>
        </w:r>
        <w:r>
          <w:rPr/>
          <w:t>cellule cancéreuse</w:t>
          <w:tab/>
          <w:t>80</w:t>
        </w:r>
      </w:hyperlink>
    </w:p>
    <w:p>
      <w:pPr>
        <w:pStyle w:val="BodyText"/>
        <w:spacing w:before="124"/>
        <w:ind w:left="116"/>
      </w:pPr>
      <w:hyperlink w:history="true" w:anchor="_bookmark137">
        <w:r>
          <w:rPr/>
          <w:t>Tableau 4 : Etat des lieux de l’utilisation de molécules ciblant le métabolisme tumoral</w:t>
        </w:r>
      </w:hyperlink>
    </w:p>
    <w:p>
      <w:pPr>
        <w:pStyle w:val="BodyText"/>
        <w:tabs>
          <w:tab w:pos="9180" w:val="right" w:leader="dot"/>
        </w:tabs>
        <w:spacing w:before="19"/>
        <w:ind w:left="116"/>
      </w:pPr>
      <w:hyperlink w:history="true" w:anchor="_bookmark137">
        <w:r>
          <w:rPr/>
          <w:t>modifié en</w:t>
        </w:r>
        <w:r>
          <w:rPr>
            <w:spacing w:val="-2"/>
          </w:rPr>
          <w:t> </w:t>
        </w:r>
        <w:r>
          <w:rPr/>
          <w:t>médecine</w:t>
        </w:r>
        <w:r>
          <w:rPr>
            <w:spacing w:val="-1"/>
          </w:rPr>
          <w:t> </w:t>
        </w:r>
        <w:r>
          <w:rPr/>
          <w:t>humaine</w:t>
          <w:tab/>
          <w:t>90</w:t>
        </w:r>
      </w:hyperlink>
    </w:p>
    <w:p>
      <w:pPr>
        <w:pStyle w:val="BodyText"/>
        <w:tabs>
          <w:tab w:pos="9180" w:val="right" w:leader="dot"/>
        </w:tabs>
        <w:spacing w:before="122"/>
        <w:ind w:left="116"/>
      </w:pPr>
      <w:hyperlink w:history="true" w:anchor="_bookmark160">
        <w:r>
          <w:rPr/>
          <w:t>Tableau 5 : Doses et</w:t>
        </w:r>
        <w:r>
          <w:rPr>
            <w:spacing w:val="0"/>
          </w:rPr>
          <w:t> </w:t>
        </w:r>
        <w:r>
          <w:rPr/>
          <w:t>voies</w:t>
        </w:r>
        <w:r>
          <w:rPr>
            <w:spacing w:val="-1"/>
          </w:rPr>
          <w:t> </w:t>
        </w:r>
        <w:r>
          <w:rPr/>
          <w:t>d'administration.</w:t>
          <w:tab/>
          <w:t>107</w:t>
        </w:r>
      </w:hyperlink>
    </w:p>
    <w:p>
      <w:pPr>
        <w:pStyle w:val="BodyText"/>
        <w:tabs>
          <w:tab w:pos="9180" w:val="right" w:leader="dot"/>
        </w:tabs>
        <w:spacing w:line="256" w:lineRule="auto" w:before="122"/>
        <w:ind w:left="116" w:right="104"/>
      </w:pPr>
      <w:hyperlink w:history="true" w:anchor="_bookmark164">
        <w:r>
          <w:rPr/>
          <w:t>Tableau 6 : Hémopathies malignes et tumeurs solides - Diversité des cas étudiés, avec</w:t>
        </w:r>
      </w:hyperlink>
      <w:r>
        <w:rPr/>
        <w:t> </w:t>
      </w:r>
      <w:hyperlink w:history="true" w:anchor="_bookmark164">
        <w:r>
          <w:rPr/>
          <w:t>précision des traitements antérieurs à l’instauration de</w:t>
        </w:r>
        <w:r>
          <w:rPr>
            <w:spacing w:val="-2"/>
          </w:rPr>
          <w:t> </w:t>
        </w:r>
        <w:r>
          <w:rPr/>
          <w:t>la</w:t>
        </w:r>
        <w:r>
          <w:rPr>
            <w:spacing w:val="-1"/>
          </w:rPr>
          <w:t> </w:t>
        </w:r>
        <w:r>
          <w:rPr/>
          <w:t>TM</w:t>
          <w:tab/>
          <w:t>108</w:t>
        </w:r>
      </w:hyperlink>
    </w:p>
    <w:p>
      <w:pPr>
        <w:pStyle w:val="BodyText"/>
        <w:tabs>
          <w:tab w:pos="9180" w:val="right" w:leader="dot"/>
        </w:tabs>
        <w:spacing w:before="103"/>
        <w:ind w:left="116"/>
      </w:pPr>
      <w:hyperlink w:history="true" w:anchor="_bookmark170">
        <w:r>
          <w:rPr/>
          <w:t>Tableau 7 : Traitements mis en place et</w:t>
        </w:r>
        <w:r>
          <w:rPr>
            <w:spacing w:val="-2"/>
          </w:rPr>
          <w:t> </w:t>
        </w:r>
        <w:r>
          <w:rPr/>
          <w:t>suivi</w:t>
        </w:r>
        <w:r>
          <w:rPr>
            <w:spacing w:val="-1"/>
          </w:rPr>
          <w:t> </w:t>
        </w:r>
        <w:r>
          <w:rPr/>
          <w:t>clinique</w:t>
          <w:tab/>
          <w:t>112</w:t>
        </w:r>
      </w:hyperlink>
    </w:p>
    <w:p>
      <w:pPr>
        <w:pStyle w:val="BodyText"/>
        <w:tabs>
          <w:tab w:pos="9180" w:val="right" w:leader="dot"/>
        </w:tabs>
        <w:spacing w:before="122"/>
        <w:ind w:left="116"/>
      </w:pPr>
      <w:hyperlink w:history="true" w:anchor="_bookmark174">
        <w:r>
          <w:rPr/>
          <w:t>Tableau 8 : Suivi des numérations formule et des</w:t>
        </w:r>
        <w:r>
          <w:rPr>
            <w:spacing w:val="-4"/>
          </w:rPr>
          <w:t> </w:t>
        </w:r>
        <w:r>
          <w:rPr/>
          <w:t>examens</w:t>
        </w:r>
        <w:r>
          <w:rPr>
            <w:spacing w:val="-1"/>
          </w:rPr>
          <w:t> </w:t>
        </w:r>
        <w:r>
          <w:rPr/>
          <w:t>biochimiques.</w:t>
          <w:tab/>
          <w:t>116</w:t>
        </w:r>
      </w:hyperlink>
    </w:p>
    <w:p>
      <w:pPr>
        <w:pStyle w:val="BodyText"/>
        <w:tabs>
          <w:tab w:pos="9180" w:val="right" w:leader="dot"/>
        </w:tabs>
        <w:spacing w:before="122"/>
        <w:ind w:left="116"/>
      </w:pPr>
      <w:hyperlink w:history="true" w:anchor="_bookmark194">
        <w:r>
          <w:rPr/>
          <w:t>Tableau 9 : Justification des</w:t>
        </w:r>
        <w:r>
          <w:rPr>
            <w:spacing w:val="-1"/>
          </w:rPr>
          <w:t> </w:t>
        </w:r>
        <w:r>
          <w:rPr/>
          <w:t>molécules</w:t>
        </w:r>
        <w:r>
          <w:rPr>
            <w:spacing w:val="-1"/>
          </w:rPr>
          <w:t> </w:t>
        </w:r>
        <w:r>
          <w:rPr/>
          <w:t>choisies</w:t>
          <w:tab/>
          <w:t>127</w:t>
        </w:r>
      </w:hyperlink>
    </w:p>
    <w:p>
      <w:pPr>
        <w:spacing w:after="0"/>
        <w:sectPr>
          <w:pgSz w:w="11910" w:h="16840"/>
          <w:pgMar w:header="0" w:footer="995" w:top="1340" w:bottom="1240" w:left="1300" w:right="1320"/>
        </w:sectPr>
      </w:pPr>
    </w:p>
    <w:p>
      <w:pPr>
        <w:pStyle w:val="Heading1"/>
        <w:ind w:left="2810"/>
        <w:jc w:val="left"/>
        <w:rPr>
          <w:u w:val="none"/>
        </w:rPr>
      </w:pPr>
      <w:r>
        <w:rPr>
          <w:u w:val="thick"/>
        </w:rPr>
        <w:t>Table des abréviations</w:t>
      </w:r>
    </w:p>
    <w:p>
      <w:pPr>
        <w:pStyle w:val="BodyText"/>
        <w:rPr>
          <w:b/>
          <w:sz w:val="20"/>
        </w:rPr>
      </w:pPr>
    </w:p>
    <w:p>
      <w:pPr>
        <w:pStyle w:val="BodyText"/>
        <w:spacing w:before="6"/>
        <w:rPr>
          <w:b/>
          <w:sz w:val="25"/>
        </w:rPr>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9"/>
        <w:gridCol w:w="5344"/>
      </w:tblGrid>
      <w:tr>
        <w:trPr>
          <w:trHeight w:val="12940" w:hRule="atLeast"/>
        </w:trPr>
        <w:tc>
          <w:tcPr>
            <w:tcW w:w="4909" w:type="dxa"/>
          </w:tcPr>
          <w:p>
            <w:pPr>
              <w:pStyle w:val="TableParagraph"/>
              <w:spacing w:before="1"/>
              <w:ind w:left="200" w:right="683"/>
              <w:rPr>
                <w:sz w:val="22"/>
              </w:rPr>
            </w:pPr>
            <w:r>
              <w:rPr>
                <w:rFonts w:ascii="Symbol" w:hAnsi="Symbol"/>
                <w:sz w:val="22"/>
              </w:rPr>
              <w:t></w:t>
            </w:r>
            <w:r>
              <w:rPr>
                <w:sz w:val="22"/>
              </w:rPr>
              <w:t>-KGDH : </w:t>
            </w:r>
            <w:r>
              <w:rPr>
                <w:rFonts w:ascii="Symbol" w:hAnsi="Symbol"/>
                <w:sz w:val="22"/>
              </w:rPr>
              <w:t></w:t>
            </w:r>
            <w:r>
              <w:rPr>
                <w:sz w:val="22"/>
              </w:rPr>
              <w:t>-CétoGlutarate DésHydrogénase Acétyl-CoA : Acétyl-Coenzyme A</w:t>
            </w:r>
          </w:p>
          <w:p>
            <w:pPr>
              <w:pStyle w:val="TableParagraph"/>
              <w:spacing w:line="252" w:lineRule="exact"/>
              <w:ind w:left="200"/>
              <w:rPr>
                <w:sz w:val="22"/>
              </w:rPr>
            </w:pPr>
            <w:r>
              <w:rPr>
                <w:sz w:val="22"/>
              </w:rPr>
              <w:t>ACLY : ATP Citrate Lyase</w:t>
            </w:r>
          </w:p>
          <w:p>
            <w:pPr>
              <w:pStyle w:val="TableParagraph"/>
              <w:spacing w:before="1"/>
              <w:ind w:left="200" w:right="1530"/>
              <w:rPr>
                <w:sz w:val="22"/>
              </w:rPr>
            </w:pPr>
            <w:r>
              <w:rPr>
                <w:sz w:val="22"/>
              </w:rPr>
              <w:t>ADN : Acide DésoxyriboNucléique ADP : Adénosine Di Phosphate ALA : Alpha Lipoïc Acid</w:t>
            </w:r>
          </w:p>
          <w:p>
            <w:pPr>
              <w:pStyle w:val="TableParagraph"/>
              <w:ind w:left="200" w:right="1505"/>
              <w:rPr>
                <w:sz w:val="22"/>
              </w:rPr>
            </w:pPr>
            <w:r>
              <w:rPr>
                <w:sz w:val="22"/>
              </w:rPr>
              <w:t>ALAT : Alanine Amino Transférase 6-AN : 6-AminoNicotinamide</w:t>
            </w:r>
          </w:p>
          <w:p>
            <w:pPr>
              <w:pStyle w:val="TableParagraph"/>
              <w:spacing w:before="2"/>
              <w:ind w:left="200" w:right="845"/>
              <w:rPr>
                <w:sz w:val="22"/>
              </w:rPr>
            </w:pPr>
            <w:r>
              <w:rPr>
                <w:sz w:val="22"/>
              </w:rPr>
              <w:t>AMM : Autorisation de Mise sur le Marché AMP : Adénosine Mono Phosphate</w:t>
            </w:r>
          </w:p>
          <w:p>
            <w:pPr>
              <w:pStyle w:val="TableParagraph"/>
              <w:spacing w:line="252" w:lineRule="exact"/>
              <w:ind w:left="200"/>
              <w:rPr>
                <w:sz w:val="22"/>
              </w:rPr>
            </w:pPr>
            <w:r>
              <w:rPr>
                <w:sz w:val="22"/>
              </w:rPr>
              <w:t>AMPK : AMP Kinase</w:t>
            </w:r>
          </w:p>
          <w:p>
            <w:pPr>
              <w:pStyle w:val="TableParagraph"/>
              <w:ind w:left="200" w:right="553"/>
              <w:rPr>
                <w:sz w:val="22"/>
              </w:rPr>
            </w:pPr>
            <w:r>
              <w:rPr>
                <w:sz w:val="22"/>
              </w:rPr>
              <w:t>ARNm : AcideRiboNucléique messager siARN : small interfering</w:t>
            </w:r>
            <w:r>
              <w:rPr>
                <w:spacing w:val="-14"/>
                <w:sz w:val="22"/>
              </w:rPr>
              <w:t> </w:t>
            </w:r>
            <w:r>
              <w:rPr>
                <w:sz w:val="22"/>
              </w:rPr>
              <w:t>AcideRiboNucléique ATP : Adénosine Tri</w:t>
            </w:r>
            <w:r>
              <w:rPr>
                <w:spacing w:val="-6"/>
                <w:sz w:val="22"/>
              </w:rPr>
              <w:t> </w:t>
            </w:r>
            <w:r>
              <w:rPr>
                <w:sz w:val="22"/>
              </w:rPr>
              <w:t>Phosphate</w:t>
            </w:r>
          </w:p>
          <w:p>
            <w:pPr>
              <w:pStyle w:val="TableParagraph"/>
              <w:ind w:left="200" w:right="1493"/>
              <w:rPr>
                <w:sz w:val="22"/>
              </w:rPr>
            </w:pPr>
            <w:r>
              <w:rPr>
                <w:sz w:val="22"/>
              </w:rPr>
              <w:t>BID : Bis In Die (deux fois par jour) 3-BP : 3-BromoPyruvate</w:t>
            </w:r>
          </w:p>
          <w:p>
            <w:pPr>
              <w:pStyle w:val="TableParagraph"/>
              <w:spacing w:line="252" w:lineRule="exact"/>
              <w:ind w:left="200"/>
              <w:rPr>
                <w:sz w:val="22"/>
              </w:rPr>
            </w:pPr>
            <w:r>
              <w:rPr>
                <w:sz w:val="22"/>
              </w:rPr>
              <w:t>CA: Carbonic Anhydrase</w:t>
            </w:r>
          </w:p>
          <w:p>
            <w:pPr>
              <w:pStyle w:val="TableParagraph"/>
              <w:ind w:left="200" w:right="1390"/>
              <w:rPr>
                <w:sz w:val="22"/>
              </w:rPr>
            </w:pPr>
            <w:r>
              <w:rPr>
                <w:sz w:val="22"/>
              </w:rPr>
              <w:t>CHV : Centre Hospitalier Vétérinaire CIT : CITrate</w:t>
            </w:r>
          </w:p>
          <w:p>
            <w:pPr>
              <w:pStyle w:val="TableParagraph"/>
              <w:spacing w:line="252" w:lineRule="exact"/>
              <w:ind w:left="200"/>
              <w:rPr>
                <w:sz w:val="22"/>
              </w:rPr>
            </w:pPr>
            <w:r>
              <w:rPr>
                <w:sz w:val="22"/>
              </w:rPr>
              <w:t>CN : ChieN</w:t>
            </w:r>
          </w:p>
          <w:p>
            <w:pPr>
              <w:pStyle w:val="TableParagraph"/>
              <w:spacing w:line="237" w:lineRule="auto" w:before="3"/>
              <w:ind w:left="200" w:right="1241"/>
              <w:rPr>
                <w:sz w:val="22"/>
              </w:rPr>
            </w:pPr>
            <w:r>
              <w:rPr>
                <w:position w:val="2"/>
                <w:sz w:val="22"/>
              </w:rPr>
              <w:t>CO</w:t>
            </w:r>
            <w:r>
              <w:rPr>
                <w:sz w:val="14"/>
              </w:rPr>
              <w:t>2 </w:t>
            </w:r>
            <w:r>
              <w:rPr>
                <w:position w:val="2"/>
                <w:sz w:val="22"/>
              </w:rPr>
              <w:t>: molécule de dioxyde de carbone </w:t>
            </w:r>
            <w:r>
              <w:rPr>
                <w:sz w:val="22"/>
              </w:rPr>
              <w:t>CT : ChaT</w:t>
            </w:r>
          </w:p>
          <w:p>
            <w:pPr>
              <w:pStyle w:val="TableParagraph"/>
              <w:ind w:left="200" w:right="2456"/>
              <w:rPr>
                <w:sz w:val="22"/>
              </w:rPr>
            </w:pPr>
            <w:r>
              <w:rPr>
                <w:sz w:val="22"/>
              </w:rPr>
              <w:t>DCA : DiChloroAcétate 2-DG : 2-DésoxyGlucose</w:t>
            </w:r>
          </w:p>
          <w:p>
            <w:pPr>
              <w:pStyle w:val="TableParagraph"/>
              <w:ind w:left="200" w:right="1241"/>
              <w:rPr>
                <w:sz w:val="22"/>
              </w:rPr>
            </w:pPr>
            <w:r>
              <w:rPr>
                <w:sz w:val="22"/>
              </w:rPr>
              <w:t>DHAP : DiHydroxyAcétone Phosphate FAD : Flavine Adénine Dinucléotide F1,6-BP : Fructose 1,6-BiPhosphate FH : Fumarate</w:t>
            </w:r>
            <w:r>
              <w:rPr>
                <w:spacing w:val="-5"/>
                <w:sz w:val="22"/>
              </w:rPr>
              <w:t> </w:t>
            </w:r>
            <w:r>
              <w:rPr>
                <w:sz w:val="22"/>
              </w:rPr>
              <w:t>Hydratase</w:t>
            </w:r>
          </w:p>
          <w:p>
            <w:pPr>
              <w:pStyle w:val="TableParagraph"/>
              <w:spacing w:before="1"/>
              <w:ind w:left="200" w:right="1618"/>
              <w:rPr>
                <w:sz w:val="22"/>
              </w:rPr>
            </w:pPr>
            <w:r>
              <w:rPr>
                <w:sz w:val="22"/>
              </w:rPr>
              <w:t>F2,6-P : Fructose 2,6-bisPhosphate 5-FU : 5-Fuorouracil</w:t>
            </w:r>
          </w:p>
          <w:p>
            <w:pPr>
              <w:pStyle w:val="TableParagraph"/>
              <w:spacing w:line="252" w:lineRule="exact"/>
              <w:ind w:left="200"/>
              <w:rPr>
                <w:sz w:val="22"/>
              </w:rPr>
            </w:pPr>
            <w:r>
              <w:rPr>
                <w:sz w:val="22"/>
              </w:rPr>
              <w:t>GA3P : GlycérAldéhyde-3-Phosphate</w:t>
            </w:r>
          </w:p>
          <w:p>
            <w:pPr>
              <w:pStyle w:val="TableParagraph"/>
              <w:tabs>
                <w:tab w:pos="1666" w:val="left" w:leader="none"/>
                <w:tab w:pos="3712" w:val="left" w:leader="none"/>
              </w:tabs>
              <w:ind w:left="200" w:right="106"/>
              <w:rPr>
                <w:sz w:val="22"/>
              </w:rPr>
            </w:pPr>
            <w:r>
              <w:rPr>
                <w:sz w:val="22"/>
              </w:rPr>
              <w:t>GAPDH</w:t>
            </w:r>
            <w:r>
              <w:rPr>
                <w:spacing w:val="-2"/>
                <w:sz w:val="22"/>
              </w:rPr>
              <w:t> </w:t>
            </w:r>
            <w:r>
              <w:rPr>
                <w:sz w:val="22"/>
              </w:rPr>
              <w:t>:</w:t>
              <w:tab/>
              <w:t>GlycérAldéhyde</w:t>
              <w:tab/>
            </w:r>
            <w:r>
              <w:rPr>
                <w:spacing w:val="-1"/>
                <w:sz w:val="22"/>
              </w:rPr>
              <w:t>3-Phosphate </w:t>
            </w:r>
            <w:r>
              <w:rPr>
                <w:sz w:val="22"/>
              </w:rPr>
              <w:t>DésHydrogénase</w:t>
            </w:r>
          </w:p>
          <w:p>
            <w:pPr>
              <w:pStyle w:val="TableParagraph"/>
              <w:tabs>
                <w:tab w:pos="1358" w:val="left" w:leader="none"/>
                <w:tab w:pos="3348" w:val="left" w:leader="none"/>
              </w:tabs>
              <w:ind w:left="200" w:right="107"/>
              <w:rPr>
                <w:sz w:val="22"/>
              </w:rPr>
            </w:pPr>
            <w:r>
              <w:rPr>
                <w:sz w:val="22"/>
              </w:rPr>
              <w:t>GDHc/m</w:t>
            </w:r>
            <w:r>
              <w:rPr>
                <w:spacing w:val="-5"/>
                <w:sz w:val="22"/>
              </w:rPr>
              <w:t> </w:t>
            </w:r>
            <w:r>
              <w:rPr>
                <w:sz w:val="22"/>
              </w:rPr>
              <w:t>:</w:t>
              <w:tab/>
              <w:t>Glycérol-Phosphate</w:t>
              <w:tab/>
            </w:r>
            <w:r>
              <w:rPr>
                <w:spacing w:val="-1"/>
                <w:sz w:val="22"/>
              </w:rPr>
              <w:t>Déshydrogénase </w:t>
            </w:r>
            <w:r>
              <w:rPr>
                <w:sz w:val="22"/>
              </w:rPr>
              <w:t>cytosolique/mitochondriale</w:t>
            </w:r>
          </w:p>
          <w:p>
            <w:pPr>
              <w:pStyle w:val="TableParagraph"/>
              <w:spacing w:before="1"/>
              <w:ind w:left="200" w:right="1835"/>
              <w:rPr>
                <w:sz w:val="22"/>
              </w:rPr>
            </w:pPr>
            <w:r>
              <w:rPr>
                <w:sz w:val="22"/>
              </w:rPr>
              <w:t>GDP : Guanosine Di Phosphate GLUTs : GLUcose Transporters G6P : Glucose-6-Phosphate</w:t>
            </w:r>
          </w:p>
          <w:p>
            <w:pPr>
              <w:pStyle w:val="TableParagraph"/>
              <w:ind w:left="200" w:right="577"/>
              <w:rPr>
                <w:sz w:val="22"/>
              </w:rPr>
            </w:pPr>
            <w:r>
              <w:rPr>
                <w:sz w:val="22"/>
              </w:rPr>
              <w:t>G6PD : Glucose-6-Phosphate désHydrogénase GTP : Guanosine Tri Phosphate</w:t>
            </w:r>
          </w:p>
          <w:p>
            <w:pPr>
              <w:pStyle w:val="TableParagraph"/>
              <w:spacing w:line="237" w:lineRule="auto" w:before="5"/>
              <w:ind w:left="200" w:right="2407"/>
              <w:rPr>
                <w:sz w:val="22"/>
              </w:rPr>
            </w:pPr>
            <w:r>
              <w:rPr>
                <w:position w:val="2"/>
                <w:sz w:val="22"/>
              </w:rPr>
              <w:t>H</w:t>
            </w:r>
            <w:r>
              <w:rPr>
                <w:sz w:val="14"/>
              </w:rPr>
              <w:t>2</w:t>
            </w:r>
            <w:r>
              <w:rPr>
                <w:position w:val="2"/>
                <w:sz w:val="22"/>
              </w:rPr>
              <w:t>O: molécule d’eau2HG </w:t>
            </w:r>
            <w:r>
              <w:rPr>
                <w:sz w:val="22"/>
              </w:rPr>
              <w:t>HCA : HydroxyCitrate</w:t>
            </w:r>
          </w:p>
          <w:p>
            <w:pPr>
              <w:pStyle w:val="TableParagraph"/>
              <w:spacing w:before="1"/>
              <w:ind w:left="200" w:right="1902"/>
              <w:rPr>
                <w:sz w:val="22"/>
              </w:rPr>
            </w:pPr>
            <w:r>
              <w:rPr>
                <w:sz w:val="22"/>
              </w:rPr>
              <w:t>HIF : Hypoxia Inducible Factor HK : HexoKinase</w:t>
            </w:r>
          </w:p>
          <w:p>
            <w:pPr>
              <w:pStyle w:val="TableParagraph"/>
              <w:spacing w:line="252" w:lineRule="exact"/>
              <w:ind w:left="200"/>
              <w:rPr>
                <w:sz w:val="22"/>
              </w:rPr>
            </w:pPr>
            <w:r>
              <w:rPr>
                <w:sz w:val="22"/>
              </w:rPr>
              <w:t>IDH : Isocitrate DésHydrogénase</w:t>
            </w:r>
          </w:p>
          <w:p>
            <w:pPr>
              <w:pStyle w:val="TableParagraph"/>
              <w:spacing w:line="276" w:lineRule="exact"/>
              <w:ind w:left="200"/>
              <w:rPr>
                <w:sz w:val="24"/>
              </w:rPr>
            </w:pPr>
            <w:r>
              <w:rPr>
                <w:sz w:val="24"/>
              </w:rPr>
              <w:t>IGF-1 : Insulin-Like Growth Factor 1</w:t>
            </w:r>
          </w:p>
          <w:p>
            <w:pPr>
              <w:pStyle w:val="TableParagraph"/>
              <w:spacing w:line="253" w:lineRule="exact" w:before="1"/>
              <w:ind w:left="200"/>
              <w:rPr>
                <w:sz w:val="22"/>
              </w:rPr>
            </w:pPr>
            <w:r>
              <w:rPr>
                <w:sz w:val="22"/>
              </w:rPr>
              <w:t>IV : Intra-Veineux</w:t>
            </w:r>
          </w:p>
          <w:p>
            <w:pPr>
              <w:pStyle w:val="TableParagraph"/>
              <w:ind w:left="200" w:right="1860"/>
              <w:rPr>
                <w:sz w:val="22"/>
              </w:rPr>
            </w:pPr>
            <w:r>
              <w:rPr>
                <w:sz w:val="22"/>
              </w:rPr>
              <w:t>LDH : Lactate DésHydrogénase LND : LoNiDamine</w:t>
            </w:r>
          </w:p>
          <w:p>
            <w:pPr>
              <w:pStyle w:val="TableParagraph"/>
              <w:spacing w:line="252" w:lineRule="exact" w:before="1"/>
              <w:ind w:left="200"/>
              <w:rPr>
                <w:sz w:val="22"/>
              </w:rPr>
            </w:pPr>
            <w:r>
              <w:rPr>
                <w:sz w:val="22"/>
              </w:rPr>
              <w:t>LSP : LanSoPrazole</w:t>
            </w:r>
          </w:p>
          <w:p>
            <w:pPr>
              <w:pStyle w:val="TableParagraph"/>
              <w:spacing w:line="233" w:lineRule="exact"/>
              <w:ind w:left="200"/>
              <w:rPr>
                <w:sz w:val="22"/>
              </w:rPr>
            </w:pPr>
            <w:r>
              <w:rPr>
                <w:sz w:val="22"/>
              </w:rPr>
              <w:t>MCT : MonoCarboxylate Transporter</w:t>
            </w:r>
          </w:p>
        </w:tc>
        <w:tc>
          <w:tcPr>
            <w:tcW w:w="5344" w:type="dxa"/>
          </w:tcPr>
          <w:p>
            <w:pPr>
              <w:pStyle w:val="TableParagraph"/>
              <w:tabs>
                <w:tab w:pos="1380" w:val="left" w:leader="none"/>
                <w:tab w:pos="2303" w:val="left" w:leader="none"/>
                <w:tab w:pos="4068" w:val="left" w:leader="none"/>
              </w:tabs>
              <w:ind w:left="108" w:right="198"/>
              <w:rPr>
                <w:sz w:val="22"/>
              </w:rPr>
            </w:pPr>
            <w:r>
              <w:rPr>
                <w:sz w:val="22"/>
              </w:rPr>
              <w:t>MDHc/m</w:t>
            </w:r>
            <w:r>
              <w:rPr>
                <w:spacing w:val="-3"/>
                <w:sz w:val="22"/>
              </w:rPr>
              <w:t> </w:t>
            </w:r>
            <w:r>
              <w:rPr>
                <w:sz w:val="22"/>
              </w:rPr>
              <w:t>:</w:t>
              <w:tab/>
              <w:t>Malate</w:t>
              <w:tab/>
              <w:t>Déshydrogénase</w:t>
              <w:tab/>
            </w:r>
            <w:r>
              <w:rPr>
                <w:spacing w:val="-1"/>
                <w:sz w:val="22"/>
              </w:rPr>
              <w:t>cytosolique/ </w:t>
            </w:r>
            <w:r>
              <w:rPr>
                <w:sz w:val="22"/>
              </w:rPr>
              <w:t>mitochondriale</w:t>
            </w:r>
          </w:p>
          <w:p>
            <w:pPr>
              <w:pStyle w:val="TableParagraph"/>
              <w:ind w:left="108" w:right="2234"/>
              <w:rPr>
                <w:sz w:val="22"/>
              </w:rPr>
            </w:pPr>
            <w:r>
              <w:rPr>
                <w:sz w:val="22"/>
              </w:rPr>
              <w:t>MDR : Multi Drug Resistant MTD : Maximum Tolerated Dose</w:t>
            </w:r>
          </w:p>
          <w:p>
            <w:pPr>
              <w:pStyle w:val="TableParagraph"/>
              <w:ind w:left="108" w:right="1000"/>
              <w:rPr>
                <w:sz w:val="22"/>
              </w:rPr>
            </w:pPr>
            <w:r>
              <w:rPr>
                <w:sz w:val="22"/>
              </w:rPr>
              <w:t>mTOR : mammalian Target Of Rapamycin NAD : Nicotinamide Adénine Dinucléotide NBC : cotransporteur du bicarbonate de sodium NEC : Note d’Etat Corporel</w:t>
            </w:r>
          </w:p>
          <w:p>
            <w:pPr>
              <w:pStyle w:val="TableParagraph"/>
              <w:ind w:left="108" w:right="3019"/>
              <w:rPr>
                <w:sz w:val="22"/>
              </w:rPr>
            </w:pPr>
            <w:r>
              <w:rPr>
                <w:sz w:val="22"/>
              </w:rPr>
              <w:t>NHE : Na</w:t>
            </w:r>
            <w:r>
              <w:rPr>
                <w:position w:val="8"/>
                <w:sz w:val="14"/>
              </w:rPr>
              <w:t>+</w:t>
            </w:r>
            <w:r>
              <w:rPr>
                <w:sz w:val="22"/>
              </w:rPr>
              <w:t>/H</w:t>
            </w:r>
            <w:r>
              <w:rPr>
                <w:position w:val="8"/>
                <w:sz w:val="14"/>
              </w:rPr>
              <w:t>+ </w:t>
            </w:r>
            <w:r>
              <w:rPr>
                <w:sz w:val="22"/>
              </w:rPr>
              <w:t>exchanger </w:t>
            </w:r>
            <w:r>
              <w:rPr>
                <w:position w:val="2"/>
                <w:sz w:val="22"/>
              </w:rPr>
              <w:t>O</w:t>
            </w:r>
            <w:r>
              <w:rPr>
                <w:sz w:val="14"/>
              </w:rPr>
              <w:t>2  </w:t>
            </w:r>
            <w:r>
              <w:rPr>
                <w:position w:val="2"/>
                <w:sz w:val="22"/>
              </w:rPr>
              <w:t>: Dioxygène</w:t>
            </w:r>
          </w:p>
          <w:p>
            <w:pPr>
              <w:pStyle w:val="TableParagraph"/>
              <w:spacing w:before="3"/>
              <w:ind w:left="108" w:right="3260"/>
              <w:rPr>
                <w:sz w:val="22"/>
              </w:rPr>
            </w:pPr>
            <w:r>
              <w:rPr>
                <w:sz w:val="22"/>
              </w:rPr>
              <w:t>OAA : OxAloAcétate OMP : OMéPrazole OSA : OstéoSArcome</w:t>
            </w:r>
          </w:p>
          <w:p>
            <w:pPr>
              <w:pStyle w:val="TableParagraph"/>
              <w:spacing w:before="1"/>
              <w:ind w:left="108" w:right="1934"/>
              <w:rPr>
                <w:sz w:val="22"/>
              </w:rPr>
            </w:pPr>
            <w:r>
              <w:rPr>
                <w:sz w:val="22"/>
              </w:rPr>
              <w:t>OxPhos : Phosphorylation Oxydative PAL : Phophatase AlcaLine</w:t>
            </w:r>
          </w:p>
          <w:p>
            <w:pPr>
              <w:pStyle w:val="TableParagraph"/>
              <w:spacing w:line="252" w:lineRule="exact" w:before="1"/>
              <w:ind w:left="108"/>
              <w:rPr>
                <w:sz w:val="22"/>
              </w:rPr>
            </w:pPr>
            <w:r>
              <w:rPr>
                <w:sz w:val="22"/>
              </w:rPr>
              <w:t>PD : Maladie Progressive</w:t>
            </w:r>
          </w:p>
          <w:p>
            <w:pPr>
              <w:pStyle w:val="TableParagraph"/>
              <w:spacing w:line="252" w:lineRule="exact"/>
              <w:ind w:left="108"/>
              <w:rPr>
                <w:sz w:val="22"/>
              </w:rPr>
            </w:pPr>
            <w:r>
              <w:rPr>
                <w:sz w:val="22"/>
              </w:rPr>
              <w:t>PDH : Pyruvate DésHydrogénase</w:t>
            </w:r>
          </w:p>
          <w:p>
            <w:pPr>
              <w:pStyle w:val="TableParagraph"/>
              <w:spacing w:line="252" w:lineRule="exact" w:before="1"/>
              <w:ind w:left="108"/>
              <w:rPr>
                <w:sz w:val="22"/>
              </w:rPr>
            </w:pPr>
            <w:r>
              <w:rPr>
                <w:sz w:val="22"/>
              </w:rPr>
              <w:t>PDK : Pyruvate DésHydrogénase Kinase</w:t>
            </w:r>
          </w:p>
          <w:p>
            <w:pPr>
              <w:pStyle w:val="TableParagraph"/>
              <w:tabs>
                <w:tab w:pos="1120" w:val="left" w:leader="none"/>
                <w:tab w:pos="1521" w:val="left" w:leader="none"/>
              </w:tabs>
              <w:ind w:left="108" w:right="198"/>
              <w:rPr>
                <w:sz w:val="22"/>
              </w:rPr>
            </w:pPr>
            <w:r>
              <w:rPr>
                <w:sz w:val="22"/>
              </w:rPr>
              <w:t>PFKFB</w:t>
              <w:tab/>
              <w:t>:</w:t>
              <w:tab/>
            </w:r>
            <w:r>
              <w:rPr>
                <w:spacing w:val="-1"/>
                <w:sz w:val="22"/>
              </w:rPr>
              <w:t>6-PhosphoFructo-2-Kinase/Fructose-2,6- </w:t>
            </w:r>
            <w:r>
              <w:rPr>
                <w:sz w:val="22"/>
              </w:rPr>
              <w:t>Bisphosphatase</w:t>
            </w:r>
          </w:p>
          <w:p>
            <w:pPr>
              <w:pStyle w:val="TableParagraph"/>
              <w:spacing w:before="2"/>
              <w:ind w:left="108" w:right="1854"/>
              <w:rPr>
                <w:sz w:val="22"/>
              </w:rPr>
            </w:pPr>
            <w:r>
              <w:rPr>
                <w:sz w:val="22"/>
              </w:rPr>
              <w:t>PET : Positron Emission Tomography PFK : PhosphoFructoKinase</w:t>
            </w:r>
          </w:p>
          <w:p>
            <w:pPr>
              <w:pStyle w:val="TableParagraph"/>
              <w:spacing w:before="1"/>
              <w:ind w:left="108" w:right="2800"/>
              <w:rPr>
                <w:sz w:val="22"/>
              </w:rPr>
            </w:pPr>
            <w:r>
              <w:rPr>
                <w:sz w:val="22"/>
              </w:rPr>
              <w:t>2-PG : 2-PhosphoGlycérate 3-PG : 3-PhosphoGlycérate</w:t>
            </w:r>
          </w:p>
          <w:p>
            <w:pPr>
              <w:pStyle w:val="TableParagraph"/>
              <w:ind w:left="108" w:right="1274"/>
              <w:rPr>
                <w:sz w:val="22"/>
              </w:rPr>
            </w:pPr>
            <w:r>
              <w:rPr>
                <w:sz w:val="22"/>
              </w:rPr>
              <w:t>PGDH : PhosphoGlycérate DésHydrogénase PGI : PhosphoGlucoIsomérase</w:t>
            </w:r>
          </w:p>
          <w:p>
            <w:pPr>
              <w:pStyle w:val="TableParagraph"/>
              <w:ind w:left="108" w:right="2252"/>
              <w:rPr>
                <w:sz w:val="22"/>
              </w:rPr>
            </w:pPr>
            <w:r>
              <w:rPr>
                <w:sz w:val="22"/>
              </w:rPr>
              <w:t>PGK : PhosphoGlycérate Kinase PGM : PhosphoGlycérate Mutase PHD: Prolyl HyDroxylase</w:t>
            </w:r>
          </w:p>
          <w:p>
            <w:pPr>
              <w:pStyle w:val="TableParagraph"/>
              <w:spacing w:line="252" w:lineRule="exact"/>
              <w:ind w:left="108"/>
              <w:rPr>
                <w:sz w:val="22"/>
              </w:rPr>
            </w:pPr>
            <w:r>
              <w:rPr>
                <w:sz w:val="22"/>
              </w:rPr>
              <w:t>Pi : Phosphate inorganique</w:t>
            </w:r>
          </w:p>
          <w:p>
            <w:pPr>
              <w:pStyle w:val="TableParagraph"/>
              <w:spacing w:before="1"/>
              <w:ind w:left="108" w:right="2258"/>
              <w:rPr>
                <w:sz w:val="22"/>
              </w:rPr>
            </w:pPr>
            <w:r>
              <w:rPr>
                <w:sz w:val="22"/>
              </w:rPr>
              <w:t>PI3K: PhosphoInositide 3-Kinase PK : Pyruvate Kinase</w:t>
            </w:r>
          </w:p>
          <w:p>
            <w:pPr>
              <w:pStyle w:val="TableParagraph"/>
              <w:ind w:left="108" w:right="2759"/>
              <w:rPr>
                <w:sz w:val="22"/>
              </w:rPr>
            </w:pPr>
            <w:r>
              <w:rPr>
                <w:sz w:val="22"/>
              </w:rPr>
              <w:t>PKC : Protéine Kinase C PO : Per Os (par voie orale)</w:t>
            </w:r>
          </w:p>
          <w:p>
            <w:pPr>
              <w:pStyle w:val="TableParagraph"/>
              <w:spacing w:line="242" w:lineRule="auto"/>
              <w:ind w:left="108" w:right="2221"/>
              <w:rPr>
                <w:sz w:val="22"/>
              </w:rPr>
            </w:pPr>
            <w:r>
              <w:rPr>
                <w:sz w:val="22"/>
              </w:rPr>
              <w:t>PPP : Pentose Phosphate Pathway PR : Réponse Partielle</w:t>
            </w:r>
          </w:p>
          <w:p>
            <w:pPr>
              <w:pStyle w:val="TableParagraph"/>
              <w:spacing w:line="242" w:lineRule="auto"/>
              <w:ind w:left="108" w:right="2368"/>
              <w:rPr>
                <w:sz w:val="22"/>
              </w:rPr>
            </w:pPr>
            <w:r>
              <w:rPr>
                <w:sz w:val="22"/>
              </w:rPr>
              <w:t>ROS : Reactive Oxygen Species SD : Maladie Stable</w:t>
            </w:r>
          </w:p>
          <w:p>
            <w:pPr>
              <w:pStyle w:val="TableParagraph"/>
              <w:spacing w:line="249" w:lineRule="exact" w:before="1"/>
              <w:ind w:left="108"/>
              <w:rPr>
                <w:sz w:val="22"/>
              </w:rPr>
            </w:pPr>
            <w:r>
              <w:rPr>
                <w:sz w:val="22"/>
              </w:rPr>
              <w:t>SDH : Succinate DésHydrogénase</w:t>
            </w:r>
          </w:p>
          <w:p>
            <w:pPr>
              <w:pStyle w:val="TableParagraph"/>
              <w:ind w:left="108" w:right="1274"/>
              <w:rPr>
                <w:sz w:val="22"/>
              </w:rPr>
            </w:pPr>
            <w:r>
              <w:rPr>
                <w:sz w:val="22"/>
              </w:rPr>
              <w:t>SGLT : Sodium Glucose Linked Transporter SID : Semel In Die (une fois par jour)</w:t>
            </w:r>
          </w:p>
          <w:p>
            <w:pPr>
              <w:pStyle w:val="TableParagraph"/>
              <w:ind w:left="108" w:right="902"/>
              <w:rPr>
                <w:sz w:val="22"/>
              </w:rPr>
            </w:pPr>
            <w:r>
              <w:rPr>
                <w:sz w:val="22"/>
              </w:rPr>
              <w:t>TCA cycle : TriCarboxylicAcid (cycle de Krebs) TID : Ter In Die (trois fois par jour)</w:t>
            </w:r>
          </w:p>
          <w:p>
            <w:pPr>
              <w:pStyle w:val="TableParagraph"/>
              <w:ind w:left="108" w:right="198"/>
              <w:rPr>
                <w:sz w:val="22"/>
              </w:rPr>
            </w:pPr>
            <w:r>
              <w:rPr>
                <w:sz w:val="22"/>
              </w:rPr>
              <w:t>TIGAR : TP53-Induced Glycolysis and Apoptosis Regulator</w:t>
            </w:r>
          </w:p>
          <w:p>
            <w:pPr>
              <w:pStyle w:val="TableParagraph"/>
              <w:ind w:left="108" w:right="2063"/>
              <w:rPr>
                <w:sz w:val="22"/>
              </w:rPr>
            </w:pPr>
            <w:r>
              <w:rPr>
                <w:sz w:val="22"/>
              </w:rPr>
              <w:t>TKTL : Transketolase Like enzyme TM : Thérapie Métabolique</w:t>
            </w:r>
          </w:p>
          <w:p>
            <w:pPr>
              <w:pStyle w:val="TableParagraph"/>
              <w:spacing w:line="253" w:lineRule="exact" w:before="1"/>
              <w:ind w:left="108"/>
              <w:rPr>
                <w:sz w:val="22"/>
              </w:rPr>
            </w:pPr>
            <w:r>
              <w:rPr>
                <w:sz w:val="22"/>
              </w:rPr>
              <w:t>TMM : Tumeur MaMmaire</w:t>
            </w:r>
          </w:p>
          <w:p>
            <w:pPr>
              <w:pStyle w:val="TableParagraph"/>
              <w:ind w:left="108" w:right="2099"/>
              <w:rPr>
                <w:sz w:val="22"/>
              </w:rPr>
            </w:pPr>
            <w:r>
              <w:rPr>
                <w:sz w:val="22"/>
              </w:rPr>
              <w:t>TPI : Triose Phosphate Isomérase TSC : Tuberous Sclerosis Complex</w:t>
            </w:r>
          </w:p>
          <w:p>
            <w:pPr>
              <w:pStyle w:val="TableParagraph"/>
              <w:spacing w:line="252" w:lineRule="exact"/>
              <w:ind w:left="108"/>
              <w:rPr>
                <w:sz w:val="22"/>
              </w:rPr>
            </w:pPr>
            <w:r>
              <w:rPr>
                <w:sz w:val="22"/>
              </w:rPr>
              <w:t>VEGF : Vascular Endothelium Growth Factor</w:t>
            </w:r>
          </w:p>
        </w:tc>
      </w:tr>
    </w:tbl>
    <w:p>
      <w:pPr>
        <w:spacing w:after="0" w:line="252" w:lineRule="exact"/>
        <w:rPr>
          <w:sz w:val="22"/>
        </w:rPr>
        <w:sectPr>
          <w:pgSz w:w="11910" w:h="16840"/>
          <w:pgMar w:header="0" w:footer="995" w:top="1340" w:bottom="1240" w:left="1220" w:right="220"/>
        </w:sectPr>
      </w:pPr>
    </w:p>
    <w:p>
      <w:pPr>
        <w:pStyle w:val="BodyText"/>
        <w:spacing w:before="4"/>
        <w:rPr>
          <w:sz w:val="17"/>
        </w:rPr>
      </w:pPr>
      <w:bookmarkStart w:name="_bookmark4" w:id="5"/>
      <w:bookmarkEnd w:id="5"/>
      <w:r>
        <w:rPr/>
      </w:r>
      <w:r>
        <w:rPr>
          <w:sz w:val="17"/>
        </w:rPr>
      </w:r>
    </w:p>
    <w:p>
      <w:pPr>
        <w:spacing w:after="0"/>
        <w:rPr>
          <w:sz w:val="17"/>
        </w:rPr>
        <w:sectPr>
          <w:pgSz w:w="11910" w:h="16840"/>
          <w:pgMar w:header="0" w:footer="995" w:top="1580" w:bottom="1180" w:left="1680" w:right="1680"/>
        </w:sectPr>
      </w:pPr>
    </w:p>
    <w:p>
      <w:pPr>
        <w:pStyle w:val="Heading1"/>
        <w:ind w:left="3052"/>
        <w:jc w:val="left"/>
        <w:rPr>
          <w:u w:val="none"/>
        </w:rPr>
      </w:pPr>
      <w:r>
        <w:rPr>
          <w:u w:val="thick"/>
        </w:rPr>
        <w:t>INTRODUCTION</w:t>
      </w:r>
    </w:p>
    <w:p>
      <w:pPr>
        <w:pStyle w:val="BodyText"/>
        <w:rPr>
          <w:b/>
          <w:sz w:val="20"/>
        </w:rPr>
      </w:pPr>
    </w:p>
    <w:p>
      <w:pPr>
        <w:pStyle w:val="BodyText"/>
        <w:spacing w:before="4"/>
        <w:rPr>
          <w:b/>
          <w:sz w:val="19"/>
        </w:rPr>
      </w:pPr>
    </w:p>
    <w:p>
      <w:pPr>
        <w:pStyle w:val="BodyText"/>
        <w:spacing w:line="276" w:lineRule="auto" w:before="90"/>
        <w:ind w:left="116" w:right="111" w:firstLine="707"/>
        <w:jc w:val="both"/>
      </w:pPr>
      <w:r>
        <w:rPr/>
        <w:t>Les travaux de recherche menés en cancérologie ont permis de définir des caractéristiques spécifiques de la cellule cancéreuse, appelées « Hallmarks of cancer </w:t>
      </w:r>
      <w:r>
        <w:rPr>
          <w:spacing w:val="-4"/>
        </w:rPr>
        <w:t>». </w:t>
      </w:r>
      <w:r>
        <w:rPr/>
        <w:t>Ce sont : l’indépendance vis-à-vis des signaux de prolifération, l’insensibilité aux signaux anti- prolifératifs, la résistance à l’apoptose, la perte de la sénescence, la capacité d’angiogénèse, la capacité d’invasion et de diffusion métastatique (Hanahan et Weinberg,</w:t>
      </w:r>
      <w:r>
        <w:rPr>
          <w:spacing w:val="-15"/>
        </w:rPr>
        <w:t> </w:t>
      </w:r>
      <w:r>
        <w:rPr/>
        <w:t>2000).</w:t>
      </w:r>
    </w:p>
    <w:p>
      <w:pPr>
        <w:pStyle w:val="BodyText"/>
        <w:spacing w:line="273" w:lineRule="auto" w:before="163"/>
        <w:ind w:left="116" w:right="115" w:firstLine="707"/>
        <w:jc w:val="both"/>
      </w:pPr>
      <w:r>
        <w:rPr/>
        <w:t>Plus</w:t>
      </w:r>
      <w:r>
        <w:rPr>
          <w:spacing w:val="-10"/>
        </w:rPr>
        <w:t> </w:t>
      </w:r>
      <w:r>
        <w:rPr/>
        <w:t>tard,</w:t>
      </w:r>
      <w:r>
        <w:rPr>
          <w:spacing w:val="-11"/>
        </w:rPr>
        <w:t> </w:t>
      </w:r>
      <w:r>
        <w:rPr/>
        <w:t>l’approfondissement</w:t>
      </w:r>
      <w:r>
        <w:rPr>
          <w:spacing w:val="-11"/>
        </w:rPr>
        <w:t> </w:t>
      </w:r>
      <w:r>
        <w:rPr/>
        <w:t>des</w:t>
      </w:r>
      <w:r>
        <w:rPr>
          <w:spacing w:val="-11"/>
        </w:rPr>
        <w:t> </w:t>
      </w:r>
      <w:r>
        <w:rPr/>
        <w:t>connaissances</w:t>
      </w:r>
      <w:r>
        <w:rPr>
          <w:spacing w:val="-9"/>
        </w:rPr>
        <w:t> </w:t>
      </w:r>
      <w:r>
        <w:rPr/>
        <w:t>en</w:t>
      </w:r>
      <w:r>
        <w:rPr>
          <w:spacing w:val="-11"/>
        </w:rPr>
        <w:t> </w:t>
      </w:r>
      <w:r>
        <w:rPr/>
        <w:t>cancérologie</w:t>
      </w:r>
      <w:r>
        <w:rPr>
          <w:spacing w:val="-9"/>
        </w:rPr>
        <w:t> </w:t>
      </w:r>
      <w:r>
        <w:rPr/>
        <w:t>a</w:t>
      </w:r>
      <w:r>
        <w:rPr>
          <w:spacing w:val="-12"/>
        </w:rPr>
        <w:t> </w:t>
      </w:r>
      <w:r>
        <w:rPr/>
        <w:t>permis</w:t>
      </w:r>
      <w:r>
        <w:rPr>
          <w:spacing w:val="-11"/>
        </w:rPr>
        <w:t> </w:t>
      </w:r>
      <w:r>
        <w:rPr/>
        <w:t>de</w:t>
      </w:r>
      <w:r>
        <w:rPr>
          <w:spacing w:val="-12"/>
        </w:rPr>
        <w:t> </w:t>
      </w:r>
      <w:r>
        <w:rPr/>
        <w:t>définir</w:t>
      </w:r>
      <w:r>
        <w:rPr>
          <w:spacing w:val="-12"/>
        </w:rPr>
        <w:t> </w:t>
      </w:r>
      <w:r>
        <w:rPr/>
        <w:t>de nouvelles caractéristiques, parmi lesquelles l’instabilité génomique, la résistance à l’immunité antitumorale, l’inflammation favorisant le développement tumoral, et la reprogrammation du métabolisme</w:t>
      </w:r>
      <w:r>
        <w:rPr>
          <w:spacing w:val="-8"/>
        </w:rPr>
        <w:t> </w:t>
      </w:r>
      <w:r>
        <w:rPr/>
        <w:t>énergétique</w:t>
      </w:r>
      <w:r>
        <w:rPr>
          <w:spacing w:val="-5"/>
        </w:rPr>
        <w:t> </w:t>
      </w:r>
      <w:r>
        <w:rPr/>
        <w:t>(Hanahan</w:t>
      </w:r>
      <w:r>
        <w:rPr>
          <w:spacing w:val="-5"/>
        </w:rPr>
        <w:t> </w:t>
      </w:r>
      <w:r>
        <w:rPr/>
        <w:t>et</w:t>
      </w:r>
      <w:r>
        <w:rPr>
          <w:spacing w:val="-7"/>
        </w:rPr>
        <w:t> </w:t>
      </w:r>
      <w:r>
        <w:rPr/>
        <w:t>Weinberg,</w:t>
      </w:r>
      <w:r>
        <w:rPr>
          <w:spacing w:val="-2"/>
        </w:rPr>
        <w:t> </w:t>
      </w:r>
      <w:r>
        <w:rPr/>
        <w:t>2011).</w:t>
      </w:r>
      <w:r>
        <w:rPr>
          <w:spacing w:val="-7"/>
        </w:rPr>
        <w:t> </w:t>
      </w:r>
      <w:r>
        <w:rPr/>
        <w:t>Ce</w:t>
      </w:r>
      <w:r>
        <w:rPr>
          <w:spacing w:val="-8"/>
        </w:rPr>
        <w:t> </w:t>
      </w:r>
      <w:r>
        <w:rPr/>
        <w:t>dernier</w:t>
      </w:r>
      <w:r>
        <w:rPr>
          <w:spacing w:val="-6"/>
        </w:rPr>
        <w:t> </w:t>
      </w:r>
      <w:r>
        <w:rPr/>
        <w:t>point</w:t>
      </w:r>
      <w:r>
        <w:rPr>
          <w:spacing w:val="-7"/>
        </w:rPr>
        <w:t> </w:t>
      </w:r>
      <w:r>
        <w:rPr/>
        <w:t>avait</w:t>
      </w:r>
      <w:r>
        <w:rPr>
          <w:spacing w:val="-7"/>
        </w:rPr>
        <w:t> </w:t>
      </w:r>
      <w:r>
        <w:rPr/>
        <w:t>été</w:t>
      </w:r>
      <w:r>
        <w:rPr>
          <w:spacing w:val="-8"/>
        </w:rPr>
        <w:t> </w:t>
      </w:r>
      <w:r>
        <w:rPr/>
        <w:t>souligné</w:t>
      </w:r>
      <w:r>
        <w:rPr>
          <w:spacing w:val="-6"/>
        </w:rPr>
        <w:t> </w:t>
      </w:r>
      <w:r>
        <w:rPr/>
        <w:t>dès le début du XX</w:t>
      </w:r>
      <w:r>
        <w:rPr>
          <w:position w:val="9"/>
          <w:sz w:val="16"/>
        </w:rPr>
        <w:t>ème </w:t>
      </w:r>
      <w:r>
        <w:rPr/>
        <w:t>siècle par Otto Warburg, médecin, physiologiste et biochimiste. </w:t>
      </w:r>
      <w:r>
        <w:rPr>
          <w:spacing w:val="-3"/>
        </w:rPr>
        <w:t>Il </w:t>
      </w:r>
      <w:r>
        <w:rPr/>
        <w:t>avait observé que les cellules cancéreuses utilisaient la glycolyse comme moyen d’approvisionnement en énergie, et ce même en conditions aérobies. L’interprétation était que le défaut de respiration mitochondriale était à l’origine même du cancer. La découverte de cet effet, nommé effet Warburg, lui valut le prix Nobel en</w:t>
      </w:r>
      <w:r>
        <w:rPr>
          <w:spacing w:val="-13"/>
        </w:rPr>
        <w:t> </w:t>
      </w:r>
      <w:r>
        <w:rPr/>
        <w:t>1931.</w:t>
      </w:r>
    </w:p>
    <w:p>
      <w:pPr>
        <w:pStyle w:val="BodyText"/>
        <w:spacing w:line="276" w:lineRule="auto" w:before="166"/>
        <w:ind w:left="116" w:right="112" w:firstLine="707"/>
        <w:jc w:val="both"/>
      </w:pPr>
      <w:r>
        <w:rPr/>
        <w:t>L’étude plus spécifique du métabolisme énergétique des cellules tumorales offre de nouvelles perspectives thérapeutiques. L’objet de ce travail est d’étudier dans une première partie</w:t>
      </w:r>
      <w:r>
        <w:rPr>
          <w:spacing w:val="-6"/>
        </w:rPr>
        <w:t> </w:t>
      </w:r>
      <w:r>
        <w:rPr/>
        <w:t>les</w:t>
      </w:r>
      <w:r>
        <w:rPr>
          <w:spacing w:val="-5"/>
        </w:rPr>
        <w:t> </w:t>
      </w:r>
      <w:r>
        <w:rPr/>
        <w:t>principes</w:t>
      </w:r>
      <w:r>
        <w:rPr>
          <w:spacing w:val="-5"/>
        </w:rPr>
        <w:t> </w:t>
      </w:r>
      <w:r>
        <w:rPr/>
        <w:t>clefs</w:t>
      </w:r>
      <w:r>
        <w:rPr>
          <w:spacing w:val="-5"/>
        </w:rPr>
        <w:t> </w:t>
      </w:r>
      <w:r>
        <w:rPr/>
        <w:t>du</w:t>
      </w:r>
      <w:r>
        <w:rPr>
          <w:spacing w:val="-5"/>
        </w:rPr>
        <w:t> </w:t>
      </w:r>
      <w:r>
        <w:rPr/>
        <w:t>métabolisme</w:t>
      </w:r>
      <w:r>
        <w:rPr>
          <w:spacing w:val="-5"/>
        </w:rPr>
        <w:t> </w:t>
      </w:r>
      <w:r>
        <w:rPr/>
        <w:t>de</w:t>
      </w:r>
      <w:r>
        <w:rPr>
          <w:spacing w:val="-6"/>
        </w:rPr>
        <w:t> </w:t>
      </w:r>
      <w:r>
        <w:rPr/>
        <w:t>la</w:t>
      </w:r>
      <w:r>
        <w:rPr>
          <w:spacing w:val="-5"/>
        </w:rPr>
        <w:t> </w:t>
      </w:r>
      <w:r>
        <w:rPr/>
        <w:t>cellule</w:t>
      </w:r>
      <w:r>
        <w:rPr>
          <w:spacing w:val="-5"/>
        </w:rPr>
        <w:t> </w:t>
      </w:r>
      <w:r>
        <w:rPr/>
        <w:t>cancéreuse</w:t>
      </w:r>
      <w:r>
        <w:rPr>
          <w:spacing w:val="-3"/>
        </w:rPr>
        <w:t> </w:t>
      </w:r>
      <w:r>
        <w:rPr/>
        <w:t>expliquant</w:t>
      </w:r>
      <w:r>
        <w:rPr>
          <w:spacing w:val="-4"/>
        </w:rPr>
        <w:t> </w:t>
      </w:r>
      <w:r>
        <w:rPr/>
        <w:t>l’effet</w:t>
      </w:r>
      <w:r>
        <w:rPr>
          <w:spacing w:val="-4"/>
        </w:rPr>
        <w:t> </w:t>
      </w:r>
      <w:r>
        <w:rPr/>
        <w:t>Warburg</w:t>
      </w:r>
      <w:r>
        <w:rPr>
          <w:spacing w:val="-7"/>
        </w:rPr>
        <w:t> </w:t>
      </w:r>
      <w:r>
        <w:rPr/>
        <w:t>et ses conséquences, pour pouvoir ensuite dégager les molécules principales utilisables </w:t>
      </w:r>
      <w:r>
        <w:rPr>
          <w:i/>
        </w:rPr>
        <w:t>in vitro </w:t>
      </w:r>
      <w:r>
        <w:rPr/>
        <w:t>comme chez l’animal de</w:t>
      </w:r>
      <w:r>
        <w:rPr>
          <w:spacing w:val="-9"/>
        </w:rPr>
        <w:t> </w:t>
      </w:r>
      <w:r>
        <w:rPr/>
        <w:t>laboratoire.</w:t>
      </w:r>
    </w:p>
    <w:p>
      <w:pPr>
        <w:pStyle w:val="BodyText"/>
        <w:spacing w:line="276" w:lineRule="auto" w:before="163"/>
        <w:ind w:left="116" w:right="112" w:firstLine="707"/>
        <w:jc w:val="both"/>
      </w:pPr>
      <w:r>
        <w:rPr/>
        <w:t>Nous verrons dans une deuxième partie que certaines de ces molécules ont pu déjà être utilisées en médecine humaine avec des résultats prometteurs. Néanmoins, l’application clinique concrète est parfois difficile et l’utilisation efficace de ces molécules nécessite des essais cliniques plus nombreux et pertinents. L’objectif de notre deuxième partie est tout d’abord de faire un état des connaissances actuelles en médecine humaine. Nous proposerons ensuite, chez le chien, en clinique vétérinaire, l’introduction de ces molécules ciblant le métabolisme des cellules cancéreuses (thérapie métabolique) au sein de protocoles thérapeutiques standardisés. Une étude de faisabilité à partir de cas cliniques traités au Centre Hospitalier Vétérinaire Saint-Martin conduira à une proposition de protocole d’essai clinique ayant pour but d’évaluer l’efficacité de la thérapie métabolique en association avec la chimiothérapie sur la survie des animaux.</w:t>
      </w:r>
    </w:p>
    <w:p>
      <w:pPr>
        <w:pStyle w:val="BodyText"/>
        <w:spacing w:line="276" w:lineRule="auto" w:before="163"/>
        <w:ind w:left="116" w:right="116" w:firstLine="707"/>
        <w:jc w:val="both"/>
      </w:pPr>
      <w:r>
        <w:rPr/>
        <w:t>Les études chez le chien nous permettent de travailler sur des cancers spontanés et sur une échelle de temps réduite, le chien développant des cancers beaucoup plus rapidement. Par ailleurs, le cancer ne présente pas de barrière d’espèces, et les résultats pourraient conduire à de nouvelles perspectives en médecine humaine.</w:t>
      </w:r>
    </w:p>
    <w:p>
      <w:pPr>
        <w:spacing w:after="0" w:line="276" w:lineRule="auto"/>
        <w:jc w:val="both"/>
        <w:sectPr>
          <w:pgSz w:w="11910" w:h="16840"/>
          <w:pgMar w:header="0" w:footer="995" w:top="1340" w:bottom="1240" w:left="1300" w:right="1300"/>
        </w:sectPr>
      </w:pPr>
    </w:p>
    <w:p>
      <w:pPr>
        <w:pStyle w:val="BodyText"/>
        <w:spacing w:before="4"/>
        <w:rPr>
          <w:sz w:val="17"/>
        </w:rPr>
      </w:pPr>
    </w:p>
    <w:p>
      <w:pPr>
        <w:spacing w:after="0"/>
        <w:rPr>
          <w:sz w:val="17"/>
        </w:rPr>
        <w:sectPr>
          <w:pgSz w:w="11910" w:h="16840"/>
          <w:pgMar w:header="0" w:footer="995" w:top="1580" w:bottom="1180" w:left="1680" w:right="1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76" w:lineRule="auto" w:before="246"/>
        <w:ind w:left="104" w:right="103"/>
        <w:rPr>
          <w:u w:val="none"/>
        </w:rPr>
      </w:pPr>
      <w:bookmarkStart w:name="_bookmark5" w:id="6"/>
      <w:bookmarkEnd w:id="6"/>
      <w:r>
        <w:rPr>
          <w:b w:val="0"/>
          <w:u w:val="none"/>
        </w:rPr>
      </w:r>
      <w:r>
        <w:rPr>
          <w:u w:val="thick"/>
        </w:rPr>
        <w:t>Partie 1 : Le métabolisme de la cellule cancéreuse et</w:t>
      </w:r>
      <w:r>
        <w:rPr>
          <w:u w:val="none"/>
        </w:rPr>
        <w:t> </w:t>
      </w:r>
      <w:r>
        <w:rPr>
          <w:u w:val="thick"/>
        </w:rPr>
        <w:t>les molécules pouvant le cibler : approche</w:t>
      </w:r>
      <w:r>
        <w:rPr>
          <w:u w:val="none"/>
        </w:rPr>
        <w:t> </w:t>
      </w:r>
      <w:r>
        <w:rPr>
          <w:u w:val="thick"/>
        </w:rPr>
        <w:t>fondamentale</w:t>
      </w:r>
    </w:p>
    <w:p>
      <w:pPr>
        <w:spacing w:after="0" w:line="276" w:lineRule="auto"/>
        <w:sectPr>
          <w:pgSz w:w="11910" w:h="16840"/>
          <w:pgMar w:header="0" w:footer="995" w:top="1580" w:bottom="1240" w:left="1420" w:right="1420"/>
        </w:sectPr>
      </w:pPr>
    </w:p>
    <w:p>
      <w:pPr>
        <w:pStyle w:val="BodyText"/>
        <w:spacing w:before="4"/>
        <w:rPr>
          <w:sz w:val="17"/>
        </w:rPr>
      </w:pPr>
    </w:p>
    <w:p>
      <w:pPr>
        <w:spacing w:after="0"/>
        <w:rPr>
          <w:sz w:val="17"/>
        </w:rPr>
        <w:sectPr>
          <w:pgSz w:w="11910" w:h="16840"/>
          <w:pgMar w:header="0" w:footer="995" w:top="1580" w:bottom="1180" w:left="1680" w:right="1680"/>
        </w:sectPr>
      </w:pPr>
    </w:p>
    <w:p>
      <w:pPr>
        <w:pStyle w:val="Heading2"/>
        <w:numPr>
          <w:ilvl w:val="0"/>
          <w:numId w:val="4"/>
        </w:numPr>
        <w:tabs>
          <w:tab w:pos="1296" w:val="left" w:leader="none"/>
          <w:tab w:pos="1297" w:val="left" w:leader="none"/>
        </w:tabs>
        <w:spacing w:line="240" w:lineRule="auto" w:before="57" w:after="0"/>
        <w:ind w:left="1296" w:right="0" w:hanging="720"/>
        <w:jc w:val="left"/>
        <w:rPr>
          <w:u w:val="none"/>
        </w:rPr>
      </w:pPr>
      <w:bookmarkStart w:name="_bookmark6" w:id="7"/>
      <w:bookmarkEnd w:id="7"/>
      <w:r>
        <w:rPr>
          <w:b w:val="0"/>
          <w:u w:val="none"/>
        </w:rPr>
      </w:r>
      <w:bookmarkStart w:name="_bookmark6" w:id="8"/>
      <w:bookmarkEnd w:id="8"/>
      <w:r>
        <w:rPr>
          <w:u w:val="thick"/>
        </w:rPr>
        <w:t>R</w:t>
      </w:r>
      <w:r>
        <w:rPr>
          <w:u w:val="thick"/>
        </w:rPr>
        <w:t>appels sur la production d’énergie dans la cellule</w:t>
      </w:r>
      <w:r>
        <w:rPr>
          <w:spacing w:val="-31"/>
          <w:u w:val="thick"/>
        </w:rPr>
        <w:t> </w:t>
      </w:r>
      <w:r>
        <w:rPr>
          <w:u w:val="thick"/>
        </w:rPr>
        <w:t>saine</w:t>
      </w:r>
    </w:p>
    <w:p>
      <w:pPr>
        <w:pStyle w:val="BodyText"/>
        <w:rPr>
          <w:b/>
          <w:sz w:val="20"/>
        </w:rPr>
      </w:pPr>
    </w:p>
    <w:p>
      <w:pPr>
        <w:pStyle w:val="BodyText"/>
        <w:spacing w:before="3"/>
        <w:rPr>
          <w:b/>
          <w:sz w:val="18"/>
        </w:rPr>
      </w:pPr>
    </w:p>
    <w:p>
      <w:pPr>
        <w:pStyle w:val="BodyText"/>
        <w:spacing w:line="273" w:lineRule="auto" w:before="90"/>
        <w:ind w:left="216" w:right="215" w:firstLine="707"/>
        <w:jc w:val="both"/>
      </w:pPr>
      <w:r>
        <w:rPr/>
        <w:t>La cellule animale saine est capable de générer de l’énergie sous forme d’ATP (Adénosine Tri Phosphate) de différentes manières. Nous nous intéresserons dans cette partie spécifiquement au métabolisme du glucose. Dans le cytoplasme, la glycolyse transforme le </w:t>
      </w:r>
      <w:r>
        <w:rPr>
          <w:position w:val="2"/>
        </w:rPr>
        <w:t>glucose en pyruvate. En présence de dioxygène (O</w:t>
      </w:r>
      <w:r>
        <w:rPr>
          <w:sz w:val="16"/>
        </w:rPr>
        <w:t>2</w:t>
      </w:r>
      <w:r>
        <w:rPr>
          <w:position w:val="2"/>
        </w:rPr>
        <w:t>), le pyruvate permet </w:t>
      </w:r>
      <w:r>
        <w:rPr>
          <w:i/>
          <w:position w:val="2"/>
        </w:rPr>
        <w:t>via </w:t>
      </w:r>
      <w:r>
        <w:rPr>
          <w:position w:val="2"/>
        </w:rPr>
        <w:t>la synthèse </w:t>
      </w:r>
      <w:r>
        <w:rPr/>
        <w:t>d’acétyl-Coenzyme A (acétyl-CoA) le fonctionnement du cycle de Krebs (TCA cycle) dans la mitochondrie, ce qui entraîne la réduction des coenzymes Nicotinamide Adénine Dinucléotide </w:t>
      </w:r>
      <w:r>
        <w:rPr>
          <w:position w:val="2"/>
        </w:rPr>
        <w:t>(NADH,H</w:t>
      </w:r>
      <w:r>
        <w:rPr>
          <w:position w:val="11"/>
          <w:sz w:val="16"/>
        </w:rPr>
        <w:t>+</w:t>
      </w:r>
      <w:r>
        <w:rPr>
          <w:position w:val="2"/>
        </w:rPr>
        <w:t>) et Flavine Adénine Dinucléotide (FADH</w:t>
      </w:r>
      <w:r>
        <w:rPr>
          <w:sz w:val="16"/>
        </w:rPr>
        <w:t>2</w:t>
      </w:r>
      <w:r>
        <w:rPr>
          <w:position w:val="2"/>
        </w:rPr>
        <w:t>). L’oxydation de ces coenzymes est </w:t>
      </w:r>
      <w:r>
        <w:rPr/>
        <w:t>couplée à la production d’ATP à l’issue des phosphorylations oxydatives ayant lieu au niveau de la membrane mitochondriale interne.</w:t>
      </w:r>
    </w:p>
    <w:p>
      <w:pPr>
        <w:pStyle w:val="BodyText"/>
        <w:rPr>
          <w:sz w:val="26"/>
        </w:rPr>
      </w:pPr>
    </w:p>
    <w:p>
      <w:pPr>
        <w:pStyle w:val="Heading3"/>
        <w:numPr>
          <w:ilvl w:val="1"/>
          <w:numId w:val="4"/>
        </w:numPr>
        <w:tabs>
          <w:tab w:pos="1657" w:val="left" w:leader="none"/>
        </w:tabs>
        <w:spacing w:line="240" w:lineRule="auto" w:before="226" w:after="0"/>
        <w:ind w:left="1656" w:right="0" w:hanging="360"/>
        <w:jc w:val="left"/>
      </w:pPr>
      <w:bookmarkStart w:name="_bookmark7" w:id="9"/>
      <w:bookmarkEnd w:id="9"/>
      <w:r>
        <w:rPr>
          <w:b w:val="0"/>
        </w:rPr>
      </w:r>
      <w:bookmarkStart w:name="_bookmark7" w:id="10"/>
      <w:bookmarkEnd w:id="10"/>
      <w:r>
        <w:rPr/>
        <w:t>La</w:t>
      </w:r>
      <w:r>
        <w:rPr/>
        <w:t> glycolyse et la</w:t>
      </w:r>
      <w:r>
        <w:rPr>
          <w:spacing w:val="-15"/>
        </w:rPr>
        <w:t> </w:t>
      </w:r>
      <w:r>
        <w:rPr/>
        <w:t>néoglucogenèse</w:t>
      </w:r>
    </w:p>
    <w:p>
      <w:pPr>
        <w:pStyle w:val="BodyText"/>
        <w:rPr>
          <w:b/>
          <w:sz w:val="30"/>
        </w:rPr>
      </w:pPr>
    </w:p>
    <w:p>
      <w:pPr>
        <w:pStyle w:val="BodyText"/>
        <w:spacing w:line="273" w:lineRule="auto" w:before="179"/>
        <w:ind w:left="216" w:right="219" w:firstLine="707"/>
        <w:jc w:val="both"/>
      </w:pPr>
      <w:r>
        <w:rPr/>
        <w:t>La glycolyse se compose de dix réactions enzymatiques qui se déroulent dans le </w:t>
      </w:r>
      <w:r>
        <w:rPr>
          <w:position w:val="2"/>
        </w:rPr>
        <w:t>cytoplasme cellulaire en l’absence ou en présence d’O</w:t>
      </w:r>
      <w:r>
        <w:rPr>
          <w:sz w:val="16"/>
        </w:rPr>
        <w:t>2</w:t>
      </w:r>
      <w:r>
        <w:rPr>
          <w:position w:val="2"/>
        </w:rPr>
        <w:t>. Elle peut être divisée en deux phases. </w:t>
      </w:r>
      <w:r>
        <w:rPr/>
        <w:t>La première phase est une phase de préparation qui consomme de l’énergie (investissement de</w:t>
      </w:r>
    </w:p>
    <w:p>
      <w:pPr>
        <w:pStyle w:val="BodyText"/>
        <w:spacing w:line="276" w:lineRule="auto" w:before="4"/>
        <w:ind w:left="216" w:right="221"/>
        <w:jc w:val="both"/>
      </w:pPr>
      <w:r>
        <w:rPr/>
        <w:t>2 molécules d’ATP aboutissant après 4 réactions à la formation de 2 molécules de Glycéraldéhyde-3-Phosphate (GA3P). La deuxième phase correspond à une phase de récupération de l’énergie (gain de 4 ATP) (Figure 1).</w:t>
      </w:r>
    </w:p>
    <w:p>
      <w:pPr>
        <w:pStyle w:val="BodyText"/>
        <w:spacing w:line="268" w:lineRule="auto" w:before="164"/>
        <w:ind w:left="216" w:right="215" w:firstLine="707"/>
        <w:jc w:val="both"/>
      </w:pPr>
      <w:r>
        <w:rPr/>
        <w:t>Cette</w:t>
      </w:r>
      <w:r>
        <w:rPr>
          <w:spacing w:val="-17"/>
        </w:rPr>
        <w:t> </w:t>
      </w:r>
      <w:r>
        <w:rPr/>
        <w:t>voie</w:t>
      </w:r>
      <w:r>
        <w:rPr>
          <w:spacing w:val="-16"/>
        </w:rPr>
        <w:t> </w:t>
      </w:r>
      <w:r>
        <w:rPr/>
        <w:t>métabolique</w:t>
      </w:r>
      <w:r>
        <w:rPr>
          <w:spacing w:val="-17"/>
        </w:rPr>
        <w:t> </w:t>
      </w:r>
      <w:r>
        <w:rPr/>
        <w:t>produit,</w:t>
      </w:r>
      <w:r>
        <w:rPr>
          <w:spacing w:val="-16"/>
        </w:rPr>
        <w:t> </w:t>
      </w:r>
      <w:r>
        <w:rPr/>
        <w:t>en</w:t>
      </w:r>
      <w:r>
        <w:rPr>
          <w:spacing w:val="-16"/>
        </w:rPr>
        <w:t> </w:t>
      </w:r>
      <w:r>
        <w:rPr/>
        <w:t>plus</w:t>
      </w:r>
      <w:r>
        <w:rPr>
          <w:spacing w:val="-15"/>
        </w:rPr>
        <w:t> </w:t>
      </w:r>
      <w:r>
        <w:rPr/>
        <w:t>des</w:t>
      </w:r>
      <w:r>
        <w:rPr>
          <w:spacing w:val="-16"/>
        </w:rPr>
        <w:t> </w:t>
      </w:r>
      <w:r>
        <w:rPr/>
        <w:t>deux</w:t>
      </w:r>
      <w:r>
        <w:rPr>
          <w:spacing w:val="-14"/>
        </w:rPr>
        <w:t> </w:t>
      </w:r>
      <w:r>
        <w:rPr/>
        <w:t>molécules</w:t>
      </w:r>
      <w:r>
        <w:rPr>
          <w:spacing w:val="-16"/>
        </w:rPr>
        <w:t> </w:t>
      </w:r>
      <w:r>
        <w:rPr/>
        <w:t>de</w:t>
      </w:r>
      <w:r>
        <w:rPr>
          <w:spacing w:val="-17"/>
        </w:rPr>
        <w:t> </w:t>
      </w:r>
      <w:r>
        <w:rPr/>
        <w:t>pyruvate,</w:t>
      </w:r>
      <w:r>
        <w:rPr>
          <w:spacing w:val="-13"/>
        </w:rPr>
        <w:t> </w:t>
      </w:r>
      <w:r>
        <w:rPr/>
        <w:t>deux</w:t>
      </w:r>
      <w:r>
        <w:rPr>
          <w:spacing w:val="-14"/>
        </w:rPr>
        <w:t> </w:t>
      </w:r>
      <w:r>
        <w:rPr/>
        <w:t>molécules d’ATP et deux coenzymes réduits NADH,H</w:t>
      </w:r>
      <w:r>
        <w:rPr>
          <w:position w:val="9"/>
          <w:sz w:val="16"/>
        </w:rPr>
        <w:t>+</w:t>
      </w:r>
      <w:r>
        <w:rPr/>
        <w:t>. La glycolyse est la voie majeure de production de pyruvate (Berg et al.,</w:t>
      </w:r>
      <w:r>
        <w:rPr>
          <w:spacing w:val="-6"/>
        </w:rPr>
        <w:t> </w:t>
      </w:r>
      <w:r>
        <w:rPr/>
        <w:t>2013a).</w:t>
      </w:r>
    </w:p>
    <w:p>
      <w:pPr>
        <w:pStyle w:val="BodyText"/>
        <w:spacing w:line="273" w:lineRule="auto" w:before="171"/>
        <w:ind w:left="216" w:right="213" w:firstLine="707"/>
        <w:jc w:val="both"/>
      </w:pPr>
      <w:r>
        <w:rPr/>
        <w:t>Le bilan énergétique global à partir d’1 molécule de glucose est le suivant (ADP = </w:t>
      </w:r>
      <w:r>
        <w:rPr>
          <w:position w:val="2"/>
        </w:rPr>
        <w:t>Adénosine Di Phosphate, Pi = Phosphate Inorganique, H</w:t>
      </w:r>
      <w:r>
        <w:rPr>
          <w:sz w:val="16"/>
        </w:rPr>
        <w:t>2</w:t>
      </w:r>
      <w:r>
        <w:rPr>
          <w:position w:val="2"/>
        </w:rPr>
        <w:t>O = molécule d’eau) :</w:t>
      </w:r>
    </w:p>
    <w:p>
      <w:pPr>
        <w:pStyle w:val="BodyText"/>
        <w:spacing w:before="3"/>
        <w:rPr>
          <w:sz w:val="11"/>
        </w:rPr>
      </w:pPr>
      <w:r>
        <w:rPr/>
        <w:pict>
          <v:shape style="position:absolute;margin-left:65.183998pt;margin-top:8.711310pt;width:465pt;height:18.4pt;mso-position-horizontal-relative:page;mso-position-vertical-relative:paragraph;z-index:1144;mso-wrap-distance-left:0;mso-wrap-distance-right:0" type="#_x0000_t202" filled="false" stroked="true" strokeweight=".47998pt" strokecolor="#000000">
            <v:textbox inset="0,0,0,0">
              <w:txbxContent>
                <w:p>
                  <w:pPr>
                    <w:pStyle w:val="BodyText"/>
                    <w:spacing w:line="291" w:lineRule="exact"/>
                    <w:ind w:left="815"/>
                  </w:pPr>
                  <w:r>
                    <w:rPr>
                      <w:position w:val="2"/>
                    </w:rPr>
                    <w:t>Glucose + 2 ADP + 2 Pi + 2 NAD</w:t>
                  </w:r>
                  <w:r>
                    <w:rPr>
                      <w:position w:val="11"/>
                      <w:sz w:val="16"/>
                    </w:rPr>
                    <w:t>+ </w:t>
                  </w:r>
                  <w:r>
                    <w:rPr>
                      <w:rFonts w:ascii="Wingdings" w:hAnsi="Wingdings"/>
                      <w:position w:val="2"/>
                    </w:rPr>
                    <w:t></w:t>
                  </w:r>
                  <w:r>
                    <w:rPr>
                      <w:position w:val="2"/>
                    </w:rPr>
                    <w:t> 2 pyruvate + 2 ATP + 2 H</w:t>
                  </w:r>
                  <w:r>
                    <w:rPr>
                      <w:sz w:val="16"/>
                    </w:rPr>
                    <w:t>2</w:t>
                  </w:r>
                  <w:r>
                    <w:rPr>
                      <w:position w:val="2"/>
                    </w:rPr>
                    <w:t>O + 2 NADH,H+</w:t>
                  </w:r>
                </w:p>
              </w:txbxContent>
            </v:textbox>
            <v:stroke dashstyle="solid"/>
            <w10:wrap type="topAndBottom"/>
          </v:shape>
        </w:pict>
      </w:r>
    </w:p>
    <w:p>
      <w:pPr>
        <w:pStyle w:val="BodyText"/>
        <w:spacing w:line="271" w:lineRule="auto" w:before="126"/>
        <w:ind w:left="216" w:right="219" w:firstLine="707"/>
        <w:jc w:val="both"/>
      </w:pPr>
      <w:r>
        <w:rPr/>
        <w:t>En</w:t>
      </w:r>
      <w:r>
        <w:rPr>
          <w:spacing w:val="-15"/>
        </w:rPr>
        <w:t> </w:t>
      </w:r>
      <w:r>
        <w:rPr/>
        <w:t>présence</w:t>
      </w:r>
      <w:r>
        <w:rPr>
          <w:spacing w:val="-15"/>
        </w:rPr>
        <w:t> </w:t>
      </w:r>
      <w:r>
        <w:rPr/>
        <w:t>d’O</w:t>
      </w:r>
      <w:r>
        <w:rPr>
          <w:position w:val="-1"/>
          <w:sz w:val="16"/>
        </w:rPr>
        <w:t>2</w:t>
      </w:r>
      <w:r>
        <w:rPr/>
        <w:t>,</w:t>
      </w:r>
      <w:r>
        <w:rPr>
          <w:spacing w:val="-14"/>
        </w:rPr>
        <w:t> </w:t>
      </w:r>
      <w:r>
        <w:rPr/>
        <w:t>les</w:t>
      </w:r>
      <w:r>
        <w:rPr>
          <w:spacing w:val="-15"/>
        </w:rPr>
        <w:t> </w:t>
      </w:r>
      <w:r>
        <w:rPr/>
        <w:t>phosphorylations</w:t>
      </w:r>
      <w:r>
        <w:rPr>
          <w:spacing w:val="-14"/>
        </w:rPr>
        <w:t> </w:t>
      </w:r>
      <w:r>
        <w:rPr/>
        <w:t>oxydatives</w:t>
      </w:r>
      <w:r>
        <w:rPr>
          <w:spacing w:val="-12"/>
        </w:rPr>
        <w:t> </w:t>
      </w:r>
      <w:r>
        <w:rPr/>
        <w:t>régénèrent</w:t>
      </w:r>
      <w:r>
        <w:rPr>
          <w:spacing w:val="-14"/>
        </w:rPr>
        <w:t> </w:t>
      </w:r>
      <w:r>
        <w:rPr/>
        <w:t>les</w:t>
      </w:r>
      <w:r>
        <w:rPr>
          <w:spacing w:val="-15"/>
        </w:rPr>
        <w:t> </w:t>
      </w:r>
      <w:r>
        <w:rPr/>
        <w:t>coenzymes</w:t>
      </w:r>
      <w:r>
        <w:rPr>
          <w:spacing w:val="-13"/>
        </w:rPr>
        <w:t> </w:t>
      </w:r>
      <w:r>
        <w:rPr/>
        <w:t>réduits</w:t>
      </w:r>
      <w:r>
        <w:rPr>
          <w:spacing w:val="-14"/>
        </w:rPr>
        <w:t> </w:t>
      </w:r>
      <w:r>
        <w:rPr/>
        <w:t>qui sont indispensables à la glycolyse (cf.</w:t>
      </w:r>
      <w:r>
        <w:rPr>
          <w:spacing w:val="-8"/>
        </w:rPr>
        <w:t> </w:t>
      </w:r>
      <w:r>
        <w:rPr/>
        <w:t>I.B.).</w:t>
      </w:r>
    </w:p>
    <w:p>
      <w:pPr>
        <w:pStyle w:val="BodyText"/>
        <w:spacing w:line="276" w:lineRule="auto" w:before="169"/>
        <w:ind w:left="216" w:right="214" w:firstLine="707"/>
        <w:jc w:val="both"/>
      </w:pPr>
      <w:r>
        <w:rPr/>
        <w:t>En absence d’O</w:t>
      </w:r>
      <w:r>
        <w:rPr>
          <w:position w:val="-1"/>
          <w:sz w:val="16"/>
        </w:rPr>
        <w:t>2</w:t>
      </w:r>
      <w:r>
        <w:rPr/>
        <w:t>, ce sont les fermentations (lactique ou éthanolique suivant le bagage enzymatique de la cellule) dans le cytoplasme qui régénèrent les coenzymes réduits de la glycolyse. C’est le cas par exemple des cellules musculaires, lors d’un effort intense (fermentation</w:t>
      </w:r>
      <w:r>
        <w:rPr>
          <w:spacing w:val="-7"/>
        </w:rPr>
        <w:t> </w:t>
      </w:r>
      <w:r>
        <w:rPr/>
        <w:t>lactique</w:t>
      </w:r>
      <w:r>
        <w:rPr>
          <w:spacing w:val="-8"/>
        </w:rPr>
        <w:t> </w:t>
      </w:r>
      <w:r>
        <w:rPr/>
        <w:t>permise</w:t>
      </w:r>
      <w:r>
        <w:rPr>
          <w:spacing w:val="-8"/>
        </w:rPr>
        <w:t> </w:t>
      </w:r>
      <w:r>
        <w:rPr/>
        <w:t>par</w:t>
      </w:r>
      <w:r>
        <w:rPr>
          <w:spacing w:val="-8"/>
        </w:rPr>
        <w:t> </w:t>
      </w:r>
      <w:r>
        <w:rPr/>
        <w:t>l’enzyme</w:t>
      </w:r>
      <w:r>
        <w:rPr>
          <w:spacing w:val="-8"/>
        </w:rPr>
        <w:t> </w:t>
      </w:r>
      <w:r>
        <w:rPr/>
        <w:t>lactate</w:t>
      </w:r>
      <w:r>
        <w:rPr>
          <w:spacing w:val="-8"/>
        </w:rPr>
        <w:t> </w:t>
      </w:r>
      <w:r>
        <w:rPr/>
        <w:t>déshydrogénase</w:t>
      </w:r>
      <w:r>
        <w:rPr>
          <w:spacing w:val="-8"/>
        </w:rPr>
        <w:t> </w:t>
      </w:r>
      <w:r>
        <w:rPr/>
        <w:t>(LDH)),</w:t>
      </w:r>
      <w:r>
        <w:rPr>
          <w:spacing w:val="-7"/>
        </w:rPr>
        <w:t> </w:t>
      </w:r>
      <w:r>
        <w:rPr/>
        <w:t>qui</w:t>
      </w:r>
      <w:r>
        <w:rPr>
          <w:spacing w:val="-7"/>
        </w:rPr>
        <w:t> </w:t>
      </w:r>
      <w:r>
        <w:rPr/>
        <w:t>ne</w:t>
      </w:r>
      <w:r>
        <w:rPr>
          <w:spacing w:val="-8"/>
        </w:rPr>
        <w:t> </w:t>
      </w:r>
      <w:r>
        <w:rPr/>
        <w:t>produisent leur</w:t>
      </w:r>
      <w:r>
        <w:rPr>
          <w:spacing w:val="-11"/>
        </w:rPr>
        <w:t> </w:t>
      </w:r>
      <w:r>
        <w:rPr/>
        <w:t>ATP</w:t>
      </w:r>
      <w:r>
        <w:rPr>
          <w:spacing w:val="-9"/>
        </w:rPr>
        <w:t> </w:t>
      </w:r>
      <w:r>
        <w:rPr/>
        <w:t>que</w:t>
      </w:r>
      <w:r>
        <w:rPr>
          <w:spacing w:val="-11"/>
        </w:rPr>
        <w:t> </w:t>
      </w:r>
      <w:r>
        <w:rPr/>
        <w:t>grâce</w:t>
      </w:r>
      <w:r>
        <w:rPr>
          <w:spacing w:val="-11"/>
        </w:rPr>
        <w:t> </w:t>
      </w:r>
      <w:r>
        <w:rPr/>
        <w:t>à</w:t>
      </w:r>
      <w:r>
        <w:rPr>
          <w:spacing w:val="-10"/>
        </w:rPr>
        <w:t> </w:t>
      </w:r>
      <w:r>
        <w:rPr/>
        <w:t>la</w:t>
      </w:r>
      <w:r>
        <w:rPr>
          <w:spacing w:val="-8"/>
        </w:rPr>
        <w:t> </w:t>
      </w:r>
      <w:r>
        <w:rPr/>
        <w:t>glycolyse.</w:t>
      </w:r>
      <w:r>
        <w:rPr>
          <w:spacing w:val="-7"/>
        </w:rPr>
        <w:t> </w:t>
      </w:r>
      <w:r>
        <w:rPr/>
        <w:t>Il</w:t>
      </w:r>
      <w:r>
        <w:rPr>
          <w:spacing w:val="-9"/>
        </w:rPr>
        <w:t> </w:t>
      </w:r>
      <w:r>
        <w:rPr/>
        <w:t>est</w:t>
      </w:r>
      <w:r>
        <w:rPr>
          <w:spacing w:val="-9"/>
        </w:rPr>
        <w:t> </w:t>
      </w:r>
      <w:r>
        <w:rPr/>
        <w:t>donc</w:t>
      </w:r>
      <w:r>
        <w:rPr>
          <w:spacing w:val="-11"/>
        </w:rPr>
        <w:t> </w:t>
      </w:r>
      <w:r>
        <w:rPr/>
        <w:t>à</w:t>
      </w:r>
      <w:r>
        <w:rPr>
          <w:spacing w:val="-11"/>
        </w:rPr>
        <w:t> </w:t>
      </w:r>
      <w:r>
        <w:rPr/>
        <w:t>noter</w:t>
      </w:r>
      <w:r>
        <w:rPr>
          <w:spacing w:val="-11"/>
        </w:rPr>
        <w:t> </w:t>
      </w:r>
      <w:r>
        <w:rPr/>
        <w:t>l’importance</w:t>
      </w:r>
      <w:r>
        <w:rPr>
          <w:spacing w:val="-11"/>
        </w:rPr>
        <w:t> </w:t>
      </w:r>
      <w:r>
        <w:rPr/>
        <w:t>majeure</w:t>
      </w:r>
      <w:r>
        <w:rPr>
          <w:spacing w:val="-9"/>
        </w:rPr>
        <w:t> </w:t>
      </w:r>
      <w:r>
        <w:rPr/>
        <w:t>de</w:t>
      </w:r>
      <w:r>
        <w:rPr>
          <w:spacing w:val="-11"/>
        </w:rPr>
        <w:t> </w:t>
      </w:r>
      <w:r>
        <w:rPr/>
        <w:t>la</w:t>
      </w:r>
      <w:r>
        <w:rPr>
          <w:spacing w:val="-10"/>
        </w:rPr>
        <w:t> </w:t>
      </w:r>
      <w:r>
        <w:rPr/>
        <w:t>glycolyse</w:t>
      </w:r>
      <w:r>
        <w:rPr>
          <w:spacing w:val="-10"/>
        </w:rPr>
        <w:t> </w:t>
      </w:r>
      <w:r>
        <w:rPr/>
        <w:t>pour les cellules en</w:t>
      </w:r>
      <w:r>
        <w:rPr>
          <w:spacing w:val="-5"/>
        </w:rPr>
        <w:t> </w:t>
      </w:r>
      <w:r>
        <w:rPr/>
        <w:t>hypoxie.</w:t>
      </w:r>
    </w:p>
    <w:p>
      <w:pPr>
        <w:pStyle w:val="BodyText"/>
        <w:spacing w:line="276" w:lineRule="auto" w:before="163"/>
        <w:ind w:left="216" w:right="214" w:firstLine="707"/>
        <w:jc w:val="both"/>
      </w:pPr>
      <w:r>
        <w:rPr/>
        <w:t>Certaines des réactions de la glycolyse sont réversibles : ce sont les réactions endergoniques (différence d’enthalpie libre </w:t>
      </w:r>
      <w:r>
        <w:rPr>
          <w:rFonts w:ascii="Symbol" w:hAnsi="Symbol"/>
        </w:rPr>
        <w:t></w:t>
      </w:r>
      <w:r>
        <w:rPr/>
        <w:t>G proche de l’équilibre), utilisées lors de la néoglucogenèse, voie permettant de former 1 molécule de glucose à partir de dérivés non</w:t>
      </w:r>
    </w:p>
    <w:p>
      <w:pPr>
        <w:spacing w:after="0" w:line="276" w:lineRule="auto"/>
        <w:jc w:val="both"/>
        <w:sectPr>
          <w:pgSz w:w="11910" w:h="16840"/>
          <w:pgMar w:header="0" w:footer="995" w:top="1340" w:bottom="1240" w:left="1200" w:right="1200"/>
        </w:sectPr>
      </w:pPr>
    </w:p>
    <w:p>
      <w:pPr>
        <w:pStyle w:val="BodyText"/>
        <w:spacing w:line="276" w:lineRule="auto" w:before="72"/>
        <w:ind w:left="116"/>
      </w:pPr>
      <w:r>
        <w:rPr/>
        <w:t>glucidiques.</w:t>
      </w:r>
      <w:r>
        <w:rPr>
          <w:spacing w:val="-7"/>
        </w:rPr>
        <w:t> </w:t>
      </w:r>
      <w:r>
        <w:rPr/>
        <w:t>La</w:t>
      </w:r>
      <w:r>
        <w:rPr>
          <w:spacing w:val="-11"/>
        </w:rPr>
        <w:t> </w:t>
      </w:r>
      <w:r>
        <w:rPr/>
        <w:t>néoglucogenèse</w:t>
      </w:r>
      <w:r>
        <w:rPr>
          <w:spacing w:val="-10"/>
        </w:rPr>
        <w:t> </w:t>
      </w:r>
      <w:r>
        <w:rPr/>
        <w:t>met</w:t>
      </w:r>
      <w:r>
        <w:rPr>
          <w:spacing w:val="-10"/>
        </w:rPr>
        <w:t> </w:t>
      </w:r>
      <w:r>
        <w:rPr/>
        <w:t>en</w:t>
      </w:r>
      <w:r>
        <w:rPr>
          <w:spacing w:val="-10"/>
        </w:rPr>
        <w:t> </w:t>
      </w:r>
      <w:r>
        <w:rPr/>
        <w:t>jeu</w:t>
      </w:r>
      <w:r>
        <w:rPr>
          <w:spacing w:val="-10"/>
        </w:rPr>
        <w:t> </w:t>
      </w:r>
      <w:r>
        <w:rPr/>
        <w:t>pour</w:t>
      </w:r>
      <w:r>
        <w:rPr>
          <w:spacing w:val="-10"/>
        </w:rPr>
        <w:t> </w:t>
      </w:r>
      <w:r>
        <w:rPr/>
        <w:t>les</w:t>
      </w:r>
      <w:r>
        <w:rPr>
          <w:spacing w:val="-9"/>
        </w:rPr>
        <w:t> </w:t>
      </w:r>
      <w:r>
        <w:rPr/>
        <w:t>réactions</w:t>
      </w:r>
      <w:r>
        <w:rPr>
          <w:spacing w:val="-9"/>
        </w:rPr>
        <w:t> </w:t>
      </w:r>
      <w:r>
        <w:rPr/>
        <w:t>irréversibles</w:t>
      </w:r>
      <w:r>
        <w:rPr>
          <w:spacing w:val="-10"/>
        </w:rPr>
        <w:t> </w:t>
      </w:r>
      <w:r>
        <w:rPr/>
        <w:t>(réactions</w:t>
      </w:r>
      <w:r>
        <w:rPr>
          <w:spacing w:val="-9"/>
        </w:rPr>
        <w:t> </w:t>
      </w:r>
      <w:r>
        <w:rPr/>
        <w:t>1,3,</w:t>
      </w:r>
      <w:r>
        <w:rPr>
          <w:spacing w:val="-10"/>
        </w:rPr>
        <w:t> </w:t>
      </w:r>
      <w:r>
        <w:rPr/>
        <w:t>et</w:t>
      </w:r>
      <w:r>
        <w:rPr>
          <w:spacing w:val="-9"/>
        </w:rPr>
        <w:t> </w:t>
      </w:r>
      <w:r>
        <w:rPr/>
        <w:t>10) ses propres</w:t>
      </w:r>
      <w:r>
        <w:rPr>
          <w:spacing w:val="-6"/>
        </w:rPr>
        <w:t> </w:t>
      </w:r>
      <w:r>
        <w:rPr/>
        <w:t>enzymes.</w:t>
      </w:r>
    </w:p>
    <w:p>
      <w:pPr>
        <w:pStyle w:val="BodyText"/>
        <w:spacing w:before="3"/>
        <w:rPr>
          <w:sz w:val="11"/>
        </w:rPr>
      </w:pPr>
      <w:r>
        <w:rPr/>
        <w:drawing>
          <wp:anchor distT="0" distB="0" distL="0" distR="0" allowOverlap="1" layoutInCell="1" locked="0" behindDoc="0" simplePos="0" relativeHeight="1168">
            <wp:simplePos x="0" y="0"/>
            <wp:positionH relativeFrom="page">
              <wp:posOffset>1864105</wp:posOffset>
            </wp:positionH>
            <wp:positionV relativeFrom="paragraph">
              <wp:posOffset>107366</wp:posOffset>
            </wp:positionV>
            <wp:extent cx="3850015" cy="4809744"/>
            <wp:effectExtent l="0" t="0" r="0" b="0"/>
            <wp:wrapTopAndBottom/>
            <wp:docPr id="13" name="image5.jpeg" descr=""/>
            <wp:cNvGraphicFramePr>
              <a:graphicFrameLocks noChangeAspect="1"/>
            </wp:cNvGraphicFramePr>
            <a:graphic>
              <a:graphicData uri="http://schemas.openxmlformats.org/drawingml/2006/picture">
                <pic:pic>
                  <pic:nvPicPr>
                    <pic:cNvPr id="14" name="image5.jpeg"/>
                    <pic:cNvPicPr/>
                  </pic:nvPicPr>
                  <pic:blipFill>
                    <a:blip r:embed="rId11" cstate="print"/>
                    <a:stretch>
                      <a:fillRect/>
                    </a:stretch>
                  </pic:blipFill>
                  <pic:spPr>
                    <a:xfrm>
                      <a:off x="0" y="0"/>
                      <a:ext cx="3850015" cy="4809744"/>
                    </a:xfrm>
                    <a:prstGeom prst="rect">
                      <a:avLst/>
                    </a:prstGeom>
                  </pic:spPr>
                </pic:pic>
              </a:graphicData>
            </a:graphic>
          </wp:anchor>
        </w:drawing>
      </w:r>
    </w:p>
    <w:p>
      <w:pPr>
        <w:spacing w:before="135"/>
        <w:ind w:left="1479" w:right="1480" w:firstLine="0"/>
        <w:jc w:val="center"/>
        <w:rPr>
          <w:i/>
          <w:sz w:val="18"/>
        </w:rPr>
      </w:pPr>
      <w:bookmarkStart w:name="_bookmark8" w:id="11"/>
      <w:bookmarkEnd w:id="11"/>
      <w:r>
        <w:rPr/>
      </w:r>
      <w:r>
        <w:rPr>
          <w:i/>
          <w:color w:val="44536A"/>
          <w:sz w:val="18"/>
        </w:rPr>
        <w:t>Figure 1 : Les 10 réactions de la glycolyse et les enzymes les catalysant.</w:t>
      </w:r>
    </w:p>
    <w:p>
      <w:pPr>
        <w:pStyle w:val="BodyText"/>
        <w:spacing w:before="8"/>
        <w:rPr>
          <w:i/>
          <w:sz w:val="19"/>
        </w:rPr>
      </w:pPr>
    </w:p>
    <w:p>
      <w:pPr>
        <w:spacing w:before="0"/>
        <w:ind w:left="1479" w:right="1478" w:firstLine="0"/>
        <w:jc w:val="center"/>
        <w:rPr>
          <w:i/>
          <w:sz w:val="18"/>
        </w:rPr>
      </w:pPr>
      <w:r>
        <w:rPr>
          <w:i/>
          <w:color w:val="44536A"/>
          <w:sz w:val="18"/>
        </w:rPr>
        <w:t>D’après Pelicano et al., 2006.</w:t>
      </w:r>
    </w:p>
    <w:p>
      <w:pPr>
        <w:spacing w:line="276" w:lineRule="auto" w:before="179"/>
        <w:ind w:left="224" w:right="222" w:hanging="3"/>
        <w:jc w:val="center"/>
        <w:rPr>
          <w:i/>
          <w:sz w:val="18"/>
        </w:rPr>
      </w:pPr>
      <w:r>
        <w:rPr>
          <w:i/>
          <w:color w:val="44536A"/>
          <w:sz w:val="18"/>
        </w:rPr>
        <w:t>HK = HexoKinase, PGI = PhosphoGlucoIsomérase, PFK = PhosphoFructoKinase, TPI = TriosePhosphateIsomérase, </w:t>
      </w:r>
      <w:r>
        <w:rPr>
          <w:i/>
          <w:color w:val="44536A"/>
          <w:sz w:val="18"/>
        </w:rPr>
        <w:t>GAPDH = GlycérAldéhyde 3-PhospateDésHydrogénase, PGK = PhosphoGlycérate Kinase, PGM = PhosphoGlycérate Mutase, PK = Pyruvate Kinase, PDH = Pyruvate DésHydrogénase, ADP = Adénosine Di Phosphate, G6PD = Glucose-6- PhosphateDéshydrogénase</w:t>
      </w:r>
    </w:p>
    <w:p>
      <w:pPr>
        <w:pStyle w:val="BodyText"/>
        <w:spacing w:line="276" w:lineRule="auto" w:before="163"/>
        <w:ind w:left="116" w:right="115" w:firstLine="707"/>
        <w:jc w:val="both"/>
      </w:pPr>
      <w:r>
        <w:rPr/>
        <w:t>La glycolyse est un processus intégré aux autres voies du métabolisme (ensemble des réactions</w:t>
      </w:r>
      <w:r>
        <w:rPr>
          <w:spacing w:val="-9"/>
        </w:rPr>
        <w:t> </w:t>
      </w:r>
      <w:r>
        <w:rPr/>
        <w:t>chimiques</w:t>
      </w:r>
      <w:r>
        <w:rPr>
          <w:spacing w:val="-10"/>
        </w:rPr>
        <w:t> </w:t>
      </w:r>
      <w:r>
        <w:rPr/>
        <w:t>qui</w:t>
      </w:r>
      <w:r>
        <w:rPr>
          <w:spacing w:val="-9"/>
        </w:rPr>
        <w:t> </w:t>
      </w:r>
      <w:r>
        <w:rPr/>
        <w:t>se</w:t>
      </w:r>
      <w:r>
        <w:rPr>
          <w:spacing w:val="-11"/>
        </w:rPr>
        <w:t> </w:t>
      </w:r>
      <w:r>
        <w:rPr/>
        <w:t>déroulent</w:t>
      </w:r>
      <w:r>
        <w:rPr>
          <w:spacing w:val="-9"/>
        </w:rPr>
        <w:t> </w:t>
      </w:r>
      <w:r>
        <w:rPr/>
        <w:t>dans</w:t>
      </w:r>
      <w:r>
        <w:rPr>
          <w:spacing w:val="-9"/>
        </w:rPr>
        <w:t> </w:t>
      </w:r>
      <w:r>
        <w:rPr/>
        <w:t>la</w:t>
      </w:r>
      <w:r>
        <w:rPr>
          <w:spacing w:val="-10"/>
        </w:rPr>
        <w:t> </w:t>
      </w:r>
      <w:r>
        <w:rPr/>
        <w:t>cellule</w:t>
      </w:r>
      <w:r>
        <w:rPr>
          <w:spacing w:val="-10"/>
        </w:rPr>
        <w:t> </w:t>
      </w:r>
      <w:r>
        <w:rPr/>
        <w:t>pour</w:t>
      </w:r>
      <w:r>
        <w:rPr>
          <w:spacing w:val="-10"/>
        </w:rPr>
        <w:t> </w:t>
      </w:r>
      <w:r>
        <w:rPr/>
        <w:t>lui</w:t>
      </w:r>
      <w:r>
        <w:rPr>
          <w:spacing w:val="-9"/>
        </w:rPr>
        <w:t> </w:t>
      </w:r>
      <w:r>
        <w:rPr/>
        <w:t>permettre</w:t>
      </w:r>
      <w:r>
        <w:rPr>
          <w:spacing w:val="-11"/>
        </w:rPr>
        <w:t> </w:t>
      </w:r>
      <w:r>
        <w:rPr/>
        <w:t>de</w:t>
      </w:r>
      <w:r>
        <w:rPr>
          <w:spacing w:val="-11"/>
        </w:rPr>
        <w:t> </w:t>
      </w:r>
      <w:r>
        <w:rPr/>
        <w:t>vivre</w:t>
      </w:r>
      <w:r>
        <w:rPr>
          <w:spacing w:val="-11"/>
        </w:rPr>
        <w:t> </w:t>
      </w:r>
      <w:r>
        <w:rPr/>
        <w:t>et</w:t>
      </w:r>
      <w:r>
        <w:rPr>
          <w:spacing w:val="-9"/>
        </w:rPr>
        <w:t> </w:t>
      </w:r>
      <w:r>
        <w:rPr/>
        <w:t>de</w:t>
      </w:r>
      <w:r>
        <w:rPr>
          <w:spacing w:val="-11"/>
        </w:rPr>
        <w:t> </w:t>
      </w:r>
      <w:r>
        <w:rPr/>
        <w:t>proliférer), comme</w:t>
      </w:r>
      <w:r>
        <w:rPr>
          <w:spacing w:val="-6"/>
        </w:rPr>
        <w:t> </w:t>
      </w:r>
      <w:r>
        <w:rPr/>
        <w:t>par</w:t>
      </w:r>
      <w:r>
        <w:rPr>
          <w:spacing w:val="-4"/>
        </w:rPr>
        <w:t> </w:t>
      </w:r>
      <w:r>
        <w:rPr/>
        <w:t>exemple</w:t>
      </w:r>
      <w:r>
        <w:rPr>
          <w:spacing w:val="-6"/>
        </w:rPr>
        <w:t> </w:t>
      </w:r>
      <w:r>
        <w:rPr/>
        <w:t>la</w:t>
      </w:r>
      <w:r>
        <w:rPr>
          <w:spacing w:val="-6"/>
        </w:rPr>
        <w:t> </w:t>
      </w:r>
      <w:r>
        <w:rPr/>
        <w:t>voie</w:t>
      </w:r>
      <w:r>
        <w:rPr>
          <w:spacing w:val="-6"/>
        </w:rPr>
        <w:t> </w:t>
      </w:r>
      <w:r>
        <w:rPr/>
        <w:t>des</w:t>
      </w:r>
      <w:r>
        <w:rPr>
          <w:spacing w:val="-5"/>
        </w:rPr>
        <w:t> </w:t>
      </w:r>
      <w:r>
        <w:rPr/>
        <w:t>pentoses</w:t>
      </w:r>
      <w:r>
        <w:rPr>
          <w:spacing w:val="-5"/>
        </w:rPr>
        <w:t> </w:t>
      </w:r>
      <w:r>
        <w:rPr/>
        <w:t>phosphates</w:t>
      </w:r>
      <w:r>
        <w:rPr>
          <w:spacing w:val="-5"/>
        </w:rPr>
        <w:t> </w:t>
      </w:r>
      <w:r>
        <w:rPr/>
        <w:t>(Pentose</w:t>
      </w:r>
      <w:r>
        <w:rPr>
          <w:spacing w:val="-6"/>
        </w:rPr>
        <w:t> </w:t>
      </w:r>
      <w:r>
        <w:rPr/>
        <w:t>Phosphate</w:t>
      </w:r>
      <w:r>
        <w:rPr>
          <w:spacing w:val="-6"/>
        </w:rPr>
        <w:t> </w:t>
      </w:r>
      <w:r>
        <w:rPr/>
        <w:t>Pathway</w:t>
      </w:r>
      <w:r>
        <w:rPr>
          <w:spacing w:val="-10"/>
        </w:rPr>
        <w:t> </w:t>
      </w:r>
      <w:r>
        <w:rPr/>
        <w:t>=</w:t>
      </w:r>
      <w:r>
        <w:rPr>
          <w:spacing w:val="-4"/>
        </w:rPr>
        <w:t> </w:t>
      </w:r>
      <w:r>
        <w:rPr/>
        <w:t>PPP)</w:t>
      </w:r>
      <w:r>
        <w:rPr>
          <w:spacing w:val="-6"/>
        </w:rPr>
        <w:t> </w:t>
      </w:r>
      <w:r>
        <w:rPr/>
        <w:t>ou</w:t>
      </w:r>
      <w:r>
        <w:rPr>
          <w:spacing w:val="-5"/>
        </w:rPr>
        <w:t> </w:t>
      </w:r>
      <w:r>
        <w:rPr/>
        <w:t>le cycle de Krebs. Son contrôle se fait majoritairement par le contrôle des enzymes catalysant les réactions irréversibles. Sa régulation allostérique sera détaillée dans la suite de notre</w:t>
      </w:r>
      <w:r>
        <w:rPr>
          <w:spacing w:val="-18"/>
        </w:rPr>
        <w:t> </w:t>
      </w:r>
      <w:r>
        <w:rPr/>
        <w:t>travail.</w:t>
      </w:r>
    </w:p>
    <w:p>
      <w:pPr>
        <w:pStyle w:val="BodyText"/>
        <w:spacing w:line="276" w:lineRule="auto" w:before="164"/>
        <w:ind w:left="116" w:right="114" w:firstLine="707"/>
        <w:jc w:val="both"/>
      </w:pPr>
      <w:r>
        <w:rPr/>
        <w:t>Le pyruvate formé à l’issu de la glycolyse peut rentrer dans la mitochondrie où il est pris</w:t>
      </w:r>
      <w:r>
        <w:rPr>
          <w:spacing w:val="-9"/>
        </w:rPr>
        <w:t> </w:t>
      </w:r>
      <w:r>
        <w:rPr/>
        <w:t>en</w:t>
      </w:r>
      <w:r>
        <w:rPr>
          <w:spacing w:val="-9"/>
        </w:rPr>
        <w:t> </w:t>
      </w:r>
      <w:r>
        <w:rPr/>
        <w:t>charge</w:t>
      </w:r>
      <w:r>
        <w:rPr>
          <w:spacing w:val="-10"/>
        </w:rPr>
        <w:t> </w:t>
      </w:r>
      <w:r>
        <w:rPr/>
        <w:t>par</w:t>
      </w:r>
      <w:r>
        <w:rPr>
          <w:spacing w:val="-9"/>
        </w:rPr>
        <w:t> </w:t>
      </w:r>
      <w:r>
        <w:rPr/>
        <w:t>le</w:t>
      </w:r>
      <w:r>
        <w:rPr>
          <w:spacing w:val="-7"/>
        </w:rPr>
        <w:t> </w:t>
      </w:r>
      <w:r>
        <w:rPr/>
        <w:t>complexe</w:t>
      </w:r>
      <w:r>
        <w:rPr>
          <w:spacing w:val="-10"/>
        </w:rPr>
        <w:t> </w:t>
      </w:r>
      <w:r>
        <w:rPr/>
        <w:t>enzymatique</w:t>
      </w:r>
      <w:r>
        <w:rPr>
          <w:spacing w:val="-10"/>
        </w:rPr>
        <w:t> </w:t>
      </w:r>
      <w:r>
        <w:rPr/>
        <w:t>de</w:t>
      </w:r>
      <w:r>
        <w:rPr>
          <w:spacing w:val="-10"/>
        </w:rPr>
        <w:t> </w:t>
      </w:r>
      <w:r>
        <w:rPr/>
        <w:t>la</w:t>
      </w:r>
      <w:r>
        <w:rPr>
          <w:spacing w:val="-7"/>
        </w:rPr>
        <w:t> </w:t>
      </w:r>
      <w:r>
        <w:rPr/>
        <w:t>pyruvate</w:t>
      </w:r>
      <w:r>
        <w:rPr>
          <w:spacing w:val="-9"/>
        </w:rPr>
        <w:t> </w:t>
      </w:r>
      <w:r>
        <w:rPr/>
        <w:t>déshydrogénase</w:t>
      </w:r>
      <w:r>
        <w:rPr>
          <w:spacing w:val="-3"/>
        </w:rPr>
        <w:t> </w:t>
      </w:r>
      <w:r>
        <w:rPr/>
        <w:t>(PDH)</w:t>
      </w:r>
      <w:r>
        <w:rPr>
          <w:spacing w:val="-9"/>
        </w:rPr>
        <w:t> </w:t>
      </w:r>
      <w:r>
        <w:rPr/>
        <w:t>pour</w:t>
      </w:r>
      <w:r>
        <w:rPr>
          <w:spacing w:val="-9"/>
        </w:rPr>
        <w:t> </w:t>
      </w:r>
      <w:r>
        <w:rPr/>
        <w:t>donner 1 molécule d’acétyl-CoA et de NADH. Cet acétyl-CoA alimente le cycle de Krebs. Si le pyruvate ne rentre pas dans la mitochondrie, il est transformé en lactate </w:t>
      </w:r>
      <w:r>
        <w:rPr>
          <w:i/>
        </w:rPr>
        <w:t>via </w:t>
      </w:r>
      <w:r>
        <w:rPr/>
        <w:t>la lactate déshydrogénase</w:t>
      </w:r>
      <w:r>
        <w:rPr>
          <w:spacing w:val="-9"/>
        </w:rPr>
        <w:t> </w:t>
      </w:r>
      <w:r>
        <w:rPr/>
        <w:t>(LDH).</w:t>
      </w:r>
    </w:p>
    <w:p>
      <w:pPr>
        <w:spacing w:after="0" w:line="276" w:lineRule="auto"/>
        <w:jc w:val="both"/>
        <w:sectPr>
          <w:pgSz w:w="11910" w:h="16840"/>
          <w:pgMar w:header="0" w:footer="995" w:top="1320" w:bottom="1180" w:left="1300" w:right="1300"/>
        </w:sectPr>
      </w:pPr>
    </w:p>
    <w:p>
      <w:pPr>
        <w:pStyle w:val="Heading3"/>
        <w:numPr>
          <w:ilvl w:val="1"/>
          <w:numId w:val="4"/>
        </w:numPr>
        <w:tabs>
          <w:tab w:pos="1657" w:val="left" w:leader="none"/>
        </w:tabs>
        <w:spacing w:line="240" w:lineRule="auto" w:before="75" w:after="0"/>
        <w:ind w:left="1656" w:right="0" w:hanging="360"/>
        <w:jc w:val="left"/>
      </w:pPr>
      <w:bookmarkStart w:name="_bookmark9" w:id="12"/>
      <w:bookmarkEnd w:id="12"/>
      <w:r>
        <w:rPr>
          <w:b w:val="0"/>
        </w:rPr>
      </w:r>
      <w:bookmarkStart w:name="_bookmark9" w:id="13"/>
      <w:bookmarkEnd w:id="13"/>
      <w:r>
        <w:rPr/>
        <w:t>Le</w:t>
      </w:r>
      <w:r>
        <w:rPr/>
        <w:t> cycle de Krebs et la phosphorylation</w:t>
      </w:r>
      <w:r>
        <w:rPr>
          <w:spacing w:val="-20"/>
        </w:rPr>
        <w:t> </w:t>
      </w:r>
      <w:r>
        <w:rPr/>
        <w:t>oxydative</w:t>
      </w:r>
    </w:p>
    <w:p>
      <w:pPr>
        <w:pStyle w:val="BodyText"/>
        <w:rPr>
          <w:b/>
          <w:sz w:val="30"/>
        </w:rPr>
      </w:pPr>
    </w:p>
    <w:p>
      <w:pPr>
        <w:pStyle w:val="ListParagraph"/>
        <w:numPr>
          <w:ilvl w:val="0"/>
          <w:numId w:val="5"/>
        </w:numPr>
        <w:tabs>
          <w:tab w:pos="1143" w:val="left" w:leader="none"/>
        </w:tabs>
        <w:spacing w:line="240" w:lineRule="auto" w:before="178" w:after="0"/>
        <w:ind w:left="1142" w:right="0" w:hanging="360"/>
        <w:jc w:val="left"/>
        <w:rPr>
          <w:sz w:val="24"/>
        </w:rPr>
      </w:pPr>
      <w:bookmarkStart w:name="_bookmark10" w:id="14"/>
      <w:bookmarkEnd w:id="14"/>
      <w:r>
        <w:rPr/>
      </w:r>
      <w:bookmarkStart w:name="_bookmark10" w:id="15"/>
      <w:bookmarkEnd w:id="15"/>
      <w:r>
        <w:rPr>
          <w:sz w:val="24"/>
          <w:u w:val="single"/>
        </w:rPr>
        <w:t>L</w:t>
      </w:r>
      <w:r>
        <w:rPr>
          <w:sz w:val="24"/>
          <w:u w:val="single"/>
        </w:rPr>
        <w:t>e cycle de</w:t>
      </w:r>
      <w:r>
        <w:rPr>
          <w:spacing w:val="-7"/>
          <w:sz w:val="24"/>
          <w:u w:val="single"/>
        </w:rPr>
        <w:t> </w:t>
      </w:r>
      <w:r>
        <w:rPr>
          <w:sz w:val="24"/>
          <w:u w:val="single"/>
        </w:rPr>
        <w:t>Krebs</w:t>
      </w:r>
    </w:p>
    <w:p>
      <w:pPr>
        <w:pStyle w:val="BodyText"/>
        <w:rPr>
          <w:sz w:val="20"/>
        </w:rPr>
      </w:pPr>
    </w:p>
    <w:p>
      <w:pPr>
        <w:pStyle w:val="BodyText"/>
        <w:spacing w:before="2"/>
        <w:rPr>
          <w:sz w:val="17"/>
        </w:rPr>
      </w:pPr>
    </w:p>
    <w:p>
      <w:pPr>
        <w:pStyle w:val="BodyText"/>
        <w:spacing w:line="276" w:lineRule="auto" w:before="90"/>
        <w:ind w:left="216" w:right="215" w:firstLine="707"/>
        <w:jc w:val="both"/>
      </w:pPr>
      <w:r>
        <w:rPr/>
        <w:t>Le cycle de Krebs, ou cycle de l’acide citrique (citrate), se compose de 8 réactions enzymatiques (Figure 2) qui se déroulent dans la matrice mitochondriale. C’est une voie commune d’oxydation des molécules organiques (sucres, acides aminés, acides gras) qui se rejoignent au travers de l’oxydation de l’acétyl-CoA. Ces réactions du catabolisme (réactions de dégradations moléculaires) oxydatif sont couplées à la réduction de nombreux coenzymes, ensuite exploités dans les réactions de phosphorylations oxydatives au rendement en ATP très important. Certains intermédiaires du cycle de Krebs sont utilisés dans des réactions de l’anabolisme (réactions de synthèses moléculaires) : le cycle de Krebs est un processus amphibolique (Berg et al., 2013b).</w:t>
      </w:r>
    </w:p>
    <w:p>
      <w:pPr>
        <w:pStyle w:val="BodyText"/>
        <w:spacing w:line="271" w:lineRule="auto" w:before="163"/>
        <w:ind w:left="216" w:right="216" w:firstLine="707"/>
        <w:jc w:val="both"/>
      </w:pPr>
      <w:r>
        <w:rPr>
          <w:position w:val="2"/>
        </w:rPr>
        <w:t>Le bilan du cycle de Krebs, à partir du pyruvate, est le suivant (CO</w:t>
      </w:r>
      <w:r>
        <w:rPr>
          <w:sz w:val="16"/>
        </w:rPr>
        <w:t>2 </w:t>
      </w:r>
      <w:r>
        <w:rPr>
          <w:position w:val="2"/>
        </w:rPr>
        <w:t>= molécule de </w:t>
      </w:r>
      <w:r>
        <w:rPr/>
        <w:t>dioxyde de carbone) :</w:t>
      </w:r>
    </w:p>
    <w:p>
      <w:pPr>
        <w:pStyle w:val="BodyText"/>
        <w:spacing w:before="9"/>
        <w:rPr>
          <w:sz w:val="11"/>
        </w:rPr>
      </w:pPr>
      <w:r>
        <w:rPr/>
        <w:pict>
          <v:shape style="position:absolute;margin-left:65.183998pt;margin-top:9.006616pt;width:465pt;height:18.4pt;mso-position-horizontal-relative:page;mso-position-vertical-relative:paragraph;z-index:1192;mso-wrap-distance-left:0;mso-wrap-distance-right:0" type="#_x0000_t202" filled="false" stroked="true" strokeweight=".47998pt" strokecolor="#000000">
            <v:textbox inset="0,0,0,0">
              <w:txbxContent>
                <w:p>
                  <w:pPr>
                    <w:pStyle w:val="BodyText"/>
                    <w:spacing w:line="291" w:lineRule="exact"/>
                    <w:ind w:left="108"/>
                  </w:pPr>
                  <w:r>
                    <w:rPr>
                      <w:position w:val="2"/>
                    </w:rPr>
                    <w:t>1 Acétyl-CoA + 3 NAD</w:t>
                  </w:r>
                  <w:r>
                    <w:rPr>
                      <w:position w:val="11"/>
                      <w:sz w:val="16"/>
                    </w:rPr>
                    <w:t>+ </w:t>
                  </w:r>
                  <w:r>
                    <w:rPr>
                      <w:position w:val="2"/>
                    </w:rPr>
                    <w:t>+ FAD + GDP + Pi + 3H</w:t>
                  </w:r>
                  <w:r>
                    <w:rPr>
                      <w:sz w:val="16"/>
                    </w:rPr>
                    <w:t>2</w:t>
                  </w:r>
                  <w:r>
                    <w:rPr>
                      <w:position w:val="2"/>
                    </w:rPr>
                    <w:t>O </w:t>
                  </w:r>
                  <w:r>
                    <w:rPr>
                      <w:rFonts w:ascii="Wingdings" w:hAnsi="Wingdings"/>
                      <w:position w:val="2"/>
                    </w:rPr>
                    <w:t></w:t>
                  </w:r>
                  <w:r>
                    <w:rPr>
                      <w:position w:val="2"/>
                    </w:rPr>
                    <w:t> 3 CO</w:t>
                  </w:r>
                  <w:r>
                    <w:rPr>
                      <w:sz w:val="16"/>
                    </w:rPr>
                    <w:t>2 </w:t>
                  </w:r>
                  <w:r>
                    <w:rPr>
                      <w:position w:val="2"/>
                    </w:rPr>
                    <w:t>+ 3 NADH,H</w:t>
                  </w:r>
                  <w:r>
                    <w:rPr>
                      <w:position w:val="11"/>
                      <w:sz w:val="16"/>
                    </w:rPr>
                    <w:t>+ </w:t>
                  </w:r>
                  <w:r>
                    <w:rPr>
                      <w:position w:val="2"/>
                    </w:rPr>
                    <w:t>+ FADH</w:t>
                  </w:r>
                  <w:r>
                    <w:rPr>
                      <w:sz w:val="16"/>
                    </w:rPr>
                    <w:t>2 </w:t>
                  </w:r>
                  <w:r>
                    <w:rPr>
                      <w:position w:val="2"/>
                    </w:rPr>
                    <w:t>+ GTP</w:t>
                  </w:r>
                </w:p>
              </w:txbxContent>
            </v:textbox>
            <v:stroke dashstyle="solid"/>
            <w10:wrap type="topAndBottom"/>
          </v:shape>
        </w:pict>
      </w:r>
      <w:r>
        <w:rPr/>
        <w:drawing>
          <wp:anchor distT="0" distB="0" distL="0" distR="0" allowOverlap="1" layoutInCell="1" locked="0" behindDoc="0" simplePos="0" relativeHeight="1216">
            <wp:simplePos x="0" y="0"/>
            <wp:positionH relativeFrom="page">
              <wp:posOffset>1708530</wp:posOffset>
            </wp:positionH>
            <wp:positionV relativeFrom="paragraph">
              <wp:posOffset>452077</wp:posOffset>
            </wp:positionV>
            <wp:extent cx="4158491" cy="3279933"/>
            <wp:effectExtent l="0" t="0" r="0" b="0"/>
            <wp:wrapTopAndBottom/>
            <wp:docPr id="15" name="image6.jpeg" descr=""/>
            <wp:cNvGraphicFramePr>
              <a:graphicFrameLocks noChangeAspect="1"/>
            </wp:cNvGraphicFramePr>
            <a:graphic>
              <a:graphicData uri="http://schemas.openxmlformats.org/drawingml/2006/picture">
                <pic:pic>
                  <pic:nvPicPr>
                    <pic:cNvPr id="16" name="image6.jpeg"/>
                    <pic:cNvPicPr/>
                  </pic:nvPicPr>
                  <pic:blipFill>
                    <a:blip r:embed="rId12" cstate="print"/>
                    <a:stretch>
                      <a:fillRect/>
                    </a:stretch>
                  </pic:blipFill>
                  <pic:spPr>
                    <a:xfrm>
                      <a:off x="0" y="0"/>
                      <a:ext cx="4158491" cy="3279933"/>
                    </a:xfrm>
                    <a:prstGeom prst="rect">
                      <a:avLst/>
                    </a:prstGeom>
                  </pic:spPr>
                </pic:pic>
              </a:graphicData>
            </a:graphic>
          </wp:anchor>
        </w:drawing>
      </w:r>
    </w:p>
    <w:p>
      <w:pPr>
        <w:pStyle w:val="BodyText"/>
        <w:spacing w:before="11"/>
        <w:rPr>
          <w:sz w:val="7"/>
        </w:rPr>
      </w:pPr>
    </w:p>
    <w:p>
      <w:pPr>
        <w:pStyle w:val="BodyText"/>
        <w:spacing w:before="3"/>
        <w:rPr>
          <w:sz w:val="6"/>
        </w:rPr>
      </w:pPr>
    </w:p>
    <w:p>
      <w:pPr>
        <w:spacing w:before="92"/>
        <w:ind w:left="235" w:right="236" w:firstLine="0"/>
        <w:jc w:val="center"/>
        <w:rPr>
          <w:i/>
          <w:sz w:val="18"/>
        </w:rPr>
      </w:pPr>
      <w:bookmarkStart w:name="_bookmark11" w:id="16"/>
      <w:bookmarkEnd w:id="16"/>
      <w:r>
        <w:rPr/>
      </w:r>
      <w:r>
        <w:rPr>
          <w:i/>
          <w:color w:val="44536A"/>
          <w:sz w:val="18"/>
        </w:rPr>
        <w:t>Figure 2 : Le cycle de Krebs et les enzymes impliquées.</w:t>
      </w:r>
    </w:p>
    <w:p>
      <w:pPr>
        <w:pStyle w:val="BodyText"/>
        <w:spacing w:before="11"/>
        <w:rPr>
          <w:i/>
          <w:sz w:val="18"/>
        </w:rPr>
      </w:pPr>
    </w:p>
    <w:p>
      <w:pPr>
        <w:spacing w:line="273" w:lineRule="auto" w:before="0"/>
        <w:ind w:left="236" w:right="236" w:firstLine="0"/>
        <w:jc w:val="center"/>
        <w:rPr>
          <w:i/>
          <w:sz w:val="18"/>
        </w:rPr>
      </w:pPr>
      <w:r>
        <w:rPr>
          <w:i/>
          <w:color w:val="44536A"/>
          <w:sz w:val="18"/>
        </w:rPr>
        <w:t>OAA = OxAloAcétate, </w:t>
      </w:r>
      <w:r>
        <w:rPr>
          <w:rFonts w:ascii="Symbol" w:hAnsi="Symbol"/>
          <w:i/>
          <w:color w:val="44536A"/>
          <w:sz w:val="19"/>
        </w:rPr>
        <w:t></w:t>
      </w:r>
      <w:r>
        <w:rPr>
          <w:i/>
          <w:color w:val="44536A"/>
          <w:sz w:val="18"/>
        </w:rPr>
        <w:t>-KGDH = </w:t>
      </w:r>
      <w:r>
        <w:rPr>
          <w:rFonts w:ascii="Symbol" w:hAnsi="Symbol"/>
          <w:i/>
          <w:color w:val="44536A"/>
          <w:sz w:val="19"/>
        </w:rPr>
        <w:t></w:t>
      </w:r>
      <w:r>
        <w:rPr>
          <w:i/>
          <w:color w:val="44536A"/>
          <w:sz w:val="18"/>
        </w:rPr>
        <w:t>-CétoGlutarate DésHydrogénase, GTP = Guanosine Tri Phosphate, GDP = Guanosine </w:t>
      </w:r>
      <w:r>
        <w:rPr>
          <w:i/>
          <w:color w:val="44536A"/>
          <w:sz w:val="18"/>
        </w:rPr>
        <w:t>Di Phosphate, Pi = Phoshate Inorganique, IDH = Isocitrate DésHydrogénase</w:t>
      </w:r>
    </w:p>
    <w:p>
      <w:pPr>
        <w:spacing w:after="0" w:line="273" w:lineRule="auto"/>
        <w:jc w:val="center"/>
        <w:rPr>
          <w:sz w:val="18"/>
        </w:rPr>
        <w:sectPr>
          <w:pgSz w:w="11910" w:h="16840"/>
          <w:pgMar w:header="0" w:footer="995" w:top="1320" w:bottom="1240" w:left="1200" w:right="1200"/>
        </w:sectPr>
      </w:pPr>
    </w:p>
    <w:p>
      <w:pPr>
        <w:pStyle w:val="ListParagraph"/>
        <w:numPr>
          <w:ilvl w:val="0"/>
          <w:numId w:val="5"/>
        </w:numPr>
        <w:tabs>
          <w:tab w:pos="1043" w:val="left" w:leader="none"/>
        </w:tabs>
        <w:spacing w:line="240" w:lineRule="auto" w:before="72" w:after="0"/>
        <w:ind w:left="1042" w:right="0" w:hanging="360"/>
        <w:jc w:val="left"/>
        <w:rPr>
          <w:sz w:val="24"/>
        </w:rPr>
      </w:pPr>
      <w:bookmarkStart w:name="_bookmark12" w:id="17"/>
      <w:bookmarkEnd w:id="17"/>
      <w:r>
        <w:rPr/>
      </w:r>
      <w:bookmarkStart w:name="_bookmark12" w:id="18"/>
      <w:bookmarkEnd w:id="18"/>
      <w:r>
        <w:rPr>
          <w:sz w:val="24"/>
          <w:u w:val="single"/>
        </w:rPr>
        <w:t>L</w:t>
      </w:r>
      <w:r>
        <w:rPr>
          <w:sz w:val="24"/>
          <w:u w:val="single"/>
        </w:rPr>
        <w:t>a phosphorylation oxydative</w:t>
      </w:r>
      <w:r>
        <w:rPr>
          <w:spacing w:val="-8"/>
          <w:sz w:val="24"/>
          <w:u w:val="single"/>
        </w:rPr>
        <w:t> </w:t>
      </w:r>
      <w:r>
        <w:rPr>
          <w:sz w:val="24"/>
          <w:u w:val="single"/>
        </w:rPr>
        <w:t>(OxPhos)</w:t>
      </w:r>
    </w:p>
    <w:p>
      <w:pPr>
        <w:pStyle w:val="BodyText"/>
        <w:rPr>
          <w:sz w:val="20"/>
        </w:rPr>
      </w:pPr>
    </w:p>
    <w:p>
      <w:pPr>
        <w:pStyle w:val="BodyText"/>
        <w:spacing w:before="7"/>
        <w:rPr>
          <w:sz w:val="15"/>
        </w:rPr>
      </w:pPr>
    </w:p>
    <w:p>
      <w:pPr>
        <w:pStyle w:val="BodyText"/>
        <w:spacing w:line="276" w:lineRule="auto" w:before="95"/>
        <w:ind w:left="116" w:right="674" w:firstLine="707"/>
        <w:jc w:val="both"/>
      </w:pPr>
      <w:r>
        <w:rPr>
          <w:position w:val="2"/>
        </w:rPr>
        <w:t>Les coenzymes réduits NADH,H</w:t>
      </w:r>
      <w:r>
        <w:rPr>
          <w:position w:val="11"/>
          <w:sz w:val="16"/>
        </w:rPr>
        <w:t>+ </w:t>
      </w:r>
      <w:r>
        <w:rPr>
          <w:position w:val="2"/>
        </w:rPr>
        <w:t>et FADH</w:t>
      </w:r>
      <w:r>
        <w:rPr>
          <w:sz w:val="16"/>
        </w:rPr>
        <w:t>2 </w:t>
      </w:r>
      <w:r>
        <w:rPr>
          <w:position w:val="2"/>
        </w:rPr>
        <w:t>issus du cycle de Krebs sont capables de </w:t>
      </w:r>
      <w:r>
        <w:rPr/>
        <w:t>céder leurs électrons aux complexes transporteurs d’électrons présents dans la membrane mitochondriale</w:t>
      </w:r>
      <w:r>
        <w:rPr>
          <w:spacing w:val="-8"/>
        </w:rPr>
        <w:t> </w:t>
      </w:r>
      <w:r>
        <w:rPr/>
        <w:t>interne.</w:t>
      </w:r>
      <w:r>
        <w:rPr>
          <w:spacing w:val="-4"/>
        </w:rPr>
        <w:t> </w:t>
      </w:r>
      <w:r>
        <w:rPr/>
        <w:t>Le</w:t>
      </w:r>
      <w:r>
        <w:rPr>
          <w:spacing w:val="-8"/>
        </w:rPr>
        <w:t> </w:t>
      </w:r>
      <w:r>
        <w:rPr/>
        <w:t>transfert</w:t>
      </w:r>
      <w:r>
        <w:rPr>
          <w:spacing w:val="-8"/>
        </w:rPr>
        <w:t> </w:t>
      </w:r>
      <w:r>
        <w:rPr/>
        <w:t>d’électrons</w:t>
      </w:r>
      <w:r>
        <w:rPr>
          <w:spacing w:val="-7"/>
        </w:rPr>
        <w:t> </w:t>
      </w:r>
      <w:r>
        <w:rPr/>
        <w:t>est</w:t>
      </w:r>
      <w:r>
        <w:rPr>
          <w:spacing w:val="-4"/>
        </w:rPr>
        <w:t> </w:t>
      </w:r>
      <w:r>
        <w:rPr/>
        <w:t>couplé</w:t>
      </w:r>
      <w:r>
        <w:rPr>
          <w:spacing w:val="-8"/>
        </w:rPr>
        <w:t> </w:t>
      </w:r>
      <w:r>
        <w:rPr/>
        <w:t>à</w:t>
      </w:r>
      <w:r>
        <w:rPr>
          <w:spacing w:val="-8"/>
        </w:rPr>
        <w:t> </w:t>
      </w:r>
      <w:r>
        <w:rPr/>
        <w:t>un</w:t>
      </w:r>
      <w:r>
        <w:rPr>
          <w:spacing w:val="-7"/>
        </w:rPr>
        <w:t> </w:t>
      </w:r>
      <w:r>
        <w:rPr/>
        <w:t>pompage</w:t>
      </w:r>
      <w:r>
        <w:rPr>
          <w:spacing w:val="-8"/>
        </w:rPr>
        <w:t> </w:t>
      </w:r>
      <w:r>
        <w:rPr/>
        <w:t>de</w:t>
      </w:r>
      <w:r>
        <w:rPr>
          <w:spacing w:val="-6"/>
        </w:rPr>
        <w:t> </w:t>
      </w:r>
      <w:r>
        <w:rPr/>
        <w:t>protons</w:t>
      </w:r>
      <w:r>
        <w:rPr>
          <w:spacing w:val="-7"/>
        </w:rPr>
        <w:t> </w:t>
      </w:r>
      <w:r>
        <w:rPr/>
        <w:t>à</w:t>
      </w:r>
      <w:r>
        <w:rPr>
          <w:spacing w:val="-8"/>
        </w:rPr>
        <w:t> </w:t>
      </w:r>
      <w:r>
        <w:rPr/>
        <w:t>travers</w:t>
      </w:r>
      <w:r>
        <w:rPr>
          <w:spacing w:val="-8"/>
        </w:rPr>
        <w:t> </w:t>
      </w:r>
      <w:r>
        <w:rPr/>
        <w:t>la membrane</w:t>
      </w:r>
      <w:r>
        <w:rPr>
          <w:spacing w:val="-15"/>
        </w:rPr>
        <w:t> </w:t>
      </w:r>
      <w:r>
        <w:rPr/>
        <w:t>interne</w:t>
      </w:r>
      <w:r>
        <w:rPr>
          <w:spacing w:val="-15"/>
        </w:rPr>
        <w:t> </w:t>
      </w:r>
      <w:r>
        <w:rPr/>
        <w:t>(</w:t>
      </w:r>
      <w:r>
        <w:rPr>
          <w:i/>
        </w:rPr>
        <w:t>via</w:t>
      </w:r>
      <w:r>
        <w:rPr>
          <w:i/>
          <w:spacing w:val="-14"/>
        </w:rPr>
        <w:t> </w:t>
      </w:r>
      <w:r>
        <w:rPr/>
        <w:t>les</w:t>
      </w:r>
      <w:r>
        <w:rPr>
          <w:spacing w:val="-14"/>
        </w:rPr>
        <w:t> </w:t>
      </w:r>
      <w:r>
        <w:rPr/>
        <w:t>complexes</w:t>
      </w:r>
      <w:r>
        <w:rPr>
          <w:spacing w:val="-12"/>
        </w:rPr>
        <w:t> </w:t>
      </w:r>
      <w:r>
        <w:rPr>
          <w:spacing w:val="-3"/>
        </w:rPr>
        <w:t>I,</w:t>
      </w:r>
      <w:r>
        <w:rPr>
          <w:spacing w:val="-12"/>
        </w:rPr>
        <w:t> </w:t>
      </w:r>
      <w:r>
        <w:rPr/>
        <w:t>III</w:t>
      </w:r>
      <w:r>
        <w:rPr>
          <w:spacing w:val="-15"/>
        </w:rPr>
        <w:t> </w:t>
      </w:r>
      <w:r>
        <w:rPr/>
        <w:t>et</w:t>
      </w:r>
      <w:r>
        <w:rPr>
          <w:spacing w:val="-12"/>
        </w:rPr>
        <w:t> </w:t>
      </w:r>
      <w:r>
        <w:rPr/>
        <w:t>IV),</w:t>
      </w:r>
      <w:r>
        <w:rPr>
          <w:spacing w:val="-12"/>
        </w:rPr>
        <w:t> </w:t>
      </w:r>
      <w:r>
        <w:rPr/>
        <w:t>qui,</w:t>
      </w:r>
      <w:r>
        <w:rPr>
          <w:spacing w:val="-14"/>
        </w:rPr>
        <w:t> </w:t>
      </w:r>
      <w:r>
        <w:rPr/>
        <w:t>elle,</w:t>
      </w:r>
      <w:r>
        <w:rPr>
          <w:spacing w:val="-14"/>
        </w:rPr>
        <w:t> </w:t>
      </w:r>
      <w:r>
        <w:rPr/>
        <w:t>est</w:t>
      </w:r>
      <w:r>
        <w:rPr>
          <w:spacing w:val="-14"/>
        </w:rPr>
        <w:t> </w:t>
      </w:r>
      <w:r>
        <w:rPr/>
        <w:t>imperméable</w:t>
      </w:r>
      <w:r>
        <w:rPr>
          <w:spacing w:val="-13"/>
        </w:rPr>
        <w:t> </w:t>
      </w:r>
      <w:r>
        <w:rPr/>
        <w:t>aux</w:t>
      </w:r>
      <w:r>
        <w:rPr>
          <w:spacing w:val="-12"/>
        </w:rPr>
        <w:t> </w:t>
      </w:r>
      <w:r>
        <w:rPr/>
        <w:t>protons</w:t>
      </w:r>
      <w:r>
        <w:rPr>
          <w:spacing w:val="-13"/>
        </w:rPr>
        <w:t> </w:t>
      </w:r>
      <w:r>
        <w:rPr/>
        <w:t>(Figure 3). Le gradient de protons mis en place de part et d’autre de la membrane interne oriente le retour des protons vers la matrice mitochondriale à travers le complexe ATP synthase </w:t>
      </w:r>
      <w:r>
        <w:rPr>
          <w:position w:val="2"/>
        </w:rPr>
        <w:t>(complexe V). L’ATP synthase, composée des sous unités F</w:t>
      </w:r>
      <w:r>
        <w:rPr>
          <w:sz w:val="16"/>
        </w:rPr>
        <w:t>0 </w:t>
      </w:r>
      <w:r>
        <w:rPr>
          <w:position w:val="2"/>
        </w:rPr>
        <w:t>et F</w:t>
      </w:r>
      <w:r>
        <w:rPr>
          <w:sz w:val="16"/>
        </w:rPr>
        <w:t>1</w:t>
      </w:r>
      <w:r>
        <w:rPr>
          <w:position w:val="2"/>
        </w:rPr>
        <w:t>, produit de l’ATP suite à la condensation d’ADP et de phosphate inorganique (Pi). L’O</w:t>
      </w:r>
      <w:r>
        <w:rPr>
          <w:sz w:val="16"/>
        </w:rPr>
        <w:t>2 </w:t>
      </w:r>
      <w:r>
        <w:rPr>
          <w:position w:val="2"/>
        </w:rPr>
        <w:t>est l’accepteur final des électrons cédés par les coenzymes réduits, et l’H</w:t>
      </w:r>
      <w:r>
        <w:rPr>
          <w:sz w:val="16"/>
        </w:rPr>
        <w:t>2</w:t>
      </w:r>
      <w:r>
        <w:rPr>
          <w:position w:val="2"/>
        </w:rPr>
        <w:t>O (molécule d’eau) est le produit final. L’efficacité de </w:t>
      </w:r>
      <w:r>
        <w:rPr/>
        <w:t>ce processus dépend fortement de la composition lipidique de la membrane mitochondriale interne, dont la cardiolipine, qui en est un composant</w:t>
      </w:r>
      <w:r>
        <w:rPr>
          <w:spacing w:val="-8"/>
        </w:rPr>
        <w:t> </w:t>
      </w:r>
      <w:r>
        <w:rPr/>
        <w:t>majoritaire.</w:t>
      </w:r>
    </w:p>
    <w:p>
      <w:pPr>
        <w:pStyle w:val="BodyText"/>
        <w:spacing w:line="271" w:lineRule="auto" w:before="149"/>
        <w:ind w:left="116" w:right="674" w:firstLine="707"/>
        <w:jc w:val="both"/>
      </w:pPr>
      <w:r>
        <w:rPr/>
        <w:t>En</w:t>
      </w:r>
      <w:r>
        <w:rPr>
          <w:spacing w:val="-16"/>
        </w:rPr>
        <w:t> </w:t>
      </w:r>
      <w:r>
        <w:rPr/>
        <w:t>termes</w:t>
      </w:r>
      <w:r>
        <w:rPr>
          <w:spacing w:val="-16"/>
        </w:rPr>
        <w:t> </w:t>
      </w:r>
      <w:r>
        <w:rPr/>
        <w:t>de</w:t>
      </w:r>
      <w:r>
        <w:rPr>
          <w:spacing w:val="-17"/>
        </w:rPr>
        <w:t> </w:t>
      </w:r>
      <w:r>
        <w:rPr/>
        <w:t>bilan</w:t>
      </w:r>
      <w:r>
        <w:rPr>
          <w:spacing w:val="-13"/>
        </w:rPr>
        <w:t> </w:t>
      </w:r>
      <w:r>
        <w:rPr/>
        <w:t>énergétique,</w:t>
      </w:r>
      <w:r>
        <w:rPr>
          <w:spacing w:val="-16"/>
        </w:rPr>
        <w:t> </w:t>
      </w:r>
      <w:r>
        <w:rPr/>
        <w:t>l’oxydation</w:t>
      </w:r>
      <w:r>
        <w:rPr>
          <w:spacing w:val="-15"/>
        </w:rPr>
        <w:t> </w:t>
      </w:r>
      <w:r>
        <w:rPr/>
        <w:t>d’1</w:t>
      </w:r>
      <w:r>
        <w:rPr>
          <w:spacing w:val="-14"/>
        </w:rPr>
        <w:t> </w:t>
      </w:r>
      <w:r>
        <w:rPr/>
        <w:t>NADH,H</w:t>
      </w:r>
      <w:r>
        <w:rPr>
          <w:position w:val="9"/>
          <w:sz w:val="16"/>
        </w:rPr>
        <w:t>+</w:t>
      </w:r>
      <w:r>
        <w:rPr>
          <w:spacing w:val="5"/>
          <w:position w:val="9"/>
          <w:sz w:val="16"/>
        </w:rPr>
        <w:t> </w:t>
      </w:r>
      <w:r>
        <w:rPr/>
        <w:t>permet</w:t>
      </w:r>
      <w:r>
        <w:rPr>
          <w:spacing w:val="-13"/>
        </w:rPr>
        <w:t> </w:t>
      </w:r>
      <w:r>
        <w:rPr/>
        <w:t>la</w:t>
      </w:r>
      <w:r>
        <w:rPr>
          <w:spacing w:val="-16"/>
        </w:rPr>
        <w:t> </w:t>
      </w:r>
      <w:r>
        <w:rPr/>
        <w:t>synthèse</w:t>
      </w:r>
      <w:r>
        <w:rPr>
          <w:spacing w:val="-17"/>
        </w:rPr>
        <w:t> </w:t>
      </w:r>
      <w:r>
        <w:rPr/>
        <w:t>de</w:t>
      </w:r>
      <w:r>
        <w:rPr>
          <w:spacing w:val="-17"/>
        </w:rPr>
        <w:t> </w:t>
      </w:r>
      <w:r>
        <w:rPr/>
        <w:t>3</w:t>
      </w:r>
      <w:r>
        <w:rPr>
          <w:spacing w:val="-14"/>
        </w:rPr>
        <w:t> </w:t>
      </w:r>
      <w:r>
        <w:rPr/>
        <w:t>ATP, </w:t>
      </w:r>
      <w:r>
        <w:rPr>
          <w:position w:val="2"/>
        </w:rPr>
        <w:t>et celle d’1 FADH</w:t>
      </w:r>
      <w:r>
        <w:rPr>
          <w:sz w:val="16"/>
        </w:rPr>
        <w:t>2 </w:t>
      </w:r>
      <w:r>
        <w:rPr>
          <w:position w:val="2"/>
        </w:rPr>
        <w:t>de 2 ATP. Au terme des réactions exposées, l’oxydation complète du </w:t>
      </w:r>
      <w:r>
        <w:rPr/>
        <w:t>glucose conduit à la formation de 36 ou 38 ATP (Berg et al., 2013c). Ces chiffres varient en fonction de la navette empruntée pour l’oxydation du NADH,H</w:t>
      </w:r>
      <w:r>
        <w:rPr>
          <w:position w:val="9"/>
          <w:sz w:val="16"/>
        </w:rPr>
        <w:t>+ </w:t>
      </w:r>
      <w:r>
        <w:rPr/>
        <w:t>issu de la glycolyse, comme nous allons l’expliquer par la</w:t>
      </w:r>
      <w:r>
        <w:rPr>
          <w:spacing w:val="-8"/>
        </w:rPr>
        <w:t> </w:t>
      </w:r>
      <w:r>
        <w:rPr/>
        <w:t>suite.</w:t>
      </w:r>
    </w:p>
    <w:p>
      <w:pPr>
        <w:pStyle w:val="BodyText"/>
        <w:spacing w:before="8"/>
        <w:rPr>
          <w:sz w:val="11"/>
        </w:rPr>
      </w:pPr>
      <w:r>
        <w:rPr/>
        <w:drawing>
          <wp:anchor distT="0" distB="0" distL="0" distR="0" allowOverlap="1" layoutInCell="1" locked="0" behindDoc="0" simplePos="0" relativeHeight="1240">
            <wp:simplePos x="0" y="0"/>
            <wp:positionH relativeFrom="page">
              <wp:posOffset>1259205</wp:posOffset>
            </wp:positionH>
            <wp:positionV relativeFrom="paragraph">
              <wp:posOffset>110615</wp:posOffset>
            </wp:positionV>
            <wp:extent cx="5769801" cy="2682906"/>
            <wp:effectExtent l="0" t="0" r="0" b="0"/>
            <wp:wrapTopAndBottom/>
            <wp:docPr id="17" name="image7.png" descr=""/>
            <wp:cNvGraphicFramePr>
              <a:graphicFrameLocks noChangeAspect="1"/>
            </wp:cNvGraphicFramePr>
            <a:graphic>
              <a:graphicData uri="http://schemas.openxmlformats.org/drawingml/2006/picture">
                <pic:pic>
                  <pic:nvPicPr>
                    <pic:cNvPr id="18" name="image7.png"/>
                    <pic:cNvPicPr/>
                  </pic:nvPicPr>
                  <pic:blipFill>
                    <a:blip r:embed="rId13" cstate="print"/>
                    <a:stretch>
                      <a:fillRect/>
                    </a:stretch>
                  </pic:blipFill>
                  <pic:spPr>
                    <a:xfrm>
                      <a:off x="0" y="0"/>
                      <a:ext cx="5769801" cy="2682906"/>
                    </a:xfrm>
                    <a:prstGeom prst="rect">
                      <a:avLst/>
                    </a:prstGeom>
                  </pic:spPr>
                </pic:pic>
              </a:graphicData>
            </a:graphic>
          </wp:anchor>
        </w:drawing>
      </w:r>
    </w:p>
    <w:p>
      <w:pPr>
        <w:spacing w:line="508" w:lineRule="auto" w:before="173"/>
        <w:ind w:left="3863" w:right="2860" w:hanging="1551"/>
        <w:jc w:val="left"/>
        <w:rPr>
          <w:i/>
          <w:sz w:val="18"/>
        </w:rPr>
      </w:pPr>
      <w:bookmarkStart w:name="_bookmark13" w:id="19"/>
      <w:bookmarkEnd w:id="19"/>
      <w:r>
        <w:rPr/>
      </w:r>
      <w:r>
        <w:rPr>
          <w:i/>
          <w:color w:val="44536A"/>
          <w:sz w:val="18"/>
        </w:rPr>
        <w:t>Figure 3 : Les phosphorylations oxydatives et la synthèse d'ATP. </w:t>
      </w:r>
      <w:r>
        <w:rPr>
          <w:i/>
          <w:color w:val="44536A"/>
          <w:sz w:val="18"/>
        </w:rPr>
        <w:t>D’après Lincet, 2013.</w:t>
      </w:r>
    </w:p>
    <w:p>
      <w:pPr>
        <w:pStyle w:val="BodyText"/>
        <w:spacing w:line="273" w:lineRule="auto" w:before="5"/>
        <w:ind w:left="116" w:right="675" w:firstLine="707"/>
        <w:jc w:val="both"/>
      </w:pPr>
      <w:r>
        <w:rPr/>
        <w:t>Il est intéressant de noter que le complexe II correspond à l’enzyme succinate déshydrogénase, qui intervient également dans le cycle de Krebs (Figure 2).</w:t>
      </w:r>
    </w:p>
    <w:p>
      <w:pPr>
        <w:spacing w:after="0" w:line="273" w:lineRule="auto"/>
        <w:jc w:val="both"/>
        <w:sectPr>
          <w:pgSz w:w="11910" w:h="16840"/>
          <w:pgMar w:header="0" w:footer="995" w:top="1320" w:bottom="1240" w:left="1300" w:right="740"/>
        </w:sectPr>
      </w:pPr>
    </w:p>
    <w:p>
      <w:pPr>
        <w:pStyle w:val="Heading3"/>
        <w:numPr>
          <w:ilvl w:val="1"/>
          <w:numId w:val="4"/>
        </w:numPr>
        <w:tabs>
          <w:tab w:pos="1197" w:val="left" w:leader="none"/>
        </w:tabs>
        <w:spacing w:line="240" w:lineRule="auto" w:before="75" w:after="0"/>
        <w:ind w:left="1196" w:right="0" w:hanging="360"/>
        <w:jc w:val="left"/>
      </w:pPr>
      <w:bookmarkStart w:name="_bookmark14" w:id="20"/>
      <w:bookmarkEnd w:id="20"/>
      <w:r>
        <w:rPr>
          <w:b w:val="0"/>
        </w:rPr>
      </w:r>
      <w:bookmarkStart w:name="_bookmark14" w:id="21"/>
      <w:bookmarkEnd w:id="21"/>
      <w:r>
        <w:rPr/>
        <w:t>Les</w:t>
      </w:r>
      <w:r>
        <w:rPr/>
        <w:t> navettes glycérol-phosphate et</w:t>
      </w:r>
      <w:r>
        <w:rPr>
          <w:spacing w:val="-16"/>
        </w:rPr>
        <w:t> </w:t>
      </w:r>
      <w:r>
        <w:rPr/>
        <w:t>malate-aspartate</w:t>
      </w:r>
    </w:p>
    <w:p>
      <w:pPr>
        <w:pStyle w:val="BodyText"/>
        <w:rPr>
          <w:b/>
          <w:sz w:val="30"/>
        </w:rPr>
      </w:pPr>
    </w:p>
    <w:p>
      <w:pPr>
        <w:pStyle w:val="BodyText"/>
        <w:spacing w:line="271" w:lineRule="auto" w:before="178"/>
        <w:ind w:left="116" w:right="118" w:firstLine="707"/>
        <w:jc w:val="both"/>
      </w:pPr>
      <w:r>
        <w:rPr/>
        <w:t>La compartimentation cellulaire implique nécessairement des échanges entre cytoplasme et mitochondrie, dont la mitochondrie est dépendante. Le transfert du pouvoir réducteur du NADH,H</w:t>
      </w:r>
      <w:r>
        <w:rPr>
          <w:position w:val="9"/>
          <w:sz w:val="16"/>
        </w:rPr>
        <w:t>+ </w:t>
      </w:r>
      <w:r>
        <w:rPr/>
        <w:t>issu de la glycolyse, pour qui la membrane mitochondriale est imperméable, peut se faire selon deux mécanismes différents (Berg et al., 2013c).</w:t>
      </w:r>
    </w:p>
    <w:p>
      <w:pPr>
        <w:pStyle w:val="ListParagraph"/>
        <w:numPr>
          <w:ilvl w:val="0"/>
          <w:numId w:val="6"/>
        </w:numPr>
        <w:tabs>
          <w:tab w:pos="477" w:val="left" w:leader="none"/>
        </w:tabs>
        <w:spacing w:line="271" w:lineRule="auto" w:before="168" w:after="0"/>
        <w:ind w:left="476" w:right="113" w:hanging="360"/>
        <w:jc w:val="both"/>
        <w:rPr>
          <w:sz w:val="24"/>
        </w:rPr>
      </w:pPr>
      <w:r>
        <w:rPr>
          <w:sz w:val="24"/>
          <w:u w:val="single"/>
        </w:rPr>
        <w:t>La navette glycérol-phosphate</w:t>
      </w:r>
      <w:r>
        <w:rPr>
          <w:sz w:val="24"/>
        </w:rPr>
        <w:t>, retrouvée principalement dans les cellules</w:t>
      </w:r>
      <w:r>
        <w:rPr>
          <w:spacing w:val="-28"/>
          <w:sz w:val="24"/>
        </w:rPr>
        <w:t> </w:t>
      </w:r>
      <w:r>
        <w:rPr>
          <w:sz w:val="24"/>
        </w:rPr>
        <w:t>squelettiques et les cellules nerveuses. Elle transfère le pouvoir réducteur du NADH,H</w:t>
      </w:r>
      <w:r>
        <w:rPr>
          <w:position w:val="9"/>
          <w:sz w:val="16"/>
        </w:rPr>
        <w:t>+</w:t>
      </w:r>
      <w:r>
        <w:rPr>
          <w:sz w:val="24"/>
        </w:rPr>
        <w:t>, par l’intermédiaire du glycérol-phosphate, issu de la réduction du dihydroxyacétone phosphate (DHAP) cytosolique. Une glycérol-phosphate déshydrogénase cytosolique (GDHc) assure la réduction du DHAP cytosolique en glycérol phosphate, réaction couplée à l’oxydation du NADH,H</w:t>
      </w:r>
      <w:r>
        <w:rPr>
          <w:position w:val="9"/>
          <w:sz w:val="16"/>
        </w:rPr>
        <w:t>+ </w:t>
      </w:r>
      <w:r>
        <w:rPr>
          <w:sz w:val="24"/>
        </w:rPr>
        <w:t>(Figure 4). Une glycérol-phosphate déshydrogénase</w:t>
      </w:r>
      <w:r>
        <w:rPr>
          <w:spacing w:val="-10"/>
          <w:sz w:val="24"/>
        </w:rPr>
        <w:t> </w:t>
      </w:r>
      <w:r>
        <w:rPr>
          <w:sz w:val="24"/>
        </w:rPr>
        <w:t>mitochondriale</w:t>
      </w:r>
      <w:r>
        <w:rPr>
          <w:spacing w:val="-7"/>
          <w:sz w:val="24"/>
        </w:rPr>
        <w:t> </w:t>
      </w:r>
      <w:r>
        <w:rPr>
          <w:sz w:val="24"/>
        </w:rPr>
        <w:t>(GDHm)</w:t>
      </w:r>
      <w:r>
        <w:rPr>
          <w:spacing w:val="-9"/>
          <w:sz w:val="24"/>
        </w:rPr>
        <w:t> </w:t>
      </w:r>
      <w:r>
        <w:rPr>
          <w:sz w:val="24"/>
        </w:rPr>
        <w:t>(située</w:t>
      </w:r>
      <w:r>
        <w:rPr>
          <w:spacing w:val="-10"/>
          <w:sz w:val="24"/>
        </w:rPr>
        <w:t> </w:t>
      </w:r>
      <w:r>
        <w:rPr>
          <w:sz w:val="24"/>
        </w:rPr>
        <w:t>sur</w:t>
      </w:r>
      <w:r>
        <w:rPr>
          <w:spacing w:val="-9"/>
          <w:sz w:val="24"/>
        </w:rPr>
        <w:t> </w:t>
      </w:r>
      <w:r>
        <w:rPr>
          <w:sz w:val="24"/>
        </w:rPr>
        <w:t>la</w:t>
      </w:r>
      <w:r>
        <w:rPr>
          <w:spacing w:val="-9"/>
          <w:sz w:val="24"/>
        </w:rPr>
        <w:t> </w:t>
      </w:r>
      <w:r>
        <w:rPr>
          <w:sz w:val="24"/>
        </w:rPr>
        <w:t>face</w:t>
      </w:r>
      <w:r>
        <w:rPr>
          <w:spacing w:val="-10"/>
          <w:sz w:val="24"/>
        </w:rPr>
        <w:t> </w:t>
      </w:r>
      <w:r>
        <w:rPr>
          <w:sz w:val="24"/>
        </w:rPr>
        <w:t>externe</w:t>
      </w:r>
      <w:r>
        <w:rPr>
          <w:spacing w:val="-10"/>
          <w:sz w:val="24"/>
        </w:rPr>
        <w:t> </w:t>
      </w:r>
      <w:r>
        <w:rPr>
          <w:sz w:val="24"/>
        </w:rPr>
        <w:t>de</w:t>
      </w:r>
      <w:r>
        <w:rPr>
          <w:spacing w:val="-10"/>
          <w:sz w:val="24"/>
        </w:rPr>
        <w:t> </w:t>
      </w:r>
      <w:r>
        <w:rPr>
          <w:sz w:val="24"/>
        </w:rPr>
        <w:t>la</w:t>
      </w:r>
      <w:r>
        <w:rPr>
          <w:spacing w:val="-9"/>
          <w:sz w:val="24"/>
        </w:rPr>
        <w:t> </w:t>
      </w:r>
      <w:r>
        <w:rPr>
          <w:sz w:val="24"/>
        </w:rPr>
        <w:t>mitochondrie) permet</w:t>
      </w:r>
      <w:r>
        <w:rPr>
          <w:spacing w:val="-7"/>
          <w:sz w:val="24"/>
        </w:rPr>
        <w:t> </w:t>
      </w:r>
      <w:r>
        <w:rPr>
          <w:sz w:val="24"/>
        </w:rPr>
        <w:t>l’oxydation</w:t>
      </w:r>
      <w:r>
        <w:rPr>
          <w:spacing w:val="-7"/>
          <w:sz w:val="24"/>
        </w:rPr>
        <w:t> </w:t>
      </w:r>
      <w:r>
        <w:rPr>
          <w:sz w:val="24"/>
        </w:rPr>
        <w:t>du</w:t>
      </w:r>
      <w:r>
        <w:rPr>
          <w:spacing w:val="-3"/>
          <w:sz w:val="24"/>
        </w:rPr>
        <w:t> </w:t>
      </w:r>
      <w:r>
        <w:rPr>
          <w:sz w:val="24"/>
        </w:rPr>
        <w:t>glycérol-phosphate</w:t>
      </w:r>
      <w:r>
        <w:rPr>
          <w:spacing w:val="-8"/>
          <w:sz w:val="24"/>
        </w:rPr>
        <w:t> </w:t>
      </w:r>
      <w:r>
        <w:rPr>
          <w:sz w:val="24"/>
        </w:rPr>
        <w:t>en</w:t>
      </w:r>
      <w:r>
        <w:rPr>
          <w:spacing w:val="-5"/>
          <w:sz w:val="24"/>
        </w:rPr>
        <w:t> </w:t>
      </w:r>
      <w:r>
        <w:rPr>
          <w:sz w:val="24"/>
        </w:rPr>
        <w:t>DHAP,</w:t>
      </w:r>
      <w:r>
        <w:rPr>
          <w:spacing w:val="-7"/>
          <w:sz w:val="24"/>
        </w:rPr>
        <w:t> </w:t>
      </w:r>
      <w:r>
        <w:rPr>
          <w:sz w:val="24"/>
        </w:rPr>
        <w:t>réaction</w:t>
      </w:r>
      <w:r>
        <w:rPr>
          <w:spacing w:val="-7"/>
          <w:sz w:val="24"/>
        </w:rPr>
        <w:t> </w:t>
      </w:r>
      <w:r>
        <w:rPr>
          <w:sz w:val="24"/>
        </w:rPr>
        <w:t>couplée</w:t>
      </w:r>
      <w:r>
        <w:rPr>
          <w:spacing w:val="-7"/>
          <w:sz w:val="24"/>
        </w:rPr>
        <w:t> </w:t>
      </w:r>
      <w:r>
        <w:rPr>
          <w:sz w:val="24"/>
        </w:rPr>
        <w:t>à</w:t>
      </w:r>
      <w:r>
        <w:rPr>
          <w:spacing w:val="-8"/>
          <w:sz w:val="24"/>
        </w:rPr>
        <w:t> </w:t>
      </w:r>
      <w:r>
        <w:rPr>
          <w:sz w:val="24"/>
        </w:rPr>
        <w:t>la</w:t>
      </w:r>
      <w:r>
        <w:rPr>
          <w:spacing w:val="-6"/>
          <w:sz w:val="24"/>
        </w:rPr>
        <w:t> </w:t>
      </w:r>
      <w:r>
        <w:rPr>
          <w:sz w:val="24"/>
        </w:rPr>
        <w:t>réduction</w:t>
      </w:r>
      <w:r>
        <w:rPr>
          <w:spacing w:val="-7"/>
          <w:sz w:val="24"/>
        </w:rPr>
        <w:t> </w:t>
      </w:r>
      <w:r>
        <w:rPr>
          <w:sz w:val="24"/>
        </w:rPr>
        <w:t>du</w:t>
      </w:r>
      <w:r>
        <w:rPr>
          <w:position w:val="2"/>
          <w:sz w:val="24"/>
        </w:rPr>
        <w:t> FAD en FADH</w:t>
      </w:r>
      <w:r>
        <w:rPr>
          <w:sz w:val="16"/>
        </w:rPr>
        <w:t>2</w:t>
      </w:r>
      <w:r>
        <w:rPr>
          <w:position w:val="2"/>
          <w:sz w:val="24"/>
        </w:rPr>
        <w:t>. En termes de bilan énergétique, la formation d’1 ATP est perdue par</w:t>
      </w:r>
      <w:r>
        <w:rPr>
          <w:sz w:val="24"/>
        </w:rPr>
        <w:t> rapport</w:t>
      </w:r>
      <w:r>
        <w:rPr>
          <w:spacing w:val="-16"/>
          <w:sz w:val="24"/>
        </w:rPr>
        <w:t> </w:t>
      </w:r>
      <w:r>
        <w:rPr>
          <w:sz w:val="24"/>
        </w:rPr>
        <w:t>au</w:t>
      </w:r>
      <w:r>
        <w:rPr>
          <w:spacing w:val="-16"/>
          <w:sz w:val="24"/>
        </w:rPr>
        <w:t> </w:t>
      </w:r>
      <w:r>
        <w:rPr>
          <w:sz w:val="24"/>
        </w:rPr>
        <w:t>pouvoir</w:t>
      </w:r>
      <w:r>
        <w:rPr>
          <w:spacing w:val="-16"/>
          <w:sz w:val="24"/>
        </w:rPr>
        <w:t> </w:t>
      </w:r>
      <w:r>
        <w:rPr>
          <w:sz w:val="24"/>
        </w:rPr>
        <w:t>réducteur</w:t>
      </w:r>
      <w:r>
        <w:rPr>
          <w:spacing w:val="-15"/>
          <w:sz w:val="24"/>
        </w:rPr>
        <w:t> </w:t>
      </w:r>
      <w:r>
        <w:rPr>
          <w:sz w:val="24"/>
        </w:rPr>
        <w:t>du</w:t>
      </w:r>
      <w:r>
        <w:rPr>
          <w:spacing w:val="-16"/>
          <w:sz w:val="24"/>
        </w:rPr>
        <w:t> </w:t>
      </w:r>
      <w:r>
        <w:rPr>
          <w:sz w:val="24"/>
        </w:rPr>
        <w:t>NADH,H</w:t>
      </w:r>
      <w:r>
        <w:rPr>
          <w:position w:val="9"/>
          <w:sz w:val="16"/>
        </w:rPr>
        <w:t>+</w:t>
      </w:r>
      <w:r>
        <w:rPr>
          <w:sz w:val="24"/>
        </w:rPr>
        <w:t>,</w:t>
      </w:r>
      <w:r>
        <w:rPr>
          <w:spacing w:val="-16"/>
          <w:sz w:val="24"/>
        </w:rPr>
        <w:t> </w:t>
      </w:r>
      <w:r>
        <w:rPr>
          <w:sz w:val="24"/>
        </w:rPr>
        <w:t>ce</w:t>
      </w:r>
      <w:r>
        <w:rPr>
          <w:spacing w:val="-17"/>
          <w:sz w:val="24"/>
        </w:rPr>
        <w:t> </w:t>
      </w:r>
      <w:r>
        <w:rPr>
          <w:sz w:val="24"/>
        </w:rPr>
        <w:t>qui</w:t>
      </w:r>
      <w:r>
        <w:rPr>
          <w:spacing w:val="-13"/>
          <w:sz w:val="24"/>
        </w:rPr>
        <w:t> </w:t>
      </w:r>
      <w:r>
        <w:rPr>
          <w:sz w:val="24"/>
        </w:rPr>
        <w:t>explique</w:t>
      </w:r>
      <w:r>
        <w:rPr>
          <w:spacing w:val="-17"/>
          <w:sz w:val="24"/>
        </w:rPr>
        <w:t> </w:t>
      </w:r>
      <w:r>
        <w:rPr>
          <w:sz w:val="24"/>
        </w:rPr>
        <w:t>les</w:t>
      </w:r>
      <w:r>
        <w:rPr>
          <w:spacing w:val="-16"/>
          <w:sz w:val="24"/>
        </w:rPr>
        <w:t> </w:t>
      </w:r>
      <w:r>
        <w:rPr>
          <w:sz w:val="24"/>
        </w:rPr>
        <w:t>différences</w:t>
      </w:r>
      <w:r>
        <w:rPr>
          <w:spacing w:val="-16"/>
          <w:sz w:val="24"/>
        </w:rPr>
        <w:t> </w:t>
      </w:r>
      <w:r>
        <w:rPr>
          <w:sz w:val="24"/>
        </w:rPr>
        <w:t>de</w:t>
      </w:r>
      <w:r>
        <w:rPr>
          <w:spacing w:val="-15"/>
          <w:sz w:val="24"/>
        </w:rPr>
        <w:t> </w:t>
      </w:r>
      <w:r>
        <w:rPr>
          <w:sz w:val="24"/>
        </w:rPr>
        <w:t>rendement en ATP calculées à l’issu de l’oxydation complète du</w:t>
      </w:r>
      <w:r>
        <w:rPr>
          <w:spacing w:val="-12"/>
          <w:sz w:val="24"/>
        </w:rPr>
        <w:t> </w:t>
      </w:r>
      <w:r>
        <w:rPr>
          <w:sz w:val="24"/>
        </w:rPr>
        <w:t>glucose.</w:t>
      </w:r>
    </w:p>
    <w:p>
      <w:pPr>
        <w:pStyle w:val="BodyText"/>
        <w:rPr>
          <w:sz w:val="28"/>
        </w:rPr>
      </w:pPr>
    </w:p>
    <w:p>
      <w:pPr>
        <w:pStyle w:val="ListParagraph"/>
        <w:numPr>
          <w:ilvl w:val="0"/>
          <w:numId w:val="6"/>
        </w:numPr>
        <w:tabs>
          <w:tab w:pos="477" w:val="left" w:leader="none"/>
        </w:tabs>
        <w:spacing w:line="273" w:lineRule="auto" w:before="0" w:after="0"/>
        <w:ind w:left="476" w:right="116" w:hanging="360"/>
        <w:jc w:val="both"/>
        <w:rPr>
          <w:sz w:val="24"/>
        </w:rPr>
      </w:pPr>
      <w:r>
        <w:rPr>
          <w:sz w:val="24"/>
          <w:u w:val="single"/>
        </w:rPr>
        <w:t>La navette malate-aspartate</w:t>
      </w:r>
      <w:r>
        <w:rPr>
          <w:sz w:val="24"/>
        </w:rPr>
        <w:t>, retrouvée principalement dans les cellules du foie et du cœur, réduit l’oxaloacétate (OAA) cytosolique en malate </w:t>
      </w:r>
      <w:r>
        <w:rPr>
          <w:i/>
          <w:sz w:val="24"/>
        </w:rPr>
        <w:t>via </w:t>
      </w:r>
      <w:r>
        <w:rPr>
          <w:sz w:val="24"/>
        </w:rPr>
        <w:t>une malate déshydrogénase cytosolique (MDHc). Le malate, après son entrée dans la matrice mitochodriale est pris en charge par une malate déshydrogénase mitochondriale (MDHm) qui l’oxyde de nouveau en OAA (Figure 4). Cette oxydation est couplée à la réduction</w:t>
      </w:r>
      <w:r>
        <w:rPr>
          <w:spacing w:val="-14"/>
          <w:sz w:val="24"/>
        </w:rPr>
        <w:t> </w:t>
      </w:r>
      <w:r>
        <w:rPr>
          <w:sz w:val="24"/>
        </w:rPr>
        <w:t>d’un</w:t>
      </w:r>
      <w:r>
        <w:rPr>
          <w:spacing w:val="-15"/>
          <w:sz w:val="24"/>
        </w:rPr>
        <w:t> </w:t>
      </w:r>
      <w:r>
        <w:rPr>
          <w:sz w:val="24"/>
        </w:rPr>
        <w:t>NAD</w:t>
      </w:r>
      <w:r>
        <w:rPr>
          <w:position w:val="9"/>
          <w:sz w:val="16"/>
        </w:rPr>
        <w:t>+</w:t>
      </w:r>
      <w:r>
        <w:rPr>
          <w:spacing w:val="5"/>
          <w:position w:val="9"/>
          <w:sz w:val="16"/>
        </w:rPr>
        <w:t> </w:t>
      </w:r>
      <w:r>
        <w:rPr>
          <w:sz w:val="24"/>
        </w:rPr>
        <w:t>en</w:t>
      </w:r>
      <w:r>
        <w:rPr>
          <w:spacing w:val="-12"/>
          <w:sz w:val="24"/>
        </w:rPr>
        <w:t> </w:t>
      </w:r>
      <w:r>
        <w:rPr>
          <w:sz w:val="24"/>
        </w:rPr>
        <w:t>NADH,H</w:t>
      </w:r>
      <w:r>
        <w:rPr>
          <w:position w:val="9"/>
          <w:sz w:val="16"/>
        </w:rPr>
        <w:t>+</w:t>
      </w:r>
      <w:r>
        <w:rPr>
          <w:sz w:val="24"/>
        </w:rPr>
        <w:t>.</w:t>
      </w:r>
      <w:r>
        <w:rPr>
          <w:spacing w:val="-12"/>
          <w:sz w:val="24"/>
        </w:rPr>
        <w:t> </w:t>
      </w:r>
      <w:r>
        <w:rPr>
          <w:sz w:val="24"/>
        </w:rPr>
        <w:t>La</w:t>
      </w:r>
      <w:r>
        <w:rPr>
          <w:spacing w:val="-15"/>
          <w:sz w:val="24"/>
        </w:rPr>
        <w:t> </w:t>
      </w:r>
      <w:r>
        <w:rPr>
          <w:sz w:val="24"/>
        </w:rPr>
        <w:t>transamination</w:t>
      </w:r>
      <w:r>
        <w:rPr>
          <w:spacing w:val="-14"/>
          <w:sz w:val="24"/>
        </w:rPr>
        <w:t> </w:t>
      </w:r>
      <w:r>
        <w:rPr>
          <w:sz w:val="24"/>
        </w:rPr>
        <w:t>de</w:t>
      </w:r>
      <w:r>
        <w:rPr>
          <w:spacing w:val="-15"/>
          <w:sz w:val="24"/>
        </w:rPr>
        <w:t> </w:t>
      </w:r>
      <w:r>
        <w:rPr>
          <w:sz w:val="24"/>
        </w:rPr>
        <w:t>l’OAA</w:t>
      </w:r>
      <w:r>
        <w:rPr>
          <w:spacing w:val="-16"/>
          <w:sz w:val="24"/>
        </w:rPr>
        <w:t> </w:t>
      </w:r>
      <w:r>
        <w:rPr>
          <w:sz w:val="24"/>
        </w:rPr>
        <w:t>conduit</w:t>
      </w:r>
      <w:r>
        <w:rPr>
          <w:spacing w:val="-14"/>
          <w:sz w:val="24"/>
        </w:rPr>
        <w:t> </w:t>
      </w:r>
      <w:r>
        <w:rPr>
          <w:sz w:val="24"/>
        </w:rPr>
        <w:t>à</w:t>
      </w:r>
      <w:r>
        <w:rPr>
          <w:spacing w:val="-13"/>
          <w:sz w:val="24"/>
        </w:rPr>
        <w:t> </w:t>
      </w:r>
      <w:r>
        <w:rPr>
          <w:sz w:val="24"/>
        </w:rPr>
        <w:t>la</w:t>
      </w:r>
      <w:r>
        <w:rPr>
          <w:spacing w:val="-15"/>
          <w:sz w:val="24"/>
        </w:rPr>
        <w:t> </w:t>
      </w:r>
      <w:r>
        <w:rPr>
          <w:sz w:val="24"/>
        </w:rPr>
        <w:t>formation d’aspartate qui peut franchir les membranes mitochondriales et retourner dans le cytosol, où il donne de  nouveau de l’OAA cytosolique après</w:t>
      </w:r>
      <w:r>
        <w:rPr>
          <w:spacing w:val="-10"/>
          <w:sz w:val="24"/>
        </w:rPr>
        <w:t> </w:t>
      </w:r>
      <w:r>
        <w:rPr>
          <w:sz w:val="24"/>
        </w:rPr>
        <w:t>transamination.</w:t>
      </w:r>
    </w:p>
    <w:p>
      <w:pPr>
        <w:pStyle w:val="BodyText"/>
        <w:spacing w:before="5"/>
        <w:rPr>
          <w:sz w:val="11"/>
        </w:rPr>
      </w:pPr>
      <w:r>
        <w:rPr/>
        <w:drawing>
          <wp:anchor distT="0" distB="0" distL="0" distR="0" allowOverlap="1" layoutInCell="1" locked="0" behindDoc="0" simplePos="0" relativeHeight="1264">
            <wp:simplePos x="0" y="0"/>
            <wp:positionH relativeFrom="page">
              <wp:posOffset>1291589</wp:posOffset>
            </wp:positionH>
            <wp:positionV relativeFrom="paragraph">
              <wp:posOffset>108611</wp:posOffset>
            </wp:positionV>
            <wp:extent cx="4940873" cy="2670333"/>
            <wp:effectExtent l="0" t="0" r="0" b="0"/>
            <wp:wrapTopAndBottom/>
            <wp:docPr id="19" name="image8.png" descr=""/>
            <wp:cNvGraphicFramePr>
              <a:graphicFrameLocks noChangeAspect="1"/>
            </wp:cNvGraphicFramePr>
            <a:graphic>
              <a:graphicData uri="http://schemas.openxmlformats.org/drawingml/2006/picture">
                <pic:pic>
                  <pic:nvPicPr>
                    <pic:cNvPr id="20" name="image8.png"/>
                    <pic:cNvPicPr/>
                  </pic:nvPicPr>
                  <pic:blipFill>
                    <a:blip r:embed="rId14" cstate="print"/>
                    <a:stretch>
                      <a:fillRect/>
                    </a:stretch>
                  </pic:blipFill>
                  <pic:spPr>
                    <a:xfrm>
                      <a:off x="0" y="0"/>
                      <a:ext cx="4940873" cy="2670333"/>
                    </a:xfrm>
                    <a:prstGeom prst="rect">
                      <a:avLst/>
                    </a:prstGeom>
                  </pic:spPr>
                </pic:pic>
              </a:graphicData>
            </a:graphic>
          </wp:anchor>
        </w:drawing>
      </w:r>
    </w:p>
    <w:p>
      <w:pPr>
        <w:spacing w:before="201"/>
        <w:ind w:left="795" w:right="0" w:firstLine="0"/>
        <w:jc w:val="left"/>
        <w:rPr>
          <w:i/>
          <w:sz w:val="18"/>
        </w:rPr>
      </w:pPr>
      <w:bookmarkStart w:name="_bookmark15" w:id="22"/>
      <w:bookmarkEnd w:id="22"/>
      <w:r>
        <w:rPr/>
      </w:r>
      <w:r>
        <w:rPr>
          <w:i/>
          <w:color w:val="44536A"/>
          <w:sz w:val="18"/>
        </w:rPr>
        <w:t>Figure 4 : Les navettes glycérol-phosphate (gain de 2 ATP) et malate-aspartate (gain de 3 ATP).</w:t>
      </w:r>
    </w:p>
    <w:p>
      <w:pPr>
        <w:pStyle w:val="BodyText"/>
        <w:spacing w:before="5"/>
        <w:rPr>
          <w:i/>
          <w:sz w:val="15"/>
        </w:rPr>
      </w:pPr>
    </w:p>
    <w:p>
      <w:pPr>
        <w:spacing w:before="93"/>
        <w:ind w:left="3628" w:right="3702" w:firstLine="0"/>
        <w:jc w:val="center"/>
        <w:rPr>
          <w:i/>
          <w:sz w:val="18"/>
        </w:rPr>
      </w:pPr>
      <w:r>
        <w:rPr>
          <w:i/>
          <w:color w:val="44536A"/>
          <w:sz w:val="18"/>
        </w:rPr>
        <w:t>D’après Lincet, 2013.</w:t>
      </w:r>
    </w:p>
    <w:p>
      <w:pPr>
        <w:spacing w:after="0"/>
        <w:jc w:val="center"/>
        <w:rPr>
          <w:sz w:val="18"/>
        </w:rPr>
        <w:sectPr>
          <w:pgSz w:w="11910" w:h="16840"/>
          <w:pgMar w:header="0" w:footer="995" w:top="1320" w:bottom="1240" w:left="1660" w:right="1300"/>
        </w:sectPr>
      </w:pPr>
    </w:p>
    <w:p>
      <w:pPr>
        <w:pStyle w:val="Heading3"/>
        <w:numPr>
          <w:ilvl w:val="1"/>
          <w:numId w:val="4"/>
        </w:numPr>
        <w:tabs>
          <w:tab w:pos="1557" w:val="left" w:leader="none"/>
        </w:tabs>
        <w:spacing w:line="240" w:lineRule="auto" w:before="75" w:after="0"/>
        <w:ind w:left="1556" w:right="0" w:hanging="360"/>
        <w:jc w:val="left"/>
      </w:pPr>
      <w:bookmarkStart w:name="_bookmark16" w:id="23"/>
      <w:bookmarkEnd w:id="23"/>
      <w:r>
        <w:rPr>
          <w:b w:val="0"/>
        </w:rPr>
      </w:r>
      <w:bookmarkStart w:name="_bookmark16" w:id="24"/>
      <w:bookmarkEnd w:id="24"/>
      <w:r>
        <w:rPr/>
        <w:t>U</w:t>
      </w:r>
      <w:r>
        <w:rPr/>
        <w:t>ne régulation possible de ces voies</w:t>
      </w:r>
      <w:r>
        <w:rPr>
          <w:spacing w:val="-19"/>
        </w:rPr>
        <w:t> </w:t>
      </w:r>
      <w:r>
        <w:rPr/>
        <w:t>métaboliques</w:t>
      </w:r>
    </w:p>
    <w:p>
      <w:pPr>
        <w:pStyle w:val="BodyText"/>
        <w:rPr>
          <w:b/>
          <w:sz w:val="30"/>
        </w:rPr>
      </w:pPr>
    </w:p>
    <w:p>
      <w:pPr>
        <w:pStyle w:val="BodyText"/>
        <w:spacing w:line="273" w:lineRule="auto" w:before="178"/>
        <w:ind w:left="116" w:right="114" w:firstLine="707"/>
        <w:jc w:val="both"/>
      </w:pPr>
      <w:r>
        <w:rPr/>
        <w:t>L’ATP obtenu à l’issu de ces réactions intervient dans la régulation allostérique des voies métaboliques qui l’ont créé.</w:t>
      </w:r>
    </w:p>
    <w:p>
      <w:pPr>
        <w:pStyle w:val="BodyText"/>
        <w:spacing w:line="273" w:lineRule="auto" w:before="166"/>
        <w:ind w:left="116" w:right="115" w:firstLine="707"/>
        <w:jc w:val="both"/>
      </w:pPr>
      <w:r>
        <w:rPr/>
        <w:t>Par exemple, l’activité enzymatique de la phosphofructokinase 1 (PFK1), enzyme qui catalyse</w:t>
      </w:r>
      <w:r>
        <w:rPr>
          <w:spacing w:val="-9"/>
        </w:rPr>
        <w:t> </w:t>
      </w:r>
      <w:r>
        <w:rPr/>
        <w:t>la</w:t>
      </w:r>
      <w:r>
        <w:rPr>
          <w:spacing w:val="-7"/>
        </w:rPr>
        <w:t> </w:t>
      </w:r>
      <w:r>
        <w:rPr/>
        <w:t>3</w:t>
      </w:r>
      <w:r>
        <w:rPr>
          <w:position w:val="9"/>
          <w:sz w:val="16"/>
        </w:rPr>
        <w:t>ème</w:t>
      </w:r>
      <w:r>
        <w:rPr>
          <w:spacing w:val="10"/>
          <w:position w:val="9"/>
          <w:sz w:val="16"/>
        </w:rPr>
        <w:t> </w:t>
      </w:r>
      <w:r>
        <w:rPr/>
        <w:t>réaction</w:t>
      </w:r>
      <w:r>
        <w:rPr>
          <w:spacing w:val="-8"/>
        </w:rPr>
        <w:t> </w:t>
      </w:r>
      <w:r>
        <w:rPr/>
        <w:t>irréversible</w:t>
      </w:r>
      <w:r>
        <w:rPr>
          <w:spacing w:val="-8"/>
        </w:rPr>
        <w:t> </w:t>
      </w:r>
      <w:r>
        <w:rPr/>
        <w:t>de</w:t>
      </w:r>
      <w:r>
        <w:rPr>
          <w:spacing w:val="-7"/>
        </w:rPr>
        <w:t> </w:t>
      </w:r>
      <w:r>
        <w:rPr/>
        <w:t>la</w:t>
      </w:r>
      <w:r>
        <w:rPr>
          <w:spacing w:val="-7"/>
        </w:rPr>
        <w:t> </w:t>
      </w:r>
      <w:r>
        <w:rPr/>
        <w:t>glycolyse,</w:t>
      </w:r>
      <w:r>
        <w:rPr>
          <w:spacing w:val="-9"/>
        </w:rPr>
        <w:t> </w:t>
      </w:r>
      <w:r>
        <w:rPr/>
        <w:t>est</w:t>
      </w:r>
      <w:r>
        <w:rPr>
          <w:spacing w:val="-8"/>
        </w:rPr>
        <w:t> </w:t>
      </w:r>
      <w:r>
        <w:rPr/>
        <w:t>diminuée</w:t>
      </w:r>
      <w:r>
        <w:rPr>
          <w:spacing w:val="-10"/>
        </w:rPr>
        <w:t> </w:t>
      </w:r>
      <w:r>
        <w:rPr/>
        <w:t>lorsque</w:t>
      </w:r>
      <w:r>
        <w:rPr>
          <w:spacing w:val="-10"/>
        </w:rPr>
        <w:t> </w:t>
      </w:r>
      <w:r>
        <w:rPr/>
        <w:t>le</w:t>
      </w:r>
      <w:r>
        <w:rPr>
          <w:spacing w:val="-7"/>
        </w:rPr>
        <w:t> </w:t>
      </w:r>
      <w:r>
        <w:rPr/>
        <w:t>ratio</w:t>
      </w:r>
      <w:r>
        <w:rPr>
          <w:spacing w:val="-9"/>
        </w:rPr>
        <w:t> </w:t>
      </w:r>
      <w:r>
        <w:rPr/>
        <w:t>ATP/ADP</w:t>
      </w:r>
      <w:r>
        <w:rPr>
          <w:spacing w:val="-8"/>
        </w:rPr>
        <w:t> </w:t>
      </w:r>
      <w:r>
        <w:rPr/>
        <w:t>est élevé (Figure 5). Les intermédiaires métaboliques en amont de cette réaction que sont le glucose-6-phosphate et le fructose-6-phosphate sont alors orientés vers d’autres voies métaboliques. Ainsi, le glucose-6-phosphate peut être utilisé dans la voie des pentoses phosphates (Figure 1). Au contraire, un ratio ATP/ ADP faible aboutit à une levée d’inhibition de l’enzyme PFK1 et donc à la poursuite de la</w:t>
      </w:r>
      <w:r>
        <w:rPr>
          <w:spacing w:val="-12"/>
        </w:rPr>
        <w:t> </w:t>
      </w:r>
      <w:r>
        <w:rPr/>
        <w:t>glycolyse.</w:t>
      </w:r>
    </w:p>
    <w:p>
      <w:pPr>
        <w:pStyle w:val="BodyText"/>
        <w:spacing w:line="276" w:lineRule="auto" w:before="166"/>
        <w:ind w:left="116" w:right="114" w:firstLine="707"/>
        <w:jc w:val="both"/>
      </w:pPr>
      <w:r>
        <w:rPr/>
        <w:t>Une inhibition allostérique similaire est exercée par le phosphoénolpyruvate et par le citrate</w:t>
      </w:r>
      <w:r>
        <w:rPr>
          <w:spacing w:val="-7"/>
        </w:rPr>
        <w:t> </w:t>
      </w:r>
      <w:r>
        <w:rPr/>
        <w:t>sur</w:t>
      </w:r>
      <w:r>
        <w:rPr>
          <w:spacing w:val="-8"/>
        </w:rPr>
        <w:t> </w:t>
      </w:r>
      <w:r>
        <w:rPr/>
        <w:t>la</w:t>
      </w:r>
      <w:r>
        <w:rPr>
          <w:spacing w:val="-8"/>
        </w:rPr>
        <w:t> </w:t>
      </w:r>
      <w:r>
        <w:rPr/>
        <w:t>PFK1</w:t>
      </w:r>
      <w:r>
        <w:rPr>
          <w:spacing w:val="-8"/>
        </w:rPr>
        <w:t> </w:t>
      </w:r>
      <w:r>
        <w:rPr/>
        <w:t>(Figure</w:t>
      </w:r>
      <w:r>
        <w:rPr>
          <w:spacing w:val="-8"/>
        </w:rPr>
        <w:t> </w:t>
      </w:r>
      <w:r>
        <w:rPr/>
        <w:t>5).</w:t>
      </w:r>
      <w:r>
        <w:rPr>
          <w:spacing w:val="-5"/>
        </w:rPr>
        <w:t> </w:t>
      </w:r>
      <w:r>
        <w:rPr>
          <w:spacing w:val="-3"/>
        </w:rPr>
        <w:t>Le</w:t>
      </w:r>
      <w:r>
        <w:rPr>
          <w:spacing w:val="-8"/>
        </w:rPr>
        <w:t> </w:t>
      </w:r>
      <w:r>
        <w:rPr/>
        <w:t>citrate</w:t>
      </w:r>
      <w:r>
        <w:rPr>
          <w:spacing w:val="-7"/>
        </w:rPr>
        <w:t> </w:t>
      </w:r>
      <w:r>
        <w:rPr/>
        <w:t>est</w:t>
      </w:r>
      <w:r>
        <w:rPr>
          <w:spacing w:val="-7"/>
        </w:rPr>
        <w:t> </w:t>
      </w:r>
      <w:r>
        <w:rPr/>
        <w:t>un</w:t>
      </w:r>
      <w:r>
        <w:rPr>
          <w:spacing w:val="-7"/>
        </w:rPr>
        <w:t> </w:t>
      </w:r>
      <w:r>
        <w:rPr/>
        <w:t>intermédiaire</w:t>
      </w:r>
      <w:r>
        <w:rPr>
          <w:spacing w:val="-8"/>
        </w:rPr>
        <w:t> </w:t>
      </w:r>
      <w:r>
        <w:rPr/>
        <w:t>du</w:t>
      </w:r>
      <w:r>
        <w:rPr>
          <w:spacing w:val="-7"/>
        </w:rPr>
        <w:t> </w:t>
      </w:r>
      <w:r>
        <w:rPr/>
        <w:t>cycle</w:t>
      </w:r>
      <w:r>
        <w:rPr>
          <w:spacing w:val="-8"/>
        </w:rPr>
        <w:t> </w:t>
      </w:r>
      <w:r>
        <w:rPr/>
        <w:t>de</w:t>
      </w:r>
      <w:r>
        <w:rPr>
          <w:spacing w:val="-8"/>
        </w:rPr>
        <w:t> </w:t>
      </w:r>
      <w:r>
        <w:rPr/>
        <w:t>Krebs</w:t>
      </w:r>
      <w:r>
        <w:rPr>
          <w:spacing w:val="-6"/>
        </w:rPr>
        <w:t> </w:t>
      </w:r>
      <w:r>
        <w:rPr/>
        <w:t>qui</w:t>
      </w:r>
      <w:r>
        <w:rPr>
          <w:spacing w:val="-7"/>
        </w:rPr>
        <w:t> </w:t>
      </w:r>
      <w:r>
        <w:rPr/>
        <w:t>diffuse</w:t>
      </w:r>
      <w:r>
        <w:rPr>
          <w:spacing w:val="-8"/>
        </w:rPr>
        <w:t> </w:t>
      </w:r>
      <w:r>
        <w:rPr/>
        <w:t>vers le cytoplasme lors d’un excès de sa formation au sein de la matrice mitochondriale. Il est alors transformé en OAA et acétyl-CoA. Ce dernier est une molécule au carrefour des voies métaboliques</w:t>
      </w:r>
      <w:r>
        <w:rPr>
          <w:spacing w:val="-14"/>
        </w:rPr>
        <w:t> </w:t>
      </w:r>
      <w:r>
        <w:rPr/>
        <w:t>et</w:t>
      </w:r>
      <w:r>
        <w:rPr>
          <w:spacing w:val="-14"/>
        </w:rPr>
        <w:t> </w:t>
      </w:r>
      <w:r>
        <w:rPr/>
        <w:t>permet</w:t>
      </w:r>
      <w:r>
        <w:rPr>
          <w:spacing w:val="-14"/>
        </w:rPr>
        <w:t> </w:t>
      </w:r>
      <w:r>
        <w:rPr/>
        <w:t>la</w:t>
      </w:r>
      <w:r>
        <w:rPr>
          <w:spacing w:val="-13"/>
        </w:rPr>
        <w:t> </w:t>
      </w:r>
      <w:r>
        <w:rPr/>
        <w:t>synthèse</w:t>
      </w:r>
      <w:r>
        <w:rPr>
          <w:spacing w:val="-15"/>
        </w:rPr>
        <w:t> </w:t>
      </w:r>
      <w:r>
        <w:rPr/>
        <w:t>d’acide</w:t>
      </w:r>
      <w:r>
        <w:rPr>
          <w:spacing w:val="-10"/>
        </w:rPr>
        <w:t> </w:t>
      </w:r>
      <w:r>
        <w:rPr/>
        <w:t>gras</w:t>
      </w:r>
      <w:r>
        <w:rPr>
          <w:spacing w:val="-12"/>
        </w:rPr>
        <w:t> </w:t>
      </w:r>
      <w:r>
        <w:rPr/>
        <w:t>(par</w:t>
      </w:r>
      <w:r>
        <w:rPr>
          <w:spacing w:val="-15"/>
        </w:rPr>
        <w:t> </w:t>
      </w:r>
      <w:r>
        <w:rPr/>
        <w:t>l’acétyl-CoA</w:t>
      </w:r>
      <w:r>
        <w:rPr>
          <w:spacing w:val="-15"/>
        </w:rPr>
        <w:t> </w:t>
      </w:r>
      <w:r>
        <w:rPr/>
        <w:t>Carboxylase),</w:t>
      </w:r>
      <w:r>
        <w:rPr>
          <w:spacing w:val="-15"/>
        </w:rPr>
        <w:t> </w:t>
      </w:r>
      <w:r>
        <w:rPr/>
        <w:t>de</w:t>
      </w:r>
      <w:r>
        <w:rPr>
          <w:spacing w:val="-13"/>
        </w:rPr>
        <w:t> </w:t>
      </w:r>
      <w:r>
        <w:rPr/>
        <w:t>précurseurs de stéroïdes, ainsi que l’acétylation des</w:t>
      </w:r>
      <w:r>
        <w:rPr>
          <w:spacing w:val="-18"/>
        </w:rPr>
        <w:t> </w:t>
      </w:r>
      <w:r>
        <w:rPr/>
        <w:t>histones.</w:t>
      </w:r>
    </w:p>
    <w:p>
      <w:pPr>
        <w:pStyle w:val="BodyText"/>
        <w:spacing w:before="3"/>
        <w:rPr>
          <w:sz w:val="11"/>
        </w:rPr>
      </w:pPr>
      <w:r>
        <w:rPr/>
        <w:drawing>
          <wp:anchor distT="0" distB="0" distL="0" distR="0" allowOverlap="1" layoutInCell="1" locked="0" behindDoc="0" simplePos="0" relativeHeight="1288">
            <wp:simplePos x="0" y="0"/>
            <wp:positionH relativeFrom="page">
              <wp:posOffset>1899920</wp:posOffset>
            </wp:positionH>
            <wp:positionV relativeFrom="paragraph">
              <wp:posOffset>107195</wp:posOffset>
            </wp:positionV>
            <wp:extent cx="4218800" cy="4127087"/>
            <wp:effectExtent l="0" t="0" r="0" b="0"/>
            <wp:wrapTopAndBottom/>
            <wp:docPr id="21" name="image9.jpeg" descr=""/>
            <wp:cNvGraphicFramePr>
              <a:graphicFrameLocks noChangeAspect="1"/>
            </wp:cNvGraphicFramePr>
            <a:graphic>
              <a:graphicData uri="http://schemas.openxmlformats.org/drawingml/2006/picture">
                <pic:pic>
                  <pic:nvPicPr>
                    <pic:cNvPr id="22" name="image9.jpeg"/>
                    <pic:cNvPicPr/>
                  </pic:nvPicPr>
                  <pic:blipFill>
                    <a:blip r:embed="rId15" cstate="print"/>
                    <a:stretch>
                      <a:fillRect/>
                    </a:stretch>
                  </pic:blipFill>
                  <pic:spPr>
                    <a:xfrm>
                      <a:off x="0" y="0"/>
                      <a:ext cx="4218800" cy="4127087"/>
                    </a:xfrm>
                    <a:prstGeom prst="rect">
                      <a:avLst/>
                    </a:prstGeom>
                  </pic:spPr>
                </pic:pic>
              </a:graphicData>
            </a:graphic>
          </wp:anchor>
        </w:drawing>
      </w:r>
    </w:p>
    <w:p>
      <w:pPr>
        <w:spacing w:before="150"/>
        <w:ind w:left="884" w:right="0" w:firstLine="0"/>
        <w:jc w:val="left"/>
        <w:rPr>
          <w:i/>
          <w:sz w:val="18"/>
        </w:rPr>
      </w:pPr>
      <w:bookmarkStart w:name="_bookmark17" w:id="25"/>
      <w:bookmarkEnd w:id="25"/>
      <w:r>
        <w:rPr/>
      </w:r>
      <w:r>
        <w:rPr>
          <w:i/>
          <w:color w:val="44536A"/>
          <w:sz w:val="18"/>
        </w:rPr>
        <w:t>Figure 5 : La régulation allostérique de la glycolyse par les intermédiaires du métabolisme énergétique.</w:t>
      </w:r>
    </w:p>
    <w:p>
      <w:pPr>
        <w:pStyle w:val="BodyText"/>
        <w:spacing w:before="2"/>
        <w:rPr>
          <w:i/>
          <w:sz w:val="20"/>
        </w:rPr>
      </w:pPr>
    </w:p>
    <w:p>
      <w:pPr>
        <w:spacing w:before="0"/>
        <w:ind w:left="1278" w:right="0" w:firstLine="0"/>
        <w:jc w:val="left"/>
        <w:rPr>
          <w:i/>
          <w:sz w:val="18"/>
        </w:rPr>
      </w:pPr>
      <w:r>
        <w:rPr>
          <w:i/>
          <w:color w:val="44536A"/>
          <w:sz w:val="18"/>
        </w:rPr>
        <w:t>Modifié d’après Porporato et al., 2011(flèches rouges : inhibition, flèches vertes : activation)</w:t>
      </w:r>
    </w:p>
    <w:p>
      <w:pPr>
        <w:spacing w:after="0"/>
        <w:jc w:val="left"/>
        <w:rPr>
          <w:sz w:val="18"/>
        </w:rPr>
        <w:sectPr>
          <w:pgSz w:w="11910" w:h="16840"/>
          <w:pgMar w:header="0" w:footer="995" w:top="1320" w:bottom="1240" w:left="1300" w:right="1300"/>
        </w:sectPr>
      </w:pPr>
    </w:p>
    <w:p>
      <w:pPr>
        <w:pStyle w:val="BodyText"/>
        <w:spacing w:line="276" w:lineRule="auto" w:before="72"/>
        <w:ind w:left="116" w:right="612" w:firstLine="707"/>
        <w:jc w:val="both"/>
      </w:pPr>
      <w:r>
        <w:rPr/>
        <w:t>Cette régulation allostérique de la glycolyse se comprend au regard de la disponibilité </w:t>
      </w:r>
      <w:r>
        <w:rPr>
          <w:position w:val="2"/>
        </w:rPr>
        <w:t>en</w:t>
      </w:r>
      <w:r>
        <w:rPr>
          <w:spacing w:val="-9"/>
          <w:position w:val="2"/>
        </w:rPr>
        <w:t> </w:t>
      </w:r>
      <w:r>
        <w:rPr>
          <w:position w:val="2"/>
        </w:rPr>
        <w:t>O</w:t>
      </w:r>
      <w:r>
        <w:rPr>
          <w:sz w:val="16"/>
        </w:rPr>
        <w:t>2</w:t>
      </w:r>
      <w:r>
        <w:rPr>
          <w:spacing w:val="11"/>
          <w:sz w:val="16"/>
        </w:rPr>
        <w:t> </w:t>
      </w:r>
      <w:r>
        <w:rPr>
          <w:position w:val="2"/>
        </w:rPr>
        <w:t>pour</w:t>
      </w:r>
      <w:r>
        <w:rPr>
          <w:spacing w:val="-9"/>
          <w:position w:val="2"/>
        </w:rPr>
        <w:t> </w:t>
      </w:r>
      <w:r>
        <w:rPr>
          <w:position w:val="2"/>
        </w:rPr>
        <w:t>les</w:t>
      </w:r>
      <w:r>
        <w:rPr>
          <w:spacing w:val="-9"/>
          <w:position w:val="2"/>
        </w:rPr>
        <w:t> </w:t>
      </w:r>
      <w:r>
        <w:rPr>
          <w:position w:val="2"/>
        </w:rPr>
        <w:t>cellules</w:t>
      </w:r>
      <w:r>
        <w:rPr>
          <w:spacing w:val="-8"/>
          <w:position w:val="2"/>
        </w:rPr>
        <w:t> </w:t>
      </w:r>
      <w:r>
        <w:rPr>
          <w:position w:val="2"/>
        </w:rPr>
        <w:t>et</w:t>
      </w:r>
      <w:r>
        <w:rPr>
          <w:spacing w:val="-6"/>
          <w:position w:val="2"/>
        </w:rPr>
        <w:t> </w:t>
      </w:r>
      <w:r>
        <w:rPr>
          <w:position w:val="2"/>
        </w:rPr>
        <w:t>du</w:t>
      </w:r>
      <w:r>
        <w:rPr>
          <w:spacing w:val="-9"/>
          <w:position w:val="2"/>
        </w:rPr>
        <w:t> </w:t>
      </w:r>
      <w:r>
        <w:rPr>
          <w:position w:val="2"/>
        </w:rPr>
        <w:t>besoin</w:t>
      </w:r>
      <w:r>
        <w:rPr>
          <w:spacing w:val="-8"/>
          <w:position w:val="2"/>
        </w:rPr>
        <w:t> </w:t>
      </w:r>
      <w:r>
        <w:rPr>
          <w:position w:val="2"/>
        </w:rPr>
        <w:t>en</w:t>
      </w:r>
      <w:r>
        <w:rPr>
          <w:spacing w:val="-9"/>
          <w:position w:val="2"/>
        </w:rPr>
        <w:t> </w:t>
      </w:r>
      <w:r>
        <w:rPr>
          <w:position w:val="2"/>
        </w:rPr>
        <w:t>ATP</w:t>
      </w:r>
      <w:r>
        <w:rPr>
          <w:spacing w:val="-7"/>
          <w:position w:val="2"/>
        </w:rPr>
        <w:t> </w:t>
      </w:r>
      <w:r>
        <w:rPr>
          <w:position w:val="2"/>
        </w:rPr>
        <w:t>(Berg</w:t>
      </w:r>
      <w:r>
        <w:rPr>
          <w:spacing w:val="-9"/>
          <w:position w:val="2"/>
        </w:rPr>
        <w:t> </w:t>
      </w:r>
      <w:r>
        <w:rPr>
          <w:position w:val="2"/>
        </w:rPr>
        <w:t>et</w:t>
      </w:r>
      <w:r>
        <w:rPr>
          <w:spacing w:val="-8"/>
          <w:position w:val="2"/>
        </w:rPr>
        <w:t> </w:t>
      </w:r>
      <w:r>
        <w:rPr>
          <w:position w:val="2"/>
        </w:rPr>
        <w:t>al.,</w:t>
      </w:r>
      <w:r>
        <w:rPr>
          <w:spacing w:val="-8"/>
          <w:position w:val="2"/>
        </w:rPr>
        <w:t> </w:t>
      </w:r>
      <w:r>
        <w:rPr>
          <w:position w:val="2"/>
        </w:rPr>
        <w:t>2013a).</w:t>
      </w:r>
      <w:r>
        <w:rPr>
          <w:spacing w:val="-9"/>
          <w:position w:val="2"/>
        </w:rPr>
        <w:t> </w:t>
      </w:r>
      <w:r>
        <w:rPr>
          <w:position w:val="2"/>
        </w:rPr>
        <w:t>En</w:t>
      </w:r>
      <w:r>
        <w:rPr>
          <w:spacing w:val="-7"/>
          <w:position w:val="2"/>
        </w:rPr>
        <w:t> </w:t>
      </w:r>
      <w:r>
        <w:rPr>
          <w:position w:val="2"/>
        </w:rPr>
        <w:t>présence</w:t>
      </w:r>
      <w:r>
        <w:rPr>
          <w:spacing w:val="-10"/>
          <w:position w:val="2"/>
        </w:rPr>
        <w:t> </w:t>
      </w:r>
      <w:r>
        <w:rPr>
          <w:position w:val="2"/>
        </w:rPr>
        <w:t>d’O</w:t>
      </w:r>
      <w:r>
        <w:rPr>
          <w:sz w:val="16"/>
        </w:rPr>
        <w:t>2</w:t>
      </w:r>
      <w:r>
        <w:rPr>
          <w:position w:val="2"/>
        </w:rPr>
        <w:t>,</w:t>
      </w:r>
      <w:r>
        <w:rPr>
          <w:spacing w:val="-9"/>
          <w:position w:val="2"/>
        </w:rPr>
        <w:t> </w:t>
      </w:r>
      <w:r>
        <w:rPr>
          <w:position w:val="2"/>
        </w:rPr>
        <w:t>une</w:t>
      </w:r>
      <w:r>
        <w:rPr>
          <w:spacing w:val="-10"/>
          <w:position w:val="2"/>
        </w:rPr>
        <w:t> </w:t>
      </w:r>
      <w:r>
        <w:rPr>
          <w:position w:val="2"/>
        </w:rPr>
        <w:t>quantité </w:t>
      </w:r>
      <w:r>
        <w:rPr/>
        <w:t>importante de certains produits du cycle de Krebs (ATP, citrate) inhibent le flux glycolytique (flèches rouges de la Figure 5). En revanche, quand l’oxygène vient à manquer (situation d’hypoxie), l’oxydation complète du glucose par le cycle de Krebs n’est plus possible, conduisant à une diminution de production d’ATP et de citrate. Par conséquent, l’inhibition de la glycolyse est levée et cette dernière fonctionne avec un turn over important pour pallier la production diminuée d’ATP. Lors d’hypoxie sévère, les niveaux de fructose 1,6-BiPhosphate (F1,6-BP), d’ADP, d’AMP (Adénosine Mono Phosphate), de Pi augmentent, provoquant ainsi un flux accru de la glycolyse (Figure 5). Cette dernière permet alors de fournir suffisamment d’ATP à la cellule pour maintenir la survie même en condition d’hypoxie sévère. Ce contrôle </w:t>
      </w:r>
      <w:r>
        <w:rPr>
          <w:position w:val="2"/>
        </w:rPr>
        <w:t>du métabolisme glycolytique par la disponibilité en O</w:t>
      </w:r>
      <w:r>
        <w:rPr>
          <w:sz w:val="16"/>
        </w:rPr>
        <w:t>2  </w:t>
      </w:r>
      <w:r>
        <w:rPr>
          <w:position w:val="2"/>
        </w:rPr>
        <w:t>est nommé l’effet</w:t>
      </w:r>
      <w:r>
        <w:rPr>
          <w:spacing w:val="-34"/>
          <w:position w:val="2"/>
        </w:rPr>
        <w:t> </w:t>
      </w:r>
      <w:r>
        <w:rPr>
          <w:position w:val="2"/>
        </w:rPr>
        <w:t>Pasteur.</w:t>
      </w:r>
    </w:p>
    <w:p>
      <w:pPr>
        <w:pStyle w:val="BodyText"/>
        <w:spacing w:line="276" w:lineRule="auto" w:before="161"/>
        <w:ind w:left="116" w:right="613" w:firstLine="707"/>
        <w:jc w:val="both"/>
      </w:pPr>
      <w:r>
        <w:rPr/>
        <w:t>L’activité de la PDH est contrôlée de manière similaire. La pyruvate déshydrogénase kinase</w:t>
      </w:r>
      <w:r>
        <w:rPr>
          <w:spacing w:val="-10"/>
        </w:rPr>
        <w:t> </w:t>
      </w:r>
      <w:r>
        <w:rPr/>
        <w:t>1</w:t>
      </w:r>
      <w:r>
        <w:rPr>
          <w:spacing w:val="-9"/>
        </w:rPr>
        <w:t> </w:t>
      </w:r>
      <w:r>
        <w:rPr/>
        <w:t>(PDK1)</w:t>
      </w:r>
      <w:r>
        <w:rPr>
          <w:spacing w:val="-9"/>
        </w:rPr>
        <w:t> </w:t>
      </w:r>
      <w:r>
        <w:rPr/>
        <w:t>inhibe</w:t>
      </w:r>
      <w:r>
        <w:rPr>
          <w:spacing w:val="-10"/>
        </w:rPr>
        <w:t> </w:t>
      </w:r>
      <w:r>
        <w:rPr/>
        <w:t>la</w:t>
      </w:r>
      <w:r>
        <w:rPr>
          <w:spacing w:val="-8"/>
        </w:rPr>
        <w:t> </w:t>
      </w:r>
      <w:r>
        <w:rPr/>
        <w:t>PDH</w:t>
      </w:r>
      <w:r>
        <w:rPr>
          <w:spacing w:val="-9"/>
        </w:rPr>
        <w:t> </w:t>
      </w:r>
      <w:r>
        <w:rPr/>
        <w:t>en</w:t>
      </w:r>
      <w:r>
        <w:rPr>
          <w:spacing w:val="-9"/>
        </w:rPr>
        <w:t> </w:t>
      </w:r>
      <w:r>
        <w:rPr/>
        <w:t>condition</w:t>
      </w:r>
      <w:r>
        <w:rPr>
          <w:spacing w:val="-8"/>
        </w:rPr>
        <w:t> </w:t>
      </w:r>
      <w:r>
        <w:rPr/>
        <w:t>d’hypoxie</w:t>
      </w:r>
      <w:r>
        <w:rPr>
          <w:spacing w:val="-8"/>
        </w:rPr>
        <w:t> </w:t>
      </w:r>
      <w:r>
        <w:rPr>
          <w:i/>
        </w:rPr>
        <w:t>via</w:t>
      </w:r>
      <w:r>
        <w:rPr>
          <w:i/>
          <w:spacing w:val="-8"/>
        </w:rPr>
        <w:t> </w:t>
      </w:r>
      <w:r>
        <w:rPr/>
        <w:t>le</w:t>
      </w:r>
      <w:r>
        <w:rPr>
          <w:spacing w:val="-9"/>
        </w:rPr>
        <w:t> </w:t>
      </w:r>
      <w:r>
        <w:rPr/>
        <w:t>facteur</w:t>
      </w:r>
      <w:r>
        <w:rPr>
          <w:spacing w:val="-7"/>
        </w:rPr>
        <w:t> </w:t>
      </w:r>
      <w:r>
        <w:rPr/>
        <w:t>Hypoxia</w:t>
      </w:r>
      <w:r>
        <w:rPr>
          <w:spacing w:val="-7"/>
        </w:rPr>
        <w:t> </w:t>
      </w:r>
      <w:r>
        <w:rPr/>
        <w:t>Inducible</w:t>
      </w:r>
      <w:r>
        <w:rPr>
          <w:spacing w:val="-7"/>
        </w:rPr>
        <w:t> </w:t>
      </w:r>
      <w:r>
        <w:rPr/>
        <w:t>Factor 1</w:t>
      </w:r>
      <w:r>
        <w:rPr>
          <w:spacing w:val="-4"/>
        </w:rPr>
        <w:t> </w:t>
      </w:r>
      <w:r>
        <w:rPr/>
        <w:t>(HIF-1).</w:t>
      </w:r>
      <w:r>
        <w:rPr>
          <w:spacing w:val="-4"/>
        </w:rPr>
        <w:t> </w:t>
      </w:r>
      <w:r>
        <w:rPr/>
        <w:t>De</w:t>
      </w:r>
      <w:r>
        <w:rPr>
          <w:spacing w:val="-5"/>
        </w:rPr>
        <w:t> </w:t>
      </w:r>
      <w:r>
        <w:rPr/>
        <w:t>même</w:t>
      </w:r>
      <w:r>
        <w:rPr>
          <w:spacing w:val="-5"/>
        </w:rPr>
        <w:t> </w:t>
      </w:r>
      <w:r>
        <w:rPr/>
        <w:t>un</w:t>
      </w:r>
      <w:r>
        <w:rPr>
          <w:spacing w:val="-4"/>
        </w:rPr>
        <w:t> </w:t>
      </w:r>
      <w:r>
        <w:rPr/>
        <w:t>ratio</w:t>
      </w:r>
      <w:r>
        <w:rPr>
          <w:spacing w:val="-4"/>
        </w:rPr>
        <w:t> </w:t>
      </w:r>
      <w:r>
        <w:rPr/>
        <w:t>ATP/ADP</w:t>
      </w:r>
      <w:r>
        <w:rPr>
          <w:spacing w:val="-3"/>
        </w:rPr>
        <w:t> </w:t>
      </w:r>
      <w:r>
        <w:rPr/>
        <w:t>élevé</w:t>
      </w:r>
      <w:r>
        <w:rPr>
          <w:spacing w:val="-5"/>
        </w:rPr>
        <w:t> </w:t>
      </w:r>
      <w:r>
        <w:rPr/>
        <w:t>provoque</w:t>
      </w:r>
      <w:r>
        <w:rPr>
          <w:spacing w:val="-5"/>
        </w:rPr>
        <w:t> </w:t>
      </w:r>
      <w:r>
        <w:rPr/>
        <w:t>une</w:t>
      </w:r>
      <w:r>
        <w:rPr>
          <w:spacing w:val="-5"/>
        </w:rPr>
        <w:t> </w:t>
      </w:r>
      <w:r>
        <w:rPr/>
        <w:t>inactivation</w:t>
      </w:r>
      <w:r>
        <w:rPr>
          <w:spacing w:val="-4"/>
        </w:rPr>
        <w:t> </w:t>
      </w:r>
      <w:r>
        <w:rPr/>
        <w:t>de</w:t>
      </w:r>
      <w:r>
        <w:rPr>
          <w:spacing w:val="-5"/>
        </w:rPr>
        <w:t> </w:t>
      </w:r>
      <w:r>
        <w:rPr/>
        <w:t>la</w:t>
      </w:r>
      <w:r>
        <w:rPr>
          <w:spacing w:val="-4"/>
        </w:rPr>
        <w:t> </w:t>
      </w:r>
      <w:r>
        <w:rPr/>
        <w:t>PDH</w:t>
      </w:r>
      <w:r>
        <w:rPr>
          <w:spacing w:val="-1"/>
        </w:rPr>
        <w:t> </w:t>
      </w:r>
      <w:r>
        <w:rPr/>
        <w:t>(Figure</w:t>
      </w:r>
      <w:r>
        <w:rPr>
          <w:spacing w:val="-5"/>
        </w:rPr>
        <w:t> </w:t>
      </w:r>
      <w:r>
        <w:rPr/>
        <w:t>6). Dans ce cas, le pyruvate n’est pas métabolisé par la PDH, il reste dans le cytoplasme où il est réorienté pour former du lactate par la LDH, mécanisme qui sera détaillé par la suite (Figure 18).</w:t>
      </w:r>
    </w:p>
    <w:p>
      <w:pPr>
        <w:pStyle w:val="BodyText"/>
        <w:spacing w:before="3"/>
        <w:rPr>
          <w:sz w:val="11"/>
        </w:rPr>
      </w:pPr>
      <w:r>
        <w:rPr/>
        <w:drawing>
          <wp:anchor distT="0" distB="0" distL="0" distR="0" allowOverlap="1" layoutInCell="1" locked="0" behindDoc="0" simplePos="0" relativeHeight="1312">
            <wp:simplePos x="0" y="0"/>
            <wp:positionH relativeFrom="page">
              <wp:posOffset>1349375</wp:posOffset>
            </wp:positionH>
            <wp:positionV relativeFrom="paragraph">
              <wp:posOffset>106996</wp:posOffset>
            </wp:positionV>
            <wp:extent cx="5697393" cy="1991677"/>
            <wp:effectExtent l="0" t="0" r="0" b="0"/>
            <wp:wrapTopAndBottom/>
            <wp:docPr id="23" name="image10.png" descr=""/>
            <wp:cNvGraphicFramePr>
              <a:graphicFrameLocks noChangeAspect="1"/>
            </wp:cNvGraphicFramePr>
            <a:graphic>
              <a:graphicData uri="http://schemas.openxmlformats.org/drawingml/2006/picture">
                <pic:pic>
                  <pic:nvPicPr>
                    <pic:cNvPr id="24" name="image10.png"/>
                    <pic:cNvPicPr/>
                  </pic:nvPicPr>
                  <pic:blipFill>
                    <a:blip r:embed="rId16" cstate="print"/>
                    <a:stretch>
                      <a:fillRect/>
                    </a:stretch>
                  </pic:blipFill>
                  <pic:spPr>
                    <a:xfrm>
                      <a:off x="0" y="0"/>
                      <a:ext cx="5697393" cy="1991677"/>
                    </a:xfrm>
                    <a:prstGeom prst="rect">
                      <a:avLst/>
                    </a:prstGeom>
                  </pic:spPr>
                </pic:pic>
              </a:graphicData>
            </a:graphic>
          </wp:anchor>
        </w:drawing>
      </w:r>
    </w:p>
    <w:p>
      <w:pPr>
        <w:spacing w:before="131"/>
        <w:ind w:left="1033" w:right="0" w:firstLine="0"/>
        <w:jc w:val="left"/>
        <w:rPr>
          <w:i/>
          <w:sz w:val="18"/>
        </w:rPr>
      </w:pPr>
      <w:bookmarkStart w:name="_bookmark18" w:id="26"/>
      <w:bookmarkEnd w:id="26"/>
      <w:r>
        <w:rPr/>
      </w:r>
      <w:r>
        <w:rPr>
          <w:i/>
          <w:color w:val="44536A"/>
          <w:sz w:val="18"/>
        </w:rPr>
        <w:t>Figure 6 : Le contrôle de l'activation de la PDH par les intermédiaires du métabolisme énergétique.</w:t>
      </w:r>
    </w:p>
    <w:p>
      <w:pPr>
        <w:pStyle w:val="BodyText"/>
        <w:rPr>
          <w:i/>
          <w:sz w:val="20"/>
        </w:rPr>
      </w:pPr>
    </w:p>
    <w:p>
      <w:pPr>
        <w:pStyle w:val="BodyText"/>
        <w:spacing w:before="9"/>
        <w:rPr>
          <w:i/>
          <w:sz w:val="27"/>
        </w:rPr>
      </w:pPr>
    </w:p>
    <w:p>
      <w:pPr>
        <w:pStyle w:val="Heading3"/>
        <w:numPr>
          <w:ilvl w:val="1"/>
          <w:numId w:val="4"/>
        </w:numPr>
        <w:tabs>
          <w:tab w:pos="1557" w:val="left" w:leader="none"/>
        </w:tabs>
        <w:spacing w:line="240" w:lineRule="auto" w:before="0" w:after="0"/>
        <w:ind w:left="1556" w:right="0" w:hanging="360"/>
        <w:jc w:val="left"/>
      </w:pPr>
      <w:bookmarkStart w:name="_bookmark19" w:id="27"/>
      <w:bookmarkEnd w:id="27"/>
      <w:r>
        <w:rPr>
          <w:b w:val="0"/>
        </w:rPr>
      </w:r>
      <w:bookmarkStart w:name="_bookmark19" w:id="28"/>
      <w:bookmarkEnd w:id="28"/>
      <w:r>
        <w:rPr/>
        <w:t>L’i</w:t>
      </w:r>
      <w:r>
        <w:rPr/>
        <w:t>mportance des</w:t>
      </w:r>
      <w:r>
        <w:rPr>
          <w:spacing w:val="-13"/>
        </w:rPr>
        <w:t> </w:t>
      </w:r>
      <w:r>
        <w:rPr/>
        <w:t>coenzymes</w:t>
      </w:r>
    </w:p>
    <w:p>
      <w:pPr>
        <w:pStyle w:val="BodyText"/>
        <w:spacing w:before="2"/>
        <w:rPr>
          <w:b/>
          <w:sz w:val="44"/>
        </w:rPr>
      </w:pPr>
    </w:p>
    <w:p>
      <w:pPr>
        <w:pStyle w:val="BodyText"/>
        <w:spacing w:line="276" w:lineRule="auto"/>
        <w:ind w:left="116" w:right="615" w:firstLine="707"/>
        <w:jc w:val="both"/>
      </w:pPr>
      <w:r>
        <w:rPr/>
        <w:t>Le NAD</w:t>
      </w:r>
      <w:r>
        <w:rPr>
          <w:position w:val="9"/>
          <w:sz w:val="16"/>
        </w:rPr>
        <w:t>+ </w:t>
      </w:r>
      <w:r>
        <w:rPr/>
        <w:t>issu des réactions catalysées par les déhydrogénases cytosoliques (malate déshydrogénase, LDH, glycérol phosphate déshydrogénase,…) est essentiel à de nombreuses voies</w:t>
      </w:r>
      <w:r>
        <w:rPr>
          <w:spacing w:val="-12"/>
        </w:rPr>
        <w:t> </w:t>
      </w:r>
      <w:r>
        <w:rPr/>
        <w:t>métaboliques.</w:t>
      </w:r>
      <w:r>
        <w:rPr>
          <w:spacing w:val="-10"/>
        </w:rPr>
        <w:t> </w:t>
      </w:r>
      <w:r>
        <w:rPr>
          <w:spacing w:val="-3"/>
        </w:rPr>
        <w:t>Il</w:t>
      </w:r>
      <w:r>
        <w:rPr>
          <w:spacing w:val="-9"/>
        </w:rPr>
        <w:t> </w:t>
      </w:r>
      <w:r>
        <w:rPr/>
        <w:t>est</w:t>
      </w:r>
      <w:r>
        <w:rPr>
          <w:spacing w:val="-11"/>
        </w:rPr>
        <w:t> </w:t>
      </w:r>
      <w:r>
        <w:rPr/>
        <w:t>crucial</w:t>
      </w:r>
      <w:r>
        <w:rPr>
          <w:spacing w:val="-12"/>
        </w:rPr>
        <w:t> </w:t>
      </w:r>
      <w:r>
        <w:rPr/>
        <w:t>pour</w:t>
      </w:r>
      <w:r>
        <w:rPr>
          <w:spacing w:val="-13"/>
        </w:rPr>
        <w:t> </w:t>
      </w:r>
      <w:r>
        <w:rPr/>
        <w:t>l’activité</w:t>
      </w:r>
      <w:r>
        <w:rPr>
          <w:spacing w:val="-13"/>
        </w:rPr>
        <w:t> </w:t>
      </w:r>
      <w:r>
        <w:rPr/>
        <w:t>de</w:t>
      </w:r>
      <w:r>
        <w:rPr>
          <w:spacing w:val="-9"/>
        </w:rPr>
        <w:t> </w:t>
      </w:r>
      <w:r>
        <w:rPr/>
        <w:t>la</w:t>
      </w:r>
      <w:r>
        <w:rPr>
          <w:spacing w:val="-13"/>
        </w:rPr>
        <w:t> </w:t>
      </w:r>
      <w:r>
        <w:rPr/>
        <w:t>GAPDH</w:t>
      </w:r>
      <w:r>
        <w:rPr>
          <w:spacing w:val="-13"/>
        </w:rPr>
        <w:t> </w:t>
      </w:r>
      <w:r>
        <w:rPr/>
        <w:t>dans</w:t>
      </w:r>
      <w:r>
        <w:rPr>
          <w:spacing w:val="-12"/>
        </w:rPr>
        <w:t> </w:t>
      </w:r>
      <w:r>
        <w:rPr/>
        <w:t>la</w:t>
      </w:r>
      <w:r>
        <w:rPr>
          <w:spacing w:val="-10"/>
        </w:rPr>
        <w:t> </w:t>
      </w:r>
      <w:r>
        <w:rPr/>
        <w:t>glycolyse,</w:t>
      </w:r>
      <w:r>
        <w:rPr>
          <w:spacing w:val="-12"/>
        </w:rPr>
        <w:t> </w:t>
      </w:r>
      <w:r>
        <w:rPr/>
        <w:t>mais</w:t>
      </w:r>
      <w:r>
        <w:rPr>
          <w:spacing w:val="-12"/>
        </w:rPr>
        <w:t> </w:t>
      </w:r>
      <w:r>
        <w:rPr/>
        <w:t>aussi</w:t>
      </w:r>
      <w:r>
        <w:rPr>
          <w:spacing w:val="-11"/>
        </w:rPr>
        <w:t> </w:t>
      </w:r>
      <w:r>
        <w:rPr/>
        <w:t>lors de la synthèse des bases pyrimidiques ou encore lors de la réparation de l’ADN (Acide DésoxyriboNucléique). Son rôle dans l’activation des sirtuines, déacétylases impliquées dans l’angiogenèse,</w:t>
      </w:r>
      <w:r>
        <w:rPr>
          <w:spacing w:val="-5"/>
        </w:rPr>
        <w:t> </w:t>
      </w:r>
      <w:r>
        <w:rPr/>
        <w:t>mais</w:t>
      </w:r>
      <w:r>
        <w:rPr>
          <w:spacing w:val="-7"/>
        </w:rPr>
        <w:t> </w:t>
      </w:r>
      <w:r>
        <w:rPr/>
        <w:t>aussi</w:t>
      </w:r>
      <w:r>
        <w:rPr>
          <w:spacing w:val="-4"/>
        </w:rPr>
        <w:t> </w:t>
      </w:r>
      <w:r>
        <w:rPr/>
        <w:t>dans</w:t>
      </w:r>
      <w:r>
        <w:rPr>
          <w:spacing w:val="-7"/>
        </w:rPr>
        <w:t> </w:t>
      </w:r>
      <w:r>
        <w:rPr/>
        <w:t>la</w:t>
      </w:r>
      <w:r>
        <w:rPr>
          <w:spacing w:val="-7"/>
        </w:rPr>
        <w:t> </w:t>
      </w:r>
      <w:r>
        <w:rPr/>
        <w:t>progression</w:t>
      </w:r>
      <w:r>
        <w:rPr>
          <w:spacing w:val="-7"/>
        </w:rPr>
        <w:t> </w:t>
      </w:r>
      <w:r>
        <w:rPr/>
        <w:t>tumorale</w:t>
      </w:r>
      <w:r>
        <w:rPr>
          <w:spacing w:val="-5"/>
        </w:rPr>
        <w:t> </w:t>
      </w:r>
      <w:r>
        <w:rPr/>
        <w:t>et</w:t>
      </w:r>
      <w:r>
        <w:rPr>
          <w:spacing w:val="-5"/>
        </w:rPr>
        <w:t> </w:t>
      </w:r>
      <w:r>
        <w:rPr/>
        <w:t>le</w:t>
      </w:r>
      <w:r>
        <w:rPr>
          <w:spacing w:val="-8"/>
        </w:rPr>
        <w:t> </w:t>
      </w:r>
      <w:r>
        <w:rPr/>
        <w:t>contrôle</w:t>
      </w:r>
      <w:r>
        <w:rPr>
          <w:spacing w:val="-8"/>
        </w:rPr>
        <w:t> </w:t>
      </w:r>
      <w:r>
        <w:rPr/>
        <w:t>du</w:t>
      </w:r>
      <w:r>
        <w:rPr>
          <w:spacing w:val="-5"/>
        </w:rPr>
        <w:t> </w:t>
      </w:r>
      <w:r>
        <w:rPr/>
        <w:t>cycle</w:t>
      </w:r>
      <w:r>
        <w:rPr>
          <w:spacing w:val="-8"/>
        </w:rPr>
        <w:t> </w:t>
      </w:r>
      <w:r>
        <w:rPr/>
        <w:t>cellulaire,</w:t>
      </w:r>
      <w:r>
        <w:rPr>
          <w:spacing w:val="-7"/>
        </w:rPr>
        <w:t> </w:t>
      </w:r>
      <w:r>
        <w:rPr/>
        <w:t>en</w:t>
      </w:r>
      <w:r>
        <w:rPr>
          <w:spacing w:val="-5"/>
        </w:rPr>
        <w:t> </w:t>
      </w:r>
      <w:r>
        <w:rPr/>
        <w:t>fait un élément clé pour comprendre le métabolisme de la cellule tumorale (Witt et al.,</w:t>
      </w:r>
      <w:r>
        <w:rPr>
          <w:spacing w:val="-8"/>
        </w:rPr>
        <w:t> </w:t>
      </w:r>
      <w:r>
        <w:rPr/>
        <w:t>2009).</w:t>
      </w:r>
    </w:p>
    <w:p>
      <w:pPr>
        <w:pStyle w:val="BodyText"/>
        <w:spacing w:line="276" w:lineRule="auto" w:before="149"/>
        <w:ind w:left="116" w:right="615" w:firstLine="707"/>
        <w:jc w:val="both"/>
      </w:pPr>
      <w:r>
        <w:rPr/>
        <w:t>Le coenzyme réduit NADPH,H</w:t>
      </w:r>
      <w:r>
        <w:rPr>
          <w:position w:val="9"/>
          <w:sz w:val="16"/>
        </w:rPr>
        <w:t>+ </w:t>
      </w:r>
      <w:r>
        <w:rPr/>
        <w:t>est, quant à lui, utilisé pour les voies de biosynthèse des</w:t>
      </w:r>
      <w:r>
        <w:rPr>
          <w:spacing w:val="-9"/>
        </w:rPr>
        <w:t> </w:t>
      </w:r>
      <w:r>
        <w:rPr/>
        <w:t>acides</w:t>
      </w:r>
      <w:r>
        <w:rPr>
          <w:spacing w:val="-7"/>
        </w:rPr>
        <w:t> </w:t>
      </w:r>
      <w:r>
        <w:rPr/>
        <w:t>gras,</w:t>
      </w:r>
      <w:r>
        <w:rPr>
          <w:spacing w:val="-9"/>
        </w:rPr>
        <w:t> </w:t>
      </w:r>
      <w:r>
        <w:rPr/>
        <w:t>des</w:t>
      </w:r>
      <w:r>
        <w:rPr>
          <w:spacing w:val="-7"/>
        </w:rPr>
        <w:t> </w:t>
      </w:r>
      <w:r>
        <w:rPr/>
        <w:t>acides</w:t>
      </w:r>
      <w:r>
        <w:rPr>
          <w:spacing w:val="-9"/>
        </w:rPr>
        <w:t> </w:t>
      </w:r>
      <w:r>
        <w:rPr/>
        <w:t>nucléiques</w:t>
      </w:r>
      <w:r>
        <w:rPr>
          <w:spacing w:val="-9"/>
        </w:rPr>
        <w:t> </w:t>
      </w:r>
      <w:r>
        <w:rPr/>
        <w:t>et</w:t>
      </w:r>
      <w:r>
        <w:rPr>
          <w:spacing w:val="-9"/>
        </w:rPr>
        <w:t> </w:t>
      </w:r>
      <w:r>
        <w:rPr/>
        <w:t>des</w:t>
      </w:r>
      <w:r>
        <w:rPr>
          <w:spacing w:val="-9"/>
        </w:rPr>
        <w:t> </w:t>
      </w:r>
      <w:r>
        <w:rPr/>
        <w:t>acides</w:t>
      </w:r>
      <w:r>
        <w:rPr>
          <w:spacing w:val="-8"/>
        </w:rPr>
        <w:t> </w:t>
      </w:r>
      <w:r>
        <w:rPr/>
        <w:t>aminés.</w:t>
      </w:r>
      <w:r>
        <w:rPr>
          <w:spacing w:val="-7"/>
        </w:rPr>
        <w:t> </w:t>
      </w:r>
      <w:r>
        <w:rPr>
          <w:spacing w:val="-3"/>
        </w:rPr>
        <w:t>Il</w:t>
      </w:r>
      <w:r>
        <w:rPr>
          <w:spacing w:val="-9"/>
        </w:rPr>
        <w:t> </w:t>
      </w:r>
      <w:r>
        <w:rPr/>
        <w:t>est</w:t>
      </w:r>
      <w:r>
        <w:rPr>
          <w:spacing w:val="-9"/>
        </w:rPr>
        <w:t> </w:t>
      </w:r>
      <w:r>
        <w:rPr/>
        <w:t>produit</w:t>
      </w:r>
      <w:r>
        <w:rPr>
          <w:spacing w:val="-9"/>
        </w:rPr>
        <w:t> </w:t>
      </w:r>
      <w:r>
        <w:rPr/>
        <w:t>par</w:t>
      </w:r>
      <w:r>
        <w:rPr>
          <w:spacing w:val="-8"/>
        </w:rPr>
        <w:t> </w:t>
      </w:r>
      <w:r>
        <w:rPr/>
        <w:t>la</w:t>
      </w:r>
      <w:r>
        <w:rPr>
          <w:spacing w:val="-10"/>
        </w:rPr>
        <w:t> </w:t>
      </w:r>
      <w:r>
        <w:rPr/>
        <w:t>partie</w:t>
      </w:r>
      <w:r>
        <w:rPr>
          <w:spacing w:val="-10"/>
        </w:rPr>
        <w:t> </w:t>
      </w:r>
      <w:r>
        <w:rPr/>
        <w:t>oxydative</w:t>
      </w:r>
    </w:p>
    <w:p>
      <w:pPr>
        <w:spacing w:after="0" w:line="276" w:lineRule="auto"/>
        <w:jc w:val="both"/>
        <w:sectPr>
          <w:pgSz w:w="11910" w:h="16840"/>
          <w:pgMar w:header="0" w:footer="995" w:top="1320" w:bottom="1240" w:left="1300" w:right="800"/>
        </w:sectPr>
      </w:pPr>
    </w:p>
    <w:p>
      <w:pPr>
        <w:pStyle w:val="BodyText"/>
        <w:spacing w:line="276" w:lineRule="auto" w:before="72"/>
        <w:ind w:left="116" w:right="114"/>
        <w:jc w:val="both"/>
      </w:pPr>
      <w:r>
        <w:rPr/>
        <w:t>de la PPP, par la transformation du malate en pyruvate par l’enzyme malique, par la glutamate déshydrogénase et/ou par l’isocitrate déshydrogénase (IDH). De plus, il joue un rôle essentiel dans les mécanismes de détoxification et d’antioxydant au sein de la cellule, en maintenant le pool de glutathion sous forme réduite, ce qui empêche l’accumulation des ROS (Reactive Oxygen Species) (Kuo et al., 2000).</w:t>
      </w:r>
    </w:p>
    <w:p>
      <w:pPr>
        <w:pStyle w:val="BodyText"/>
        <w:rPr>
          <w:sz w:val="26"/>
        </w:rPr>
      </w:pPr>
    </w:p>
    <w:p>
      <w:pPr>
        <w:pStyle w:val="BodyText"/>
        <w:spacing w:before="2"/>
        <w:rPr>
          <w:sz w:val="28"/>
        </w:rPr>
      </w:pPr>
    </w:p>
    <w:p>
      <w:pPr>
        <w:pStyle w:val="Heading3"/>
        <w:numPr>
          <w:ilvl w:val="1"/>
          <w:numId w:val="4"/>
        </w:numPr>
        <w:tabs>
          <w:tab w:pos="1626" w:val="left" w:leader="none"/>
        </w:tabs>
        <w:spacing w:line="240" w:lineRule="auto" w:before="0" w:after="0"/>
        <w:ind w:left="1626" w:right="0" w:hanging="430"/>
        <w:jc w:val="left"/>
      </w:pPr>
      <w:bookmarkStart w:name="_bookmark20" w:id="29"/>
      <w:bookmarkEnd w:id="29"/>
      <w:r>
        <w:rPr/>
        <w:t>C</w:t>
      </w:r>
      <w:r>
        <w:rPr/>
        <w:t>onclusion</w:t>
      </w:r>
      <w:r>
        <w:rPr>
          <w:spacing w:val="-13"/>
        </w:rPr>
        <w:t> </w:t>
      </w:r>
      <w:r>
        <w:rPr/>
        <w:t>partielle</w:t>
      </w:r>
    </w:p>
    <w:p>
      <w:pPr>
        <w:pStyle w:val="BodyText"/>
        <w:rPr>
          <w:b/>
          <w:sz w:val="42"/>
        </w:rPr>
      </w:pPr>
    </w:p>
    <w:p>
      <w:pPr>
        <w:pStyle w:val="BodyText"/>
        <w:spacing w:line="276" w:lineRule="auto"/>
        <w:ind w:left="116" w:right="114" w:firstLine="707"/>
        <w:jc w:val="both"/>
      </w:pPr>
      <w:r>
        <w:rPr/>
        <w:t>Chaque cellule animale produit son énergie à l’issu du métabolisme des glucides, des lipides et des protéines (non développés dans cette partie). Les carbones des molécules </w:t>
      </w:r>
      <w:r>
        <w:rPr>
          <w:position w:val="2"/>
        </w:rPr>
        <w:t>énergétiques sont oxydés en CO</w:t>
      </w:r>
      <w:r>
        <w:rPr>
          <w:sz w:val="16"/>
        </w:rPr>
        <w:t>2</w:t>
      </w:r>
      <w:r>
        <w:rPr>
          <w:position w:val="2"/>
        </w:rPr>
        <w:t>, et les électrons libérés à l’issu de ces réactions sont utilisés </w:t>
      </w:r>
      <w:r>
        <w:rPr/>
        <w:t>pour</w:t>
      </w:r>
      <w:r>
        <w:rPr>
          <w:spacing w:val="-6"/>
        </w:rPr>
        <w:t> </w:t>
      </w:r>
      <w:r>
        <w:rPr/>
        <w:t>la</w:t>
      </w:r>
      <w:r>
        <w:rPr>
          <w:spacing w:val="-5"/>
        </w:rPr>
        <w:t> </w:t>
      </w:r>
      <w:r>
        <w:rPr/>
        <w:t>synthèse</w:t>
      </w:r>
      <w:r>
        <w:rPr>
          <w:spacing w:val="-6"/>
        </w:rPr>
        <w:t> </w:t>
      </w:r>
      <w:r>
        <w:rPr/>
        <w:t>d’ATP,</w:t>
      </w:r>
      <w:r>
        <w:rPr>
          <w:spacing w:val="-5"/>
        </w:rPr>
        <w:t> </w:t>
      </w:r>
      <w:r>
        <w:rPr/>
        <w:t>énergie</w:t>
      </w:r>
      <w:r>
        <w:rPr>
          <w:spacing w:val="-5"/>
        </w:rPr>
        <w:t> </w:t>
      </w:r>
      <w:r>
        <w:rPr/>
        <w:t>libre</w:t>
      </w:r>
      <w:r>
        <w:rPr>
          <w:spacing w:val="-7"/>
        </w:rPr>
        <w:t> </w:t>
      </w:r>
      <w:r>
        <w:rPr/>
        <w:t>nécessaire</w:t>
      </w:r>
      <w:r>
        <w:rPr>
          <w:spacing w:val="-7"/>
        </w:rPr>
        <w:t> </w:t>
      </w:r>
      <w:r>
        <w:rPr/>
        <w:t>à</w:t>
      </w:r>
      <w:r>
        <w:rPr>
          <w:spacing w:val="-4"/>
        </w:rPr>
        <w:t> </w:t>
      </w:r>
      <w:r>
        <w:rPr/>
        <w:t>la</w:t>
      </w:r>
      <w:r>
        <w:rPr>
          <w:spacing w:val="-5"/>
        </w:rPr>
        <w:t> </w:t>
      </w:r>
      <w:r>
        <w:rPr/>
        <w:t>synthèse</w:t>
      </w:r>
      <w:r>
        <w:rPr>
          <w:spacing w:val="-6"/>
        </w:rPr>
        <w:t> </w:t>
      </w:r>
      <w:r>
        <w:rPr/>
        <w:t>de</w:t>
      </w:r>
      <w:r>
        <w:rPr>
          <w:spacing w:val="-6"/>
        </w:rPr>
        <w:t> </w:t>
      </w:r>
      <w:r>
        <w:rPr/>
        <w:t>macromolécules,</w:t>
      </w:r>
      <w:r>
        <w:rPr>
          <w:spacing w:val="-5"/>
        </w:rPr>
        <w:t> </w:t>
      </w:r>
      <w:r>
        <w:rPr/>
        <w:t>au</w:t>
      </w:r>
      <w:r>
        <w:rPr>
          <w:spacing w:val="-5"/>
        </w:rPr>
        <w:t> </w:t>
      </w:r>
      <w:r>
        <w:rPr/>
        <w:t>transport de molécules ou d’ions, ainsi qu’aux mouvements cellulaires. Les réactions d’oxydation du glucose (glycolyse, cycle de Krebs) sont des processus régulés permettant à la cellule de s’adapter à son environnement et ses besoins énergétiques. Le rendement est maximal en </w:t>
      </w:r>
      <w:r>
        <w:rPr>
          <w:position w:val="2"/>
        </w:rPr>
        <w:t>présence d’O</w:t>
      </w:r>
      <w:r>
        <w:rPr>
          <w:sz w:val="16"/>
        </w:rPr>
        <w:t>2</w:t>
      </w:r>
      <w:r>
        <w:rPr>
          <w:position w:val="2"/>
        </w:rPr>
        <w:t>, mais la cellule est capable de s’adapter en conditions d’hypoxie. </w:t>
      </w:r>
      <w:r>
        <w:rPr>
          <w:spacing w:val="-3"/>
          <w:position w:val="2"/>
        </w:rPr>
        <w:t>Le </w:t>
      </w:r>
      <w:r>
        <w:rPr>
          <w:position w:val="2"/>
        </w:rPr>
        <w:t>schéma </w:t>
      </w:r>
      <w:r>
        <w:rPr/>
        <w:t>suivant (Figure 7) représente de façon simplifiée le métabolisme du glucose, à l’origine des biosynthèses cellulaires indispensables à la prolifération et à la survie</w:t>
      </w:r>
      <w:r>
        <w:rPr>
          <w:spacing w:val="-12"/>
        </w:rPr>
        <w:t> </w:t>
      </w:r>
      <w:r>
        <w:rPr/>
        <w:t>cellulaire.</w:t>
      </w:r>
    </w:p>
    <w:p>
      <w:pPr>
        <w:pStyle w:val="BodyText"/>
        <w:spacing w:before="3"/>
        <w:rPr>
          <w:sz w:val="11"/>
        </w:rPr>
      </w:pPr>
      <w:r>
        <w:rPr/>
        <w:drawing>
          <wp:anchor distT="0" distB="0" distL="0" distR="0" allowOverlap="1" layoutInCell="1" locked="0" behindDoc="0" simplePos="0" relativeHeight="1336">
            <wp:simplePos x="0" y="0"/>
            <wp:positionH relativeFrom="page">
              <wp:posOffset>1489455</wp:posOffset>
            </wp:positionH>
            <wp:positionV relativeFrom="paragraph">
              <wp:posOffset>107146</wp:posOffset>
            </wp:positionV>
            <wp:extent cx="4834854" cy="3637597"/>
            <wp:effectExtent l="0" t="0" r="0" b="0"/>
            <wp:wrapTopAndBottom/>
            <wp:docPr id="25" name="image11.jpeg" descr=""/>
            <wp:cNvGraphicFramePr>
              <a:graphicFrameLocks noChangeAspect="1"/>
            </wp:cNvGraphicFramePr>
            <a:graphic>
              <a:graphicData uri="http://schemas.openxmlformats.org/drawingml/2006/picture">
                <pic:pic>
                  <pic:nvPicPr>
                    <pic:cNvPr id="26" name="image11.jpeg"/>
                    <pic:cNvPicPr/>
                  </pic:nvPicPr>
                  <pic:blipFill>
                    <a:blip r:embed="rId17" cstate="print"/>
                    <a:stretch>
                      <a:fillRect/>
                    </a:stretch>
                  </pic:blipFill>
                  <pic:spPr>
                    <a:xfrm>
                      <a:off x="0" y="0"/>
                      <a:ext cx="4834854" cy="3637597"/>
                    </a:xfrm>
                    <a:prstGeom prst="rect">
                      <a:avLst/>
                    </a:prstGeom>
                  </pic:spPr>
                </pic:pic>
              </a:graphicData>
            </a:graphic>
          </wp:anchor>
        </w:drawing>
      </w:r>
    </w:p>
    <w:p>
      <w:pPr>
        <w:spacing w:before="141"/>
        <w:ind w:left="1532" w:right="0" w:firstLine="0"/>
        <w:jc w:val="left"/>
        <w:rPr>
          <w:i/>
          <w:sz w:val="18"/>
        </w:rPr>
      </w:pPr>
      <w:bookmarkStart w:name="_bookmark21" w:id="30"/>
      <w:bookmarkEnd w:id="30"/>
      <w:r>
        <w:rPr/>
      </w:r>
      <w:r>
        <w:rPr>
          <w:i/>
          <w:color w:val="44536A"/>
          <w:position w:val="1"/>
          <w:sz w:val="18"/>
        </w:rPr>
        <w:t>Figure 7 : Une vue d'ensemble simplifiée du métabolisme du glucose. </w:t>
      </w:r>
      <w:r>
        <w:rPr>
          <w:i/>
          <w:color w:val="44536A"/>
          <w:sz w:val="18"/>
        </w:rPr>
        <w:t>D’après Jang et al., 2013.</w:t>
      </w:r>
    </w:p>
    <w:p>
      <w:pPr>
        <w:pStyle w:val="BodyText"/>
        <w:spacing w:before="1"/>
        <w:rPr>
          <w:i/>
          <w:sz w:val="19"/>
        </w:rPr>
      </w:pPr>
    </w:p>
    <w:p>
      <w:pPr>
        <w:pStyle w:val="BodyText"/>
        <w:spacing w:line="276" w:lineRule="auto"/>
        <w:ind w:left="116" w:right="116" w:firstLine="707"/>
        <w:jc w:val="both"/>
      </w:pPr>
      <w:r>
        <w:rPr/>
        <w:t>Voyons maintenant comment ces caractéristiques de l’ensemble des cellules animales se retrouvent modifiées dans les cellules cancéreuses, leur conférant une possibilité de biosynthèses et de prolifération accrue.</w:t>
      </w:r>
    </w:p>
    <w:p>
      <w:pPr>
        <w:spacing w:after="0" w:line="276" w:lineRule="auto"/>
        <w:jc w:val="both"/>
        <w:sectPr>
          <w:pgSz w:w="11910" w:h="16840"/>
          <w:pgMar w:header="0" w:footer="995" w:top="1320" w:bottom="1240" w:left="1300" w:right="1300"/>
        </w:sectPr>
      </w:pPr>
    </w:p>
    <w:p>
      <w:pPr>
        <w:pStyle w:val="Heading2"/>
        <w:numPr>
          <w:ilvl w:val="0"/>
          <w:numId w:val="4"/>
        </w:numPr>
        <w:tabs>
          <w:tab w:pos="1196" w:val="left" w:leader="none"/>
          <w:tab w:pos="1197" w:val="left" w:leader="none"/>
        </w:tabs>
        <w:spacing w:line="240" w:lineRule="auto" w:before="57" w:after="0"/>
        <w:ind w:left="1196" w:right="0" w:hanging="720"/>
        <w:jc w:val="left"/>
        <w:rPr>
          <w:u w:val="none"/>
        </w:rPr>
      </w:pPr>
      <w:bookmarkStart w:name="_bookmark22" w:id="31"/>
      <w:bookmarkEnd w:id="31"/>
      <w:r>
        <w:rPr>
          <w:b w:val="0"/>
          <w:u w:val="none"/>
        </w:rPr>
      </w:r>
      <w:bookmarkStart w:name="_bookmark22" w:id="32"/>
      <w:bookmarkEnd w:id="32"/>
      <w:r>
        <w:rPr>
          <w:u w:val="thick"/>
        </w:rPr>
        <w:t>Spécific</w:t>
      </w:r>
      <w:r>
        <w:rPr>
          <w:u w:val="thick"/>
        </w:rPr>
        <w:t>ités du métabolisme de la cellule</w:t>
      </w:r>
      <w:r>
        <w:rPr>
          <w:spacing w:val="-19"/>
          <w:u w:val="thick"/>
        </w:rPr>
        <w:t> </w:t>
      </w:r>
      <w:r>
        <w:rPr>
          <w:u w:val="thick"/>
        </w:rPr>
        <w:t>tumorale</w:t>
      </w:r>
    </w:p>
    <w:p>
      <w:pPr>
        <w:pStyle w:val="BodyText"/>
        <w:rPr>
          <w:b/>
          <w:sz w:val="20"/>
        </w:rPr>
      </w:pPr>
    </w:p>
    <w:p>
      <w:pPr>
        <w:pStyle w:val="BodyText"/>
        <w:spacing w:before="7"/>
        <w:rPr>
          <w:b/>
          <w:sz w:val="18"/>
        </w:rPr>
      </w:pPr>
    </w:p>
    <w:p>
      <w:pPr>
        <w:pStyle w:val="Heading3"/>
        <w:numPr>
          <w:ilvl w:val="1"/>
          <w:numId w:val="4"/>
        </w:numPr>
        <w:tabs>
          <w:tab w:pos="1610" w:val="left" w:leader="none"/>
        </w:tabs>
        <w:spacing w:line="240" w:lineRule="auto" w:before="89" w:after="0"/>
        <w:ind w:left="1609" w:right="0" w:hanging="360"/>
        <w:jc w:val="left"/>
      </w:pPr>
      <w:bookmarkStart w:name="_bookmark23" w:id="33"/>
      <w:bookmarkEnd w:id="33"/>
      <w:r>
        <w:rPr>
          <w:b w:val="0"/>
        </w:rPr>
      </w:r>
      <w:bookmarkStart w:name="_bookmark23" w:id="34"/>
      <w:bookmarkEnd w:id="34"/>
      <w:r>
        <w:rPr/>
        <w:t>L’</w:t>
      </w:r>
      <w:r>
        <w:rPr/>
        <w:t>effet Warburg et son interprétation au fil des</w:t>
      </w:r>
      <w:r>
        <w:rPr>
          <w:spacing w:val="-15"/>
        </w:rPr>
        <w:t> </w:t>
      </w:r>
      <w:r>
        <w:rPr/>
        <w:t>années</w:t>
      </w:r>
    </w:p>
    <w:p>
      <w:pPr>
        <w:pStyle w:val="BodyText"/>
        <w:rPr>
          <w:b/>
          <w:sz w:val="30"/>
        </w:rPr>
      </w:pPr>
    </w:p>
    <w:p>
      <w:pPr>
        <w:pStyle w:val="BodyText"/>
        <w:spacing w:line="273" w:lineRule="auto" w:before="176"/>
        <w:ind w:left="116" w:right="117" w:firstLine="707"/>
        <w:jc w:val="both"/>
      </w:pPr>
      <w:r>
        <w:rPr/>
        <w:t>L’effet Warburg est défini par la capacité des cellules cancéreuses à utiliser les fermentations aérobies, qui consistent en une consommation accrue de glucose et une production d’acide lactique, et ce même en présence d’O</w:t>
      </w:r>
      <w:r>
        <w:rPr>
          <w:position w:val="-1"/>
          <w:sz w:val="16"/>
        </w:rPr>
        <w:t>2 </w:t>
      </w:r>
      <w:r>
        <w:rPr/>
        <w:t>(Warburg, 1956a). Cet effet se comprend comme un effet Pasteur anormal. Selon l’effet Pasteur, dans une cellule normale, lorsque</w:t>
      </w:r>
      <w:r>
        <w:rPr>
          <w:spacing w:val="-6"/>
        </w:rPr>
        <w:t> </w:t>
      </w:r>
      <w:r>
        <w:rPr/>
        <w:t>la</w:t>
      </w:r>
      <w:r>
        <w:rPr>
          <w:spacing w:val="-5"/>
        </w:rPr>
        <w:t> </w:t>
      </w:r>
      <w:r>
        <w:rPr/>
        <w:t>quantité</w:t>
      </w:r>
      <w:r>
        <w:rPr>
          <w:spacing w:val="-5"/>
        </w:rPr>
        <w:t> </w:t>
      </w:r>
      <w:r>
        <w:rPr/>
        <w:t>d’O</w:t>
      </w:r>
      <w:r>
        <w:rPr>
          <w:position w:val="-1"/>
          <w:sz w:val="16"/>
        </w:rPr>
        <w:t>2</w:t>
      </w:r>
      <w:r>
        <w:rPr>
          <w:spacing w:val="15"/>
          <w:position w:val="-1"/>
          <w:sz w:val="16"/>
        </w:rPr>
        <w:t> </w:t>
      </w:r>
      <w:r>
        <w:rPr/>
        <w:t>n’est</w:t>
      </w:r>
      <w:r>
        <w:rPr>
          <w:spacing w:val="-4"/>
        </w:rPr>
        <w:t> </w:t>
      </w:r>
      <w:r>
        <w:rPr/>
        <w:t>pas</w:t>
      </w:r>
      <w:r>
        <w:rPr>
          <w:spacing w:val="-5"/>
        </w:rPr>
        <w:t> </w:t>
      </w:r>
      <w:r>
        <w:rPr/>
        <w:t>suffisante,</w:t>
      </w:r>
      <w:r>
        <w:rPr>
          <w:spacing w:val="-5"/>
        </w:rPr>
        <w:t> </w:t>
      </w:r>
      <w:r>
        <w:rPr/>
        <w:t>une</w:t>
      </w:r>
      <w:r>
        <w:rPr>
          <w:spacing w:val="-6"/>
        </w:rPr>
        <w:t> </w:t>
      </w:r>
      <w:r>
        <w:rPr/>
        <w:t>glycolyse</w:t>
      </w:r>
      <w:r>
        <w:rPr>
          <w:spacing w:val="-6"/>
        </w:rPr>
        <w:t> </w:t>
      </w:r>
      <w:r>
        <w:rPr/>
        <w:t>anaérobie</w:t>
      </w:r>
      <w:r>
        <w:rPr>
          <w:spacing w:val="-6"/>
        </w:rPr>
        <w:t> </w:t>
      </w:r>
      <w:r>
        <w:rPr/>
        <w:t>(production</w:t>
      </w:r>
      <w:r>
        <w:rPr>
          <w:spacing w:val="-5"/>
        </w:rPr>
        <w:t> </w:t>
      </w:r>
      <w:r>
        <w:rPr/>
        <w:t>de</w:t>
      </w:r>
      <w:r>
        <w:rPr>
          <w:spacing w:val="-6"/>
        </w:rPr>
        <w:t> </w:t>
      </w:r>
      <w:r>
        <w:rPr/>
        <w:t>lactate)</w:t>
      </w:r>
      <w:r>
        <w:rPr>
          <w:spacing w:val="-6"/>
        </w:rPr>
        <w:t> </w:t>
      </w:r>
      <w:r>
        <w:rPr/>
        <w:t>se produit.</w:t>
      </w:r>
    </w:p>
    <w:p>
      <w:pPr>
        <w:pStyle w:val="BodyText"/>
        <w:spacing w:line="259" w:lineRule="auto" w:before="166"/>
        <w:ind w:left="116" w:right="115" w:firstLine="707"/>
        <w:jc w:val="both"/>
      </w:pPr>
      <w:r>
        <w:rPr/>
        <w:t>Nous allons nous attacher à expliquer les mécanismes de la mise en place de l’effet Warburg au sein de la cellule cancéreuse, ainsi que ses conséquences (gestion de l’acide lactique et des protons). Les autres voies du métabolisme biochimique (détail des réactions anaboliques, entre autres) ne seront pas développées.</w:t>
      </w:r>
    </w:p>
    <w:p>
      <w:pPr>
        <w:pStyle w:val="BodyText"/>
        <w:spacing w:line="276" w:lineRule="auto" w:before="163"/>
        <w:ind w:left="116" w:right="112" w:firstLine="707"/>
        <w:jc w:val="both"/>
      </w:pPr>
      <w:r>
        <w:rPr/>
        <w:t>La</w:t>
      </w:r>
      <w:r>
        <w:rPr>
          <w:spacing w:val="-15"/>
        </w:rPr>
        <w:t> </w:t>
      </w:r>
      <w:r>
        <w:rPr/>
        <w:t>théorie</w:t>
      </w:r>
      <w:r>
        <w:rPr>
          <w:spacing w:val="-16"/>
        </w:rPr>
        <w:t> </w:t>
      </w:r>
      <w:r>
        <w:rPr/>
        <w:t>initiale</w:t>
      </w:r>
      <w:r>
        <w:rPr>
          <w:spacing w:val="-17"/>
        </w:rPr>
        <w:t> </w:t>
      </w:r>
      <w:r>
        <w:rPr/>
        <w:t>d’Otto</w:t>
      </w:r>
      <w:r>
        <w:rPr>
          <w:spacing w:val="-15"/>
        </w:rPr>
        <w:t> </w:t>
      </w:r>
      <w:r>
        <w:rPr/>
        <w:t>Warburg</w:t>
      </w:r>
      <w:r>
        <w:rPr>
          <w:spacing w:val="-14"/>
        </w:rPr>
        <w:t> </w:t>
      </w:r>
      <w:r>
        <w:rPr/>
        <w:t>(1924)</w:t>
      </w:r>
      <w:r>
        <w:rPr>
          <w:spacing w:val="-14"/>
        </w:rPr>
        <w:t> </w:t>
      </w:r>
      <w:r>
        <w:rPr/>
        <w:t>est</w:t>
      </w:r>
      <w:r>
        <w:rPr>
          <w:spacing w:val="-15"/>
        </w:rPr>
        <w:t> </w:t>
      </w:r>
      <w:r>
        <w:rPr/>
        <w:t>que</w:t>
      </w:r>
      <w:r>
        <w:rPr>
          <w:spacing w:val="-17"/>
        </w:rPr>
        <w:t> </w:t>
      </w:r>
      <w:r>
        <w:rPr/>
        <w:t>la</w:t>
      </w:r>
      <w:r>
        <w:rPr>
          <w:spacing w:val="-17"/>
        </w:rPr>
        <w:t> </w:t>
      </w:r>
      <w:r>
        <w:rPr/>
        <w:t>glycolyse</w:t>
      </w:r>
      <w:r>
        <w:rPr>
          <w:spacing w:val="-17"/>
        </w:rPr>
        <w:t> </w:t>
      </w:r>
      <w:r>
        <w:rPr/>
        <w:t>aérobie</w:t>
      </w:r>
      <w:r>
        <w:rPr>
          <w:spacing w:val="-15"/>
        </w:rPr>
        <w:t> </w:t>
      </w:r>
      <w:r>
        <w:rPr/>
        <w:t>est</w:t>
      </w:r>
      <w:r>
        <w:rPr>
          <w:spacing w:val="-15"/>
        </w:rPr>
        <w:t> </w:t>
      </w:r>
      <w:r>
        <w:rPr/>
        <w:t>due</w:t>
      </w:r>
      <w:r>
        <w:rPr>
          <w:spacing w:val="-17"/>
        </w:rPr>
        <w:t> </w:t>
      </w:r>
      <w:r>
        <w:rPr/>
        <w:t>à</w:t>
      </w:r>
      <w:r>
        <w:rPr>
          <w:spacing w:val="-17"/>
        </w:rPr>
        <w:t> </w:t>
      </w:r>
      <w:r>
        <w:rPr/>
        <w:t>un</w:t>
      </w:r>
      <w:r>
        <w:rPr>
          <w:spacing w:val="-16"/>
        </w:rPr>
        <w:t> </w:t>
      </w:r>
      <w:r>
        <w:rPr/>
        <w:t>défaut initial de la respiration cellulaire chez les cellules tumorales (Warburg, 1956b). D’après lui, ce phénomène</w:t>
      </w:r>
      <w:r>
        <w:rPr>
          <w:spacing w:val="-15"/>
        </w:rPr>
        <w:t> </w:t>
      </w:r>
      <w:r>
        <w:rPr/>
        <w:t>est</w:t>
      </w:r>
      <w:r>
        <w:rPr>
          <w:spacing w:val="-13"/>
        </w:rPr>
        <w:t> </w:t>
      </w:r>
      <w:r>
        <w:rPr/>
        <w:t>à</w:t>
      </w:r>
      <w:r>
        <w:rPr>
          <w:spacing w:val="-14"/>
        </w:rPr>
        <w:t> </w:t>
      </w:r>
      <w:r>
        <w:rPr/>
        <w:t>la</w:t>
      </w:r>
      <w:r>
        <w:rPr>
          <w:spacing w:val="-14"/>
        </w:rPr>
        <w:t> </w:t>
      </w:r>
      <w:r>
        <w:rPr/>
        <w:t>base</w:t>
      </w:r>
      <w:r>
        <w:rPr>
          <w:spacing w:val="-14"/>
        </w:rPr>
        <w:t> </w:t>
      </w:r>
      <w:r>
        <w:rPr/>
        <w:t>du</w:t>
      </w:r>
      <w:r>
        <w:rPr>
          <w:spacing w:val="-13"/>
        </w:rPr>
        <w:t> </w:t>
      </w:r>
      <w:r>
        <w:rPr/>
        <w:t>processus</w:t>
      </w:r>
      <w:r>
        <w:rPr>
          <w:spacing w:val="-13"/>
        </w:rPr>
        <w:t> </w:t>
      </w:r>
      <w:r>
        <w:rPr/>
        <w:t>tumoral.</w:t>
      </w:r>
      <w:r>
        <w:rPr>
          <w:spacing w:val="-13"/>
        </w:rPr>
        <w:t> </w:t>
      </w:r>
      <w:r>
        <w:rPr/>
        <w:t>En</w:t>
      </w:r>
      <w:r>
        <w:rPr>
          <w:spacing w:val="-14"/>
        </w:rPr>
        <w:t> </w:t>
      </w:r>
      <w:r>
        <w:rPr/>
        <w:t>plus</w:t>
      </w:r>
      <w:r>
        <w:rPr>
          <w:spacing w:val="-13"/>
        </w:rPr>
        <w:t> </w:t>
      </w:r>
      <w:r>
        <w:rPr/>
        <w:t>des</w:t>
      </w:r>
      <w:r>
        <w:rPr>
          <w:spacing w:val="-11"/>
        </w:rPr>
        <w:t> </w:t>
      </w:r>
      <w:r>
        <w:rPr/>
        <w:t>dysfonctionnements</w:t>
      </w:r>
      <w:r>
        <w:rPr>
          <w:spacing w:val="-13"/>
        </w:rPr>
        <w:t> </w:t>
      </w:r>
      <w:r>
        <w:rPr/>
        <w:t>de</w:t>
      </w:r>
      <w:r>
        <w:rPr>
          <w:spacing w:val="-13"/>
        </w:rPr>
        <w:t> </w:t>
      </w:r>
      <w:r>
        <w:rPr/>
        <w:t>la</w:t>
      </w:r>
      <w:r>
        <w:rPr>
          <w:spacing w:val="-14"/>
        </w:rPr>
        <w:t> </w:t>
      </w:r>
      <w:r>
        <w:rPr/>
        <w:t>respiration mitochondriale, un environnement hypoxique, des signaux oncogéniques et des altérations des enzymes du métabolisme contribuent à l’effet Warburg (Pelicano et al., 2006). Cet ensemble mutlifactoriel conduit à la reprogrammation métabolique de la cellule cancéreuse, au sens des voies métaboliques classiques qui sont activées ou réprimées dans les cellules tumorales comparée aux cellules saines (DeBerardinis et Chandel,</w:t>
      </w:r>
      <w:r>
        <w:rPr>
          <w:spacing w:val="-9"/>
        </w:rPr>
        <w:t> </w:t>
      </w:r>
      <w:r>
        <w:rPr/>
        <w:t>2016).</w:t>
      </w:r>
    </w:p>
    <w:p>
      <w:pPr>
        <w:pStyle w:val="BodyText"/>
        <w:spacing w:line="276" w:lineRule="auto" w:before="164"/>
        <w:ind w:left="47" w:right="114" w:firstLine="707"/>
        <w:jc w:val="right"/>
      </w:pPr>
      <w:r>
        <w:rPr/>
        <w:t>Cet effet Warburg caractérise la plupart des tumeurs, quelle que soit leur</w:t>
      </w:r>
      <w:r>
        <w:rPr>
          <w:spacing w:val="51"/>
        </w:rPr>
        <w:t> </w:t>
      </w:r>
      <w:r>
        <w:rPr/>
        <w:t>origine cellulaire ou tissulaire. Cette caractéristique est à la base des techniques d’imagerie de type PET-Scan (Positron Emission Tomography). </w:t>
      </w:r>
      <w:r>
        <w:rPr>
          <w:spacing w:val="-3"/>
        </w:rPr>
        <w:t>La </w:t>
      </w:r>
      <w:r>
        <w:rPr/>
        <w:t>détection des tumeurs grâce à leur consommation de l’analogue du glucose (2-désoxy-2-(18F)-Fluoro-D-Glucose) est largement utilisée. </w:t>
      </w:r>
      <w:r>
        <w:rPr>
          <w:spacing w:val="-3"/>
        </w:rPr>
        <w:t>Le </w:t>
      </w:r>
      <w:r>
        <w:rPr/>
        <w:t>PET-scan est également utilisé pour suivre l’efficacité d’une chimiothérapie (Vander Heiden et al., 2009). L’intensité de la consommation de glucose permettrait également de définir l’agressivité et/ou le caractère prolifératif des cellules tumorales (Szablewski, 2013).</w:t>
      </w:r>
    </w:p>
    <w:p>
      <w:pPr>
        <w:pStyle w:val="BodyText"/>
        <w:spacing w:line="276" w:lineRule="auto" w:before="164"/>
        <w:ind w:left="116" w:right="107" w:firstLine="707"/>
        <w:jc w:val="both"/>
      </w:pPr>
      <w:r>
        <w:rPr/>
        <w:t>Depuis quelques années, les recherches se sont attachées à démontrer les imprécisions de</w:t>
      </w:r>
      <w:r>
        <w:rPr>
          <w:spacing w:val="-17"/>
        </w:rPr>
        <w:t> </w:t>
      </w:r>
      <w:r>
        <w:rPr/>
        <w:t>la</w:t>
      </w:r>
      <w:r>
        <w:rPr>
          <w:spacing w:val="-16"/>
        </w:rPr>
        <w:t> </w:t>
      </w:r>
      <w:r>
        <w:rPr/>
        <w:t>théorie</w:t>
      </w:r>
      <w:r>
        <w:rPr>
          <w:spacing w:val="-17"/>
        </w:rPr>
        <w:t> </w:t>
      </w:r>
      <w:r>
        <w:rPr/>
        <w:t>d’Otto</w:t>
      </w:r>
      <w:r>
        <w:rPr>
          <w:spacing w:val="-15"/>
        </w:rPr>
        <w:t> </w:t>
      </w:r>
      <w:r>
        <w:rPr/>
        <w:t>Warburg.</w:t>
      </w:r>
      <w:r>
        <w:rPr>
          <w:spacing w:val="-12"/>
        </w:rPr>
        <w:t> </w:t>
      </w:r>
      <w:r>
        <w:rPr/>
        <w:t>Certains</w:t>
      </w:r>
      <w:r>
        <w:rPr>
          <w:spacing w:val="-13"/>
        </w:rPr>
        <w:t> </w:t>
      </w:r>
      <w:r>
        <w:rPr/>
        <w:t>auteurs</w:t>
      </w:r>
      <w:r>
        <w:rPr>
          <w:spacing w:val="-16"/>
        </w:rPr>
        <w:t> </w:t>
      </w:r>
      <w:r>
        <w:rPr/>
        <w:t>observaient</w:t>
      </w:r>
      <w:r>
        <w:rPr>
          <w:spacing w:val="-16"/>
        </w:rPr>
        <w:t> </w:t>
      </w:r>
      <w:r>
        <w:rPr/>
        <w:t>en</w:t>
      </w:r>
      <w:r>
        <w:rPr>
          <w:spacing w:val="-14"/>
        </w:rPr>
        <w:t> </w:t>
      </w:r>
      <w:r>
        <w:rPr/>
        <w:t>effet</w:t>
      </w:r>
      <w:r>
        <w:rPr>
          <w:spacing w:val="-15"/>
        </w:rPr>
        <w:t> </w:t>
      </w:r>
      <w:r>
        <w:rPr/>
        <w:t>un</w:t>
      </w:r>
      <w:r>
        <w:rPr>
          <w:spacing w:val="-16"/>
        </w:rPr>
        <w:t> </w:t>
      </w:r>
      <w:r>
        <w:rPr/>
        <w:t>phénomène</w:t>
      </w:r>
      <w:r>
        <w:rPr>
          <w:spacing w:val="-17"/>
        </w:rPr>
        <w:t> </w:t>
      </w:r>
      <w:r>
        <w:rPr/>
        <w:t>de</w:t>
      </w:r>
      <w:r>
        <w:rPr>
          <w:spacing w:val="-11"/>
        </w:rPr>
        <w:t> </w:t>
      </w:r>
      <w:r>
        <w:rPr/>
        <w:t>respiration mitochondriale dans des cellules tumorales (Weinhouse, 1956). Ces observations ont conduit</w:t>
      </w:r>
      <w:r>
        <w:rPr>
          <w:spacing w:val="-39"/>
        </w:rPr>
        <w:t> </w:t>
      </w:r>
      <w:r>
        <w:rPr/>
        <w:t>à développer le concept de coopération entre cellules cancéreuses, cellules « glycolytiques » d’une part (qui respectent à la lettre l’effet Warburg, et vivent dans un environnement hypoxique), et les cellules « oxydatives » qui utilisent les phosphorylations oxydatives suite à la conversion du lactate en pyruvate. Depuis quelques années sont également décrites les cellules du stroma, qui fonctionnent sur un mode glycolytique et fournissent du lactate aux cellules</w:t>
      </w:r>
      <w:r>
        <w:rPr>
          <w:spacing w:val="-9"/>
        </w:rPr>
        <w:t> </w:t>
      </w:r>
      <w:r>
        <w:rPr/>
        <w:t>fonctionnant</w:t>
      </w:r>
      <w:r>
        <w:rPr>
          <w:spacing w:val="-8"/>
        </w:rPr>
        <w:t> </w:t>
      </w:r>
      <w:r>
        <w:rPr/>
        <w:t>sur</w:t>
      </w:r>
      <w:r>
        <w:rPr>
          <w:spacing w:val="-7"/>
        </w:rPr>
        <w:t> </w:t>
      </w:r>
      <w:r>
        <w:rPr/>
        <w:t>un</w:t>
      </w:r>
      <w:r>
        <w:rPr>
          <w:spacing w:val="-9"/>
        </w:rPr>
        <w:t> </w:t>
      </w:r>
      <w:r>
        <w:rPr/>
        <w:t>mode</w:t>
      </w:r>
      <w:r>
        <w:rPr>
          <w:spacing w:val="-9"/>
        </w:rPr>
        <w:t> </w:t>
      </w:r>
      <w:r>
        <w:rPr/>
        <w:t>oxydatif.</w:t>
      </w:r>
      <w:r>
        <w:rPr>
          <w:spacing w:val="-9"/>
        </w:rPr>
        <w:t> </w:t>
      </w:r>
      <w:r>
        <w:rPr/>
        <w:t>Ces</w:t>
      </w:r>
      <w:r>
        <w:rPr>
          <w:spacing w:val="-6"/>
        </w:rPr>
        <w:t> </w:t>
      </w:r>
      <w:r>
        <w:rPr/>
        <w:t>interactions</w:t>
      </w:r>
      <w:r>
        <w:rPr>
          <w:spacing w:val="-8"/>
        </w:rPr>
        <w:t> </w:t>
      </w:r>
      <w:r>
        <w:rPr/>
        <w:t>métaboliques</w:t>
      </w:r>
      <w:r>
        <w:rPr>
          <w:spacing w:val="-6"/>
        </w:rPr>
        <w:t> </w:t>
      </w:r>
      <w:r>
        <w:rPr/>
        <w:t>se</w:t>
      </w:r>
      <w:r>
        <w:rPr>
          <w:spacing w:val="-9"/>
        </w:rPr>
        <w:t> </w:t>
      </w:r>
      <w:r>
        <w:rPr/>
        <w:t>retrouvent</w:t>
      </w:r>
      <w:r>
        <w:rPr>
          <w:spacing w:val="-8"/>
        </w:rPr>
        <w:t> </w:t>
      </w:r>
      <w:r>
        <w:rPr/>
        <w:t>dans</w:t>
      </w:r>
      <w:r>
        <w:rPr>
          <w:spacing w:val="-8"/>
        </w:rPr>
        <w:t> </w:t>
      </w:r>
      <w:r>
        <w:rPr/>
        <w:t>la bibliographie  sous   le  nom   de   « reverse »  effet   Warburg  (Lee  et   Yoon,   2015). </w:t>
      </w:r>
      <w:r>
        <w:rPr>
          <w:spacing w:val="52"/>
        </w:rPr>
        <w:t> </w:t>
      </w:r>
      <w:r>
        <w:rPr/>
        <w:t>Nous</w:t>
      </w:r>
    </w:p>
    <w:p>
      <w:pPr>
        <w:spacing w:after="0" w:line="276" w:lineRule="auto"/>
        <w:jc w:val="both"/>
        <w:sectPr>
          <w:pgSz w:w="11910" w:h="16840"/>
          <w:pgMar w:header="0" w:footer="995" w:top="1340" w:bottom="1240" w:left="1300" w:right="1300"/>
        </w:sectPr>
      </w:pPr>
    </w:p>
    <w:p>
      <w:pPr>
        <w:pStyle w:val="BodyText"/>
        <w:spacing w:line="276" w:lineRule="auto" w:before="72"/>
        <w:ind w:left="116" w:right="663"/>
      </w:pPr>
      <w:r>
        <w:rPr/>
        <w:t>rediscuterons de ce phénomène dans la suite de notre travail, mais la Figure 8 suivante permet de mieux se représenter la coopération métabolique (Icard et Lincet, 2013).</w:t>
      </w:r>
    </w:p>
    <w:p>
      <w:pPr>
        <w:pStyle w:val="BodyText"/>
        <w:rPr>
          <w:sz w:val="20"/>
        </w:rPr>
      </w:pPr>
    </w:p>
    <w:p>
      <w:pPr>
        <w:pStyle w:val="BodyText"/>
        <w:rPr>
          <w:sz w:val="20"/>
        </w:rPr>
      </w:pPr>
    </w:p>
    <w:p>
      <w:pPr>
        <w:pStyle w:val="BodyText"/>
        <w:rPr>
          <w:sz w:val="11"/>
        </w:rPr>
      </w:pPr>
      <w:r>
        <w:rPr/>
        <w:drawing>
          <wp:anchor distT="0" distB="0" distL="0" distR="0" allowOverlap="1" layoutInCell="1" locked="0" behindDoc="0" simplePos="0" relativeHeight="1360">
            <wp:simplePos x="0" y="0"/>
            <wp:positionH relativeFrom="page">
              <wp:posOffset>1349375</wp:posOffset>
            </wp:positionH>
            <wp:positionV relativeFrom="paragraph">
              <wp:posOffset>105359</wp:posOffset>
            </wp:positionV>
            <wp:extent cx="5760719" cy="4286250"/>
            <wp:effectExtent l="0" t="0" r="0" b="0"/>
            <wp:wrapTopAndBottom/>
            <wp:docPr id="27" name="image12.png" descr=""/>
            <wp:cNvGraphicFramePr>
              <a:graphicFrameLocks noChangeAspect="1"/>
            </wp:cNvGraphicFramePr>
            <a:graphic>
              <a:graphicData uri="http://schemas.openxmlformats.org/drawingml/2006/picture">
                <pic:pic>
                  <pic:nvPicPr>
                    <pic:cNvPr id="28" name="image12.png"/>
                    <pic:cNvPicPr/>
                  </pic:nvPicPr>
                  <pic:blipFill>
                    <a:blip r:embed="rId18" cstate="print"/>
                    <a:stretch>
                      <a:fillRect/>
                    </a:stretch>
                  </pic:blipFill>
                  <pic:spPr>
                    <a:xfrm>
                      <a:off x="0" y="0"/>
                      <a:ext cx="5760719" cy="4286250"/>
                    </a:xfrm>
                    <a:prstGeom prst="rect">
                      <a:avLst/>
                    </a:prstGeom>
                  </pic:spPr>
                </pic:pic>
              </a:graphicData>
            </a:graphic>
          </wp:anchor>
        </w:drawing>
      </w:r>
    </w:p>
    <w:p>
      <w:pPr>
        <w:spacing w:before="169"/>
        <w:ind w:left="1930" w:right="2630" w:firstLine="0"/>
        <w:jc w:val="center"/>
        <w:rPr>
          <w:i/>
          <w:sz w:val="18"/>
        </w:rPr>
      </w:pPr>
      <w:bookmarkStart w:name="_bookmark24" w:id="35"/>
      <w:bookmarkEnd w:id="35"/>
      <w:r>
        <w:rPr/>
      </w:r>
      <w:r>
        <w:rPr>
          <w:i/>
          <w:color w:val="44536A"/>
          <w:sz w:val="18"/>
        </w:rPr>
        <w:t>Figure 8 : Une représentation schématique de la coopération métabolique.</w:t>
      </w:r>
    </w:p>
    <w:p>
      <w:pPr>
        <w:pStyle w:val="BodyText"/>
        <w:spacing w:before="10"/>
        <w:rPr>
          <w:i/>
          <w:sz w:val="19"/>
        </w:rPr>
      </w:pPr>
    </w:p>
    <w:p>
      <w:pPr>
        <w:spacing w:before="0"/>
        <w:ind w:left="1930" w:right="2628" w:firstLine="0"/>
        <w:jc w:val="center"/>
        <w:rPr>
          <w:i/>
          <w:sz w:val="18"/>
        </w:rPr>
      </w:pPr>
      <w:r>
        <w:rPr>
          <w:i/>
          <w:color w:val="44536A"/>
          <w:sz w:val="18"/>
        </w:rPr>
        <w:t>D'après Icard et Lincet, 2013.</w:t>
      </w:r>
    </w:p>
    <w:p>
      <w:pPr>
        <w:pStyle w:val="BodyText"/>
        <w:rPr>
          <w:i/>
          <w:sz w:val="20"/>
        </w:rPr>
      </w:pPr>
    </w:p>
    <w:p>
      <w:pPr>
        <w:pStyle w:val="BodyText"/>
        <w:rPr>
          <w:i/>
          <w:sz w:val="20"/>
        </w:rPr>
      </w:pPr>
    </w:p>
    <w:p>
      <w:pPr>
        <w:pStyle w:val="BodyText"/>
        <w:spacing w:before="2"/>
        <w:rPr>
          <w:i/>
          <w:sz w:val="20"/>
        </w:rPr>
      </w:pPr>
    </w:p>
    <w:p>
      <w:pPr>
        <w:pStyle w:val="Heading3"/>
        <w:numPr>
          <w:ilvl w:val="1"/>
          <w:numId w:val="4"/>
        </w:numPr>
        <w:tabs>
          <w:tab w:pos="1610" w:val="left" w:leader="none"/>
        </w:tabs>
        <w:spacing w:line="276" w:lineRule="auto" w:before="0" w:after="0"/>
        <w:ind w:left="1609" w:right="813" w:hanging="360"/>
        <w:jc w:val="left"/>
      </w:pPr>
      <w:bookmarkStart w:name="_bookmark25" w:id="36"/>
      <w:bookmarkEnd w:id="36"/>
      <w:r>
        <w:rPr>
          <w:b w:val="0"/>
        </w:rPr>
      </w:r>
      <w:bookmarkStart w:name="_bookmark25" w:id="37"/>
      <w:bookmarkEnd w:id="37"/>
      <w:r>
        <w:rPr/>
        <w:t>La</w:t>
      </w:r>
      <w:r>
        <w:rPr/>
        <w:t> prise en charge du glucose par la cellule cancéreuse, la glycolyse et la voie des pentoses</w:t>
      </w:r>
      <w:r>
        <w:rPr>
          <w:spacing w:val="-18"/>
        </w:rPr>
        <w:t> </w:t>
      </w:r>
      <w:r>
        <w:rPr/>
        <w:t>phosphates</w:t>
      </w:r>
    </w:p>
    <w:p>
      <w:pPr>
        <w:pStyle w:val="BodyText"/>
        <w:spacing w:before="3"/>
        <w:rPr>
          <w:b/>
          <w:sz w:val="41"/>
        </w:rPr>
      </w:pPr>
    </w:p>
    <w:p>
      <w:pPr>
        <w:pStyle w:val="ListParagraph"/>
        <w:numPr>
          <w:ilvl w:val="0"/>
          <w:numId w:val="7"/>
        </w:numPr>
        <w:tabs>
          <w:tab w:pos="1043" w:val="left" w:leader="none"/>
        </w:tabs>
        <w:spacing w:line="276" w:lineRule="auto" w:before="0" w:after="0"/>
        <w:ind w:left="1042" w:right="814" w:hanging="360"/>
        <w:jc w:val="left"/>
        <w:rPr>
          <w:sz w:val="24"/>
        </w:rPr>
      </w:pPr>
      <w:bookmarkStart w:name="_bookmark26" w:id="38"/>
      <w:bookmarkEnd w:id="38"/>
      <w:r>
        <w:rPr/>
      </w:r>
      <w:bookmarkStart w:name="_bookmark26" w:id="39"/>
      <w:bookmarkEnd w:id="39"/>
      <w:r>
        <w:rPr>
          <w:sz w:val="24"/>
          <w:u w:val="single"/>
        </w:rPr>
        <w:t>L</w:t>
      </w:r>
      <w:r>
        <w:rPr>
          <w:sz w:val="24"/>
          <w:u w:val="single"/>
        </w:rPr>
        <w:t>’entrée</w:t>
      </w:r>
      <w:r>
        <w:rPr>
          <w:spacing w:val="-7"/>
          <w:sz w:val="24"/>
          <w:u w:val="single"/>
        </w:rPr>
        <w:t> </w:t>
      </w:r>
      <w:r>
        <w:rPr>
          <w:sz w:val="24"/>
          <w:u w:val="single"/>
        </w:rPr>
        <w:t>dans</w:t>
      </w:r>
      <w:r>
        <w:rPr>
          <w:spacing w:val="-4"/>
          <w:sz w:val="24"/>
          <w:u w:val="single"/>
        </w:rPr>
        <w:t> </w:t>
      </w:r>
      <w:r>
        <w:rPr>
          <w:sz w:val="24"/>
          <w:u w:val="single"/>
        </w:rPr>
        <w:t>la</w:t>
      </w:r>
      <w:r>
        <w:rPr>
          <w:spacing w:val="-7"/>
          <w:sz w:val="24"/>
          <w:u w:val="single"/>
        </w:rPr>
        <w:t> </w:t>
      </w:r>
      <w:r>
        <w:rPr>
          <w:sz w:val="24"/>
          <w:u w:val="single"/>
        </w:rPr>
        <w:t>cellule</w:t>
      </w:r>
      <w:r>
        <w:rPr>
          <w:spacing w:val="-7"/>
          <w:sz w:val="24"/>
          <w:u w:val="single"/>
        </w:rPr>
        <w:t> </w:t>
      </w:r>
      <w:r>
        <w:rPr>
          <w:sz w:val="24"/>
          <w:u w:val="single"/>
        </w:rPr>
        <w:t>par</w:t>
      </w:r>
      <w:r>
        <w:rPr>
          <w:spacing w:val="-7"/>
          <w:sz w:val="24"/>
          <w:u w:val="single"/>
        </w:rPr>
        <w:t> </w:t>
      </w:r>
      <w:r>
        <w:rPr>
          <w:sz w:val="24"/>
          <w:u w:val="single"/>
        </w:rPr>
        <w:t>les</w:t>
      </w:r>
      <w:r>
        <w:rPr>
          <w:spacing w:val="-6"/>
          <w:sz w:val="24"/>
          <w:u w:val="single"/>
        </w:rPr>
        <w:t> </w:t>
      </w:r>
      <w:r>
        <w:rPr>
          <w:sz w:val="24"/>
          <w:u w:val="single"/>
        </w:rPr>
        <w:t>transporteurs</w:t>
      </w:r>
      <w:r>
        <w:rPr>
          <w:spacing w:val="-7"/>
          <w:sz w:val="24"/>
          <w:u w:val="single"/>
        </w:rPr>
        <w:t> </w:t>
      </w:r>
      <w:r>
        <w:rPr>
          <w:sz w:val="24"/>
          <w:u w:val="single"/>
        </w:rPr>
        <w:t>du</w:t>
      </w:r>
      <w:r>
        <w:rPr>
          <w:spacing w:val="-4"/>
          <w:sz w:val="24"/>
          <w:u w:val="single"/>
        </w:rPr>
        <w:t> </w:t>
      </w:r>
      <w:r>
        <w:rPr>
          <w:sz w:val="24"/>
          <w:u w:val="single"/>
        </w:rPr>
        <w:t>glucose</w:t>
      </w:r>
      <w:r>
        <w:rPr>
          <w:spacing w:val="-7"/>
          <w:sz w:val="24"/>
          <w:u w:val="single"/>
        </w:rPr>
        <w:t> </w:t>
      </w:r>
      <w:r>
        <w:rPr>
          <w:sz w:val="24"/>
          <w:u w:val="single"/>
        </w:rPr>
        <w:t>(GLUT,</w:t>
      </w:r>
      <w:r>
        <w:rPr>
          <w:spacing w:val="-6"/>
          <w:sz w:val="24"/>
          <w:u w:val="single"/>
        </w:rPr>
        <w:t> </w:t>
      </w:r>
      <w:r>
        <w:rPr>
          <w:sz w:val="24"/>
          <w:u w:val="single"/>
        </w:rPr>
        <w:t>SGLT)</w:t>
      </w:r>
      <w:r>
        <w:rPr>
          <w:spacing w:val="-7"/>
          <w:sz w:val="24"/>
          <w:u w:val="single"/>
        </w:rPr>
        <w:t> </w:t>
      </w:r>
      <w:r>
        <w:rPr>
          <w:sz w:val="24"/>
          <w:u w:val="single"/>
        </w:rPr>
        <w:t>et la</w:t>
      </w:r>
      <w:r>
        <w:rPr>
          <w:spacing w:val="-7"/>
          <w:sz w:val="24"/>
          <w:u w:val="single"/>
        </w:rPr>
        <w:t> </w:t>
      </w:r>
      <w:r>
        <w:rPr>
          <w:sz w:val="24"/>
          <w:u w:val="single"/>
        </w:rPr>
        <w:t>prise</w:t>
      </w:r>
      <w:r>
        <w:rPr>
          <w:spacing w:val="-5"/>
          <w:sz w:val="24"/>
          <w:u w:val="single"/>
        </w:rPr>
        <w:t> </w:t>
      </w:r>
      <w:r>
        <w:rPr>
          <w:sz w:val="24"/>
          <w:u w:val="single"/>
        </w:rPr>
        <w:t>en charge par les</w:t>
      </w:r>
      <w:r>
        <w:rPr>
          <w:spacing w:val="-6"/>
          <w:sz w:val="24"/>
          <w:u w:val="single"/>
        </w:rPr>
        <w:t> </w:t>
      </w:r>
      <w:r>
        <w:rPr>
          <w:sz w:val="24"/>
          <w:u w:val="single"/>
        </w:rPr>
        <w:t>hexokinases</w:t>
      </w:r>
    </w:p>
    <w:p>
      <w:pPr>
        <w:pStyle w:val="BodyText"/>
        <w:rPr>
          <w:sz w:val="20"/>
        </w:rPr>
      </w:pPr>
    </w:p>
    <w:p>
      <w:pPr>
        <w:pStyle w:val="BodyText"/>
        <w:spacing w:before="6"/>
        <w:rPr>
          <w:sz w:val="21"/>
        </w:rPr>
      </w:pPr>
    </w:p>
    <w:p>
      <w:pPr>
        <w:pStyle w:val="BodyText"/>
        <w:spacing w:line="276" w:lineRule="auto" w:before="1"/>
        <w:ind w:left="116" w:right="819" w:firstLine="707"/>
        <w:jc w:val="both"/>
      </w:pPr>
      <w:r>
        <w:rPr/>
        <w:t>Avant de pouvoir être utilisé par la cellule, le glucose, composé hydrophile, doit traverser la bicouche lipidique de la membrane plasmique. Il peut alors emprunter deux types de transporteurs.</w:t>
      </w:r>
    </w:p>
    <w:p>
      <w:pPr>
        <w:pStyle w:val="ListParagraph"/>
        <w:numPr>
          <w:ilvl w:val="1"/>
          <w:numId w:val="7"/>
        </w:numPr>
        <w:tabs>
          <w:tab w:pos="1185" w:val="left" w:leader="none"/>
        </w:tabs>
        <w:spacing w:line="276" w:lineRule="auto" w:before="164" w:after="0"/>
        <w:ind w:left="1184" w:right="816" w:hanging="360"/>
        <w:jc w:val="left"/>
        <w:rPr>
          <w:sz w:val="24"/>
        </w:rPr>
      </w:pPr>
      <w:r>
        <w:rPr>
          <w:sz w:val="24"/>
        </w:rPr>
        <w:t>La famille des GLUTs (GLUcose Transporters) : ce sont des transporteurs passifs, le </w:t>
      </w:r>
      <w:r>
        <w:rPr>
          <w:spacing w:val="15"/>
          <w:sz w:val="24"/>
        </w:rPr>
        <w:t> </w:t>
      </w:r>
      <w:r>
        <w:rPr>
          <w:sz w:val="24"/>
        </w:rPr>
        <w:t>glucose </w:t>
      </w:r>
      <w:r>
        <w:rPr>
          <w:spacing w:val="15"/>
          <w:sz w:val="24"/>
        </w:rPr>
        <w:t> </w:t>
      </w:r>
      <w:r>
        <w:rPr>
          <w:sz w:val="24"/>
        </w:rPr>
        <w:t>pénètre </w:t>
      </w:r>
      <w:r>
        <w:rPr>
          <w:spacing w:val="15"/>
          <w:sz w:val="24"/>
        </w:rPr>
        <w:t> </w:t>
      </w:r>
      <w:r>
        <w:rPr>
          <w:sz w:val="24"/>
        </w:rPr>
        <w:t>selon </w:t>
      </w:r>
      <w:r>
        <w:rPr>
          <w:spacing w:val="16"/>
          <w:sz w:val="24"/>
        </w:rPr>
        <w:t> </w:t>
      </w:r>
      <w:r>
        <w:rPr>
          <w:sz w:val="24"/>
        </w:rPr>
        <w:t>son </w:t>
      </w:r>
      <w:r>
        <w:rPr>
          <w:spacing w:val="16"/>
          <w:sz w:val="24"/>
        </w:rPr>
        <w:t> </w:t>
      </w:r>
      <w:r>
        <w:rPr>
          <w:sz w:val="24"/>
        </w:rPr>
        <w:t>gradient </w:t>
      </w:r>
      <w:r>
        <w:rPr>
          <w:spacing w:val="15"/>
          <w:sz w:val="24"/>
        </w:rPr>
        <w:t> </w:t>
      </w:r>
      <w:r>
        <w:rPr>
          <w:sz w:val="24"/>
        </w:rPr>
        <w:t>de </w:t>
      </w:r>
      <w:r>
        <w:rPr>
          <w:spacing w:val="15"/>
          <w:sz w:val="24"/>
        </w:rPr>
        <w:t> </w:t>
      </w:r>
      <w:r>
        <w:rPr>
          <w:sz w:val="24"/>
        </w:rPr>
        <w:t>concentration. </w:t>
      </w:r>
      <w:r>
        <w:rPr>
          <w:spacing w:val="20"/>
          <w:sz w:val="24"/>
        </w:rPr>
        <w:t> </w:t>
      </w:r>
      <w:r>
        <w:rPr>
          <w:sz w:val="24"/>
        </w:rPr>
        <w:t>Les </w:t>
      </w:r>
      <w:r>
        <w:rPr>
          <w:spacing w:val="16"/>
          <w:sz w:val="24"/>
        </w:rPr>
        <w:t> </w:t>
      </w:r>
      <w:r>
        <w:rPr>
          <w:sz w:val="24"/>
        </w:rPr>
        <w:t>expressions </w:t>
      </w:r>
      <w:r>
        <w:rPr>
          <w:spacing w:val="16"/>
          <w:sz w:val="24"/>
        </w:rPr>
        <w:t> </w:t>
      </w:r>
      <w:r>
        <w:rPr>
          <w:sz w:val="24"/>
        </w:rPr>
        <w:t>des</w:t>
      </w:r>
    </w:p>
    <w:p>
      <w:pPr>
        <w:spacing w:after="0" w:line="276" w:lineRule="auto"/>
        <w:jc w:val="left"/>
        <w:rPr>
          <w:sz w:val="24"/>
        </w:rPr>
        <w:sectPr>
          <w:pgSz w:w="11910" w:h="16840"/>
          <w:pgMar w:header="0" w:footer="995" w:top="1320" w:bottom="1240" w:left="1300" w:right="600"/>
        </w:sectPr>
      </w:pPr>
    </w:p>
    <w:p>
      <w:pPr>
        <w:pStyle w:val="BodyText"/>
        <w:spacing w:line="278" w:lineRule="auto" w:before="72"/>
        <w:ind w:left="1184"/>
      </w:pPr>
      <w:r>
        <w:rPr/>
        <w:t>isoformes GLUT1, GLUT2 et GLUT3 sont augmentées dans de nombreux types tumoraux et souvent corrélées à un mauvais pronostic (Macheda et al., 2005).</w:t>
      </w:r>
    </w:p>
    <w:p>
      <w:pPr>
        <w:pStyle w:val="ListParagraph"/>
        <w:numPr>
          <w:ilvl w:val="1"/>
          <w:numId w:val="7"/>
        </w:numPr>
        <w:tabs>
          <w:tab w:pos="1185" w:val="left" w:leader="none"/>
        </w:tabs>
        <w:spacing w:line="271" w:lineRule="auto" w:before="0" w:after="0"/>
        <w:ind w:left="1184" w:right="114" w:hanging="360"/>
        <w:jc w:val="both"/>
        <w:rPr>
          <w:sz w:val="24"/>
        </w:rPr>
      </w:pPr>
      <w:r>
        <w:rPr>
          <w:sz w:val="24"/>
        </w:rPr>
        <w:t>La</w:t>
      </w:r>
      <w:r>
        <w:rPr>
          <w:spacing w:val="-6"/>
          <w:sz w:val="24"/>
        </w:rPr>
        <w:t> </w:t>
      </w:r>
      <w:r>
        <w:rPr>
          <w:sz w:val="24"/>
        </w:rPr>
        <w:t>famille</w:t>
      </w:r>
      <w:r>
        <w:rPr>
          <w:spacing w:val="-6"/>
          <w:sz w:val="24"/>
        </w:rPr>
        <w:t> </w:t>
      </w:r>
      <w:r>
        <w:rPr>
          <w:sz w:val="24"/>
        </w:rPr>
        <w:t>des</w:t>
      </w:r>
      <w:r>
        <w:rPr>
          <w:spacing w:val="-5"/>
          <w:sz w:val="24"/>
        </w:rPr>
        <w:t> </w:t>
      </w:r>
      <w:r>
        <w:rPr>
          <w:sz w:val="24"/>
        </w:rPr>
        <w:t>SGLTs</w:t>
      </w:r>
      <w:r>
        <w:rPr>
          <w:spacing w:val="-5"/>
          <w:sz w:val="24"/>
        </w:rPr>
        <w:t> </w:t>
      </w:r>
      <w:r>
        <w:rPr>
          <w:sz w:val="24"/>
        </w:rPr>
        <w:t>(Sodium</w:t>
      </w:r>
      <w:r>
        <w:rPr>
          <w:spacing w:val="-4"/>
          <w:sz w:val="24"/>
        </w:rPr>
        <w:t> </w:t>
      </w:r>
      <w:r>
        <w:rPr>
          <w:sz w:val="24"/>
        </w:rPr>
        <w:t>Glucose</w:t>
      </w:r>
      <w:r>
        <w:rPr>
          <w:spacing w:val="-3"/>
          <w:sz w:val="24"/>
        </w:rPr>
        <w:t> </w:t>
      </w:r>
      <w:r>
        <w:rPr>
          <w:sz w:val="24"/>
        </w:rPr>
        <w:t>Linked</w:t>
      </w:r>
      <w:r>
        <w:rPr>
          <w:spacing w:val="-5"/>
          <w:sz w:val="24"/>
        </w:rPr>
        <w:t> </w:t>
      </w:r>
      <w:r>
        <w:rPr>
          <w:sz w:val="24"/>
        </w:rPr>
        <w:t>Transporter)</w:t>
      </w:r>
      <w:r>
        <w:rPr>
          <w:spacing w:val="-2"/>
          <w:sz w:val="24"/>
        </w:rPr>
        <w:t> </w:t>
      </w:r>
      <w:r>
        <w:rPr>
          <w:sz w:val="24"/>
        </w:rPr>
        <w:t>:</w:t>
      </w:r>
      <w:r>
        <w:rPr>
          <w:spacing w:val="-4"/>
          <w:sz w:val="24"/>
        </w:rPr>
        <w:t> </w:t>
      </w:r>
      <w:r>
        <w:rPr>
          <w:sz w:val="24"/>
        </w:rPr>
        <w:t>ce</w:t>
      </w:r>
      <w:r>
        <w:rPr>
          <w:spacing w:val="-6"/>
          <w:sz w:val="24"/>
        </w:rPr>
        <w:t> </w:t>
      </w:r>
      <w:r>
        <w:rPr>
          <w:sz w:val="24"/>
        </w:rPr>
        <w:t>sont</w:t>
      </w:r>
      <w:r>
        <w:rPr>
          <w:spacing w:val="-4"/>
          <w:sz w:val="24"/>
        </w:rPr>
        <w:t> </w:t>
      </w:r>
      <w:r>
        <w:rPr>
          <w:sz w:val="24"/>
        </w:rPr>
        <w:t>des</w:t>
      </w:r>
      <w:r>
        <w:rPr>
          <w:spacing w:val="-5"/>
          <w:sz w:val="24"/>
        </w:rPr>
        <w:t> </w:t>
      </w:r>
      <w:r>
        <w:rPr>
          <w:sz w:val="24"/>
        </w:rPr>
        <w:t>symports Na</w:t>
      </w:r>
      <w:r>
        <w:rPr>
          <w:position w:val="9"/>
          <w:sz w:val="16"/>
        </w:rPr>
        <w:t>+</w:t>
      </w:r>
      <w:r>
        <w:rPr>
          <w:sz w:val="24"/>
        </w:rPr>
        <w:t>/glucose où le glucose pénètre dans la cellule grâce à l’énergie créée par le gradient de sodium (Szablewski, 2013). L’isoforme SGLT1 est exprimée dans des tumeurs primaires et des lésions métastatiques du pancréas (Casneuf et al.,</w:t>
      </w:r>
      <w:r>
        <w:rPr>
          <w:spacing w:val="-12"/>
          <w:sz w:val="24"/>
        </w:rPr>
        <w:t> </w:t>
      </w:r>
      <w:r>
        <w:rPr>
          <w:sz w:val="24"/>
        </w:rPr>
        <w:t>2008).</w:t>
      </w:r>
    </w:p>
    <w:p>
      <w:pPr>
        <w:pStyle w:val="BodyText"/>
        <w:spacing w:line="276" w:lineRule="auto" w:before="171"/>
        <w:ind w:left="116" w:right="118" w:firstLine="707"/>
        <w:jc w:val="both"/>
      </w:pPr>
      <w:r>
        <w:rPr/>
        <w:t>Cette augmentation du nombre de transporteurs au glucose permet de comprendre l’approvisionnement intense de la cellule cancéreuse en glucose. Une fois dans le cytoplasme, ce</w:t>
      </w:r>
      <w:r>
        <w:rPr>
          <w:spacing w:val="-12"/>
        </w:rPr>
        <w:t> </w:t>
      </w:r>
      <w:r>
        <w:rPr/>
        <w:t>dernier</w:t>
      </w:r>
      <w:r>
        <w:rPr>
          <w:spacing w:val="-9"/>
        </w:rPr>
        <w:t> </w:t>
      </w:r>
      <w:r>
        <w:rPr/>
        <w:t>est</w:t>
      </w:r>
      <w:r>
        <w:rPr>
          <w:spacing w:val="-10"/>
        </w:rPr>
        <w:t> </w:t>
      </w:r>
      <w:r>
        <w:rPr/>
        <w:t>phosphorylé</w:t>
      </w:r>
      <w:r>
        <w:rPr>
          <w:spacing w:val="-11"/>
        </w:rPr>
        <w:t> </w:t>
      </w:r>
      <w:r>
        <w:rPr/>
        <w:t>par</w:t>
      </w:r>
      <w:r>
        <w:rPr>
          <w:spacing w:val="-10"/>
        </w:rPr>
        <w:t> </w:t>
      </w:r>
      <w:r>
        <w:rPr/>
        <w:t>l’enzyme</w:t>
      </w:r>
      <w:r>
        <w:rPr>
          <w:spacing w:val="-12"/>
        </w:rPr>
        <w:t> </w:t>
      </w:r>
      <w:r>
        <w:rPr/>
        <w:t>hexokinase</w:t>
      </w:r>
      <w:r>
        <w:rPr>
          <w:spacing w:val="-12"/>
        </w:rPr>
        <w:t> </w:t>
      </w:r>
      <w:r>
        <w:rPr/>
        <w:t>(HK).</w:t>
      </w:r>
      <w:r>
        <w:rPr>
          <w:spacing w:val="-12"/>
        </w:rPr>
        <w:t> </w:t>
      </w:r>
      <w:r>
        <w:rPr/>
        <w:t>Cette</w:t>
      </w:r>
      <w:r>
        <w:rPr>
          <w:spacing w:val="-12"/>
        </w:rPr>
        <w:t> </w:t>
      </w:r>
      <w:r>
        <w:rPr/>
        <w:t>phosphorylation</w:t>
      </w:r>
      <w:r>
        <w:rPr>
          <w:spacing w:val="-11"/>
        </w:rPr>
        <w:t> </w:t>
      </w:r>
      <w:r>
        <w:rPr/>
        <w:t>est</w:t>
      </w:r>
      <w:r>
        <w:rPr>
          <w:spacing w:val="-10"/>
        </w:rPr>
        <w:t> </w:t>
      </w:r>
      <w:r>
        <w:rPr/>
        <w:t>nécessaire pour que le glucose reste dans la cellule. Cette enzyme est présente sous la forme de quatre isoformes différentes, selon le mode d’expression tissulaire. L’isoforme de type II (HKII) est surexprimée dans différents types de cellules cancéreuses (Pastorino et Hoek,</w:t>
      </w:r>
      <w:r>
        <w:rPr>
          <w:spacing w:val="-9"/>
        </w:rPr>
        <w:t> </w:t>
      </w:r>
      <w:r>
        <w:rPr/>
        <w:t>2003).</w:t>
      </w:r>
    </w:p>
    <w:p>
      <w:pPr>
        <w:pStyle w:val="BodyText"/>
        <w:rPr>
          <w:sz w:val="26"/>
        </w:rPr>
      </w:pPr>
    </w:p>
    <w:p>
      <w:pPr>
        <w:pStyle w:val="BodyText"/>
        <w:spacing w:before="10"/>
        <w:rPr>
          <w:sz w:val="27"/>
        </w:rPr>
      </w:pPr>
    </w:p>
    <w:p>
      <w:pPr>
        <w:pStyle w:val="ListParagraph"/>
        <w:numPr>
          <w:ilvl w:val="0"/>
          <w:numId w:val="7"/>
        </w:numPr>
        <w:tabs>
          <w:tab w:pos="1043" w:val="left" w:leader="none"/>
        </w:tabs>
        <w:spacing w:line="240" w:lineRule="auto" w:before="0" w:after="0"/>
        <w:ind w:left="1042" w:right="0" w:hanging="360"/>
        <w:jc w:val="left"/>
        <w:rPr>
          <w:sz w:val="24"/>
        </w:rPr>
      </w:pPr>
      <w:bookmarkStart w:name="_bookmark27" w:id="40"/>
      <w:bookmarkEnd w:id="40"/>
      <w:r>
        <w:rPr/>
      </w:r>
      <w:bookmarkStart w:name="_bookmark27" w:id="41"/>
      <w:bookmarkEnd w:id="41"/>
      <w:r>
        <w:rPr>
          <w:sz w:val="24"/>
          <w:u w:val="single"/>
        </w:rPr>
        <w:t>L</w:t>
      </w:r>
      <w:r>
        <w:rPr>
          <w:sz w:val="24"/>
          <w:u w:val="single"/>
        </w:rPr>
        <w:t>a phosphofructokinase 1 (PFK1) et sa</w:t>
      </w:r>
      <w:r>
        <w:rPr>
          <w:spacing w:val="-10"/>
          <w:sz w:val="24"/>
          <w:u w:val="single"/>
        </w:rPr>
        <w:t> </w:t>
      </w:r>
      <w:r>
        <w:rPr>
          <w:sz w:val="24"/>
          <w:u w:val="single"/>
        </w:rPr>
        <w:t>régulation</w:t>
      </w:r>
    </w:p>
    <w:p>
      <w:pPr>
        <w:pStyle w:val="BodyText"/>
        <w:rPr>
          <w:sz w:val="20"/>
        </w:rPr>
      </w:pPr>
    </w:p>
    <w:p>
      <w:pPr>
        <w:pStyle w:val="BodyText"/>
        <w:rPr>
          <w:sz w:val="22"/>
        </w:rPr>
      </w:pPr>
    </w:p>
    <w:p>
      <w:pPr>
        <w:pStyle w:val="BodyText"/>
        <w:spacing w:line="276" w:lineRule="auto"/>
        <w:ind w:left="116" w:right="114" w:firstLine="707"/>
        <w:jc w:val="both"/>
      </w:pPr>
      <w:r>
        <w:rPr/>
        <w:t>La PFK1, enzyme qui catalyse la 3</w:t>
      </w:r>
      <w:r>
        <w:rPr>
          <w:position w:val="9"/>
          <w:sz w:val="16"/>
        </w:rPr>
        <w:t>ème </w:t>
      </w:r>
      <w:r>
        <w:rPr/>
        <w:t>réaction de la glycolyse, voit son activité biologique</w:t>
      </w:r>
      <w:r>
        <w:rPr>
          <w:spacing w:val="-7"/>
        </w:rPr>
        <w:t> </w:t>
      </w:r>
      <w:r>
        <w:rPr/>
        <w:t>diminuer</w:t>
      </w:r>
      <w:r>
        <w:rPr>
          <w:spacing w:val="-7"/>
        </w:rPr>
        <w:t> </w:t>
      </w:r>
      <w:r>
        <w:rPr/>
        <w:t>quand</w:t>
      </w:r>
      <w:r>
        <w:rPr>
          <w:spacing w:val="-6"/>
        </w:rPr>
        <w:t> </w:t>
      </w:r>
      <w:r>
        <w:rPr/>
        <w:t>le</w:t>
      </w:r>
      <w:r>
        <w:rPr>
          <w:spacing w:val="-7"/>
        </w:rPr>
        <w:t> </w:t>
      </w:r>
      <w:r>
        <w:rPr/>
        <w:t>pH</w:t>
      </w:r>
      <w:r>
        <w:rPr>
          <w:spacing w:val="-7"/>
        </w:rPr>
        <w:t> </w:t>
      </w:r>
      <w:r>
        <w:rPr/>
        <w:t>intracellulaire</w:t>
      </w:r>
      <w:r>
        <w:rPr>
          <w:spacing w:val="-7"/>
        </w:rPr>
        <w:t> </w:t>
      </w:r>
      <w:r>
        <w:rPr/>
        <w:t>est</w:t>
      </w:r>
      <w:r>
        <w:rPr>
          <w:spacing w:val="-6"/>
        </w:rPr>
        <w:t> </w:t>
      </w:r>
      <w:r>
        <w:rPr/>
        <w:t>acide</w:t>
      </w:r>
      <w:r>
        <w:rPr>
          <w:spacing w:val="-5"/>
        </w:rPr>
        <w:t> </w:t>
      </w:r>
      <w:r>
        <w:rPr/>
        <w:t>(Erecińska</w:t>
      </w:r>
      <w:r>
        <w:rPr>
          <w:spacing w:val="-4"/>
        </w:rPr>
        <w:t> </w:t>
      </w:r>
      <w:r>
        <w:rPr/>
        <w:t>et</w:t>
      </w:r>
      <w:r>
        <w:rPr>
          <w:spacing w:val="-6"/>
        </w:rPr>
        <w:t> </w:t>
      </w:r>
      <w:r>
        <w:rPr/>
        <w:t>al.,</w:t>
      </w:r>
      <w:r>
        <w:rPr>
          <w:spacing w:val="-4"/>
        </w:rPr>
        <w:t> </w:t>
      </w:r>
      <w:r>
        <w:rPr/>
        <w:t>1995).</w:t>
      </w:r>
      <w:r>
        <w:rPr>
          <w:spacing w:val="-6"/>
        </w:rPr>
        <w:t> </w:t>
      </w:r>
      <w:r>
        <w:rPr/>
        <w:t>Au</w:t>
      </w:r>
      <w:r>
        <w:rPr>
          <w:spacing w:val="-7"/>
        </w:rPr>
        <w:t> </w:t>
      </w:r>
      <w:r>
        <w:rPr/>
        <w:t>sein</w:t>
      </w:r>
      <w:r>
        <w:rPr>
          <w:spacing w:val="-6"/>
        </w:rPr>
        <w:t> </w:t>
      </w:r>
      <w:r>
        <w:rPr/>
        <w:t>de</w:t>
      </w:r>
      <w:r>
        <w:rPr>
          <w:spacing w:val="-7"/>
        </w:rPr>
        <w:t> </w:t>
      </w:r>
      <w:r>
        <w:rPr/>
        <w:t>la cellule cancéreuse, le pH intracellulaire est alcalin, favorisant ainsi l’activation de la PFK1 (Cardone et al., 2005). Cette même enzyme est activée de manière allostérique par le fructose 2,6-bisphosphate (F2,6-P). Le F2,6-P est produit à partir du fructose 6-phosphate par une famille d’enzyme issue de quatre gènes différents (6-phosphofructo-2-kinase/fructose-2,6- bisphosphatase = PFKFB). Le F2,6-P peut contrer l’inhibition allostérique de l’activité de la PFK1</w:t>
      </w:r>
      <w:r>
        <w:rPr>
          <w:spacing w:val="-4"/>
        </w:rPr>
        <w:t> </w:t>
      </w:r>
      <w:r>
        <w:rPr/>
        <w:t>obtenue</w:t>
      </w:r>
      <w:r>
        <w:rPr>
          <w:spacing w:val="-5"/>
        </w:rPr>
        <w:t> </w:t>
      </w:r>
      <w:r>
        <w:rPr/>
        <w:t>avec</w:t>
      </w:r>
      <w:r>
        <w:rPr>
          <w:spacing w:val="-5"/>
        </w:rPr>
        <w:t> </w:t>
      </w:r>
      <w:r>
        <w:rPr/>
        <w:t>le</w:t>
      </w:r>
      <w:r>
        <w:rPr>
          <w:spacing w:val="-3"/>
        </w:rPr>
        <w:t> </w:t>
      </w:r>
      <w:r>
        <w:rPr/>
        <w:t>ratio</w:t>
      </w:r>
      <w:r>
        <w:rPr>
          <w:spacing w:val="-3"/>
        </w:rPr>
        <w:t> </w:t>
      </w:r>
      <w:r>
        <w:rPr/>
        <w:t>ATP/ADP</w:t>
      </w:r>
      <w:r>
        <w:rPr>
          <w:spacing w:val="-3"/>
        </w:rPr>
        <w:t> </w:t>
      </w:r>
      <w:r>
        <w:rPr/>
        <w:t>élevé</w:t>
      </w:r>
      <w:r>
        <w:rPr>
          <w:spacing w:val="-5"/>
        </w:rPr>
        <w:t> </w:t>
      </w:r>
      <w:r>
        <w:rPr/>
        <w:t>(cf.</w:t>
      </w:r>
      <w:r>
        <w:rPr>
          <w:spacing w:val="-2"/>
        </w:rPr>
        <w:t> </w:t>
      </w:r>
      <w:r>
        <w:rPr/>
        <w:t>I.D),</w:t>
      </w:r>
      <w:r>
        <w:rPr>
          <w:spacing w:val="-4"/>
        </w:rPr>
        <w:t> </w:t>
      </w:r>
      <w:r>
        <w:rPr/>
        <w:t>et</w:t>
      </w:r>
      <w:r>
        <w:rPr>
          <w:spacing w:val="-3"/>
        </w:rPr>
        <w:t> </w:t>
      </w:r>
      <w:r>
        <w:rPr/>
        <w:t>renforcer</w:t>
      </w:r>
      <w:r>
        <w:rPr>
          <w:spacing w:val="-5"/>
        </w:rPr>
        <w:t> </w:t>
      </w:r>
      <w:r>
        <w:rPr/>
        <w:t>la</w:t>
      </w:r>
      <w:r>
        <w:rPr>
          <w:spacing w:val="-2"/>
        </w:rPr>
        <w:t> </w:t>
      </w:r>
      <w:r>
        <w:rPr/>
        <w:t>glycolyse</w:t>
      </w:r>
      <w:r>
        <w:rPr>
          <w:spacing w:val="-5"/>
        </w:rPr>
        <w:t> </w:t>
      </w:r>
      <w:r>
        <w:rPr/>
        <w:t>même</w:t>
      </w:r>
      <w:r>
        <w:rPr>
          <w:spacing w:val="-4"/>
        </w:rPr>
        <w:t> </w:t>
      </w:r>
      <w:r>
        <w:rPr/>
        <w:t>en</w:t>
      </w:r>
      <w:r>
        <w:rPr>
          <w:spacing w:val="-4"/>
        </w:rPr>
        <w:t> </w:t>
      </w:r>
      <w:r>
        <w:rPr/>
        <w:t>cas</w:t>
      </w:r>
      <w:r>
        <w:rPr>
          <w:spacing w:val="-4"/>
        </w:rPr>
        <w:t> </w:t>
      </w:r>
      <w:r>
        <w:rPr/>
        <w:t>de ratio</w:t>
      </w:r>
      <w:r>
        <w:rPr>
          <w:spacing w:val="-14"/>
        </w:rPr>
        <w:t> </w:t>
      </w:r>
      <w:r>
        <w:rPr/>
        <w:t>ATP/ADP</w:t>
      </w:r>
      <w:r>
        <w:rPr>
          <w:spacing w:val="-14"/>
        </w:rPr>
        <w:t> </w:t>
      </w:r>
      <w:r>
        <w:rPr/>
        <w:t>élevé</w:t>
      </w:r>
      <w:r>
        <w:rPr>
          <w:spacing w:val="-15"/>
        </w:rPr>
        <w:t> </w:t>
      </w:r>
      <w:r>
        <w:rPr/>
        <w:t>(Yalcin</w:t>
      </w:r>
      <w:r>
        <w:rPr>
          <w:spacing w:val="-14"/>
        </w:rPr>
        <w:t> </w:t>
      </w:r>
      <w:r>
        <w:rPr/>
        <w:t>et</w:t>
      </w:r>
      <w:r>
        <w:rPr>
          <w:spacing w:val="-14"/>
        </w:rPr>
        <w:t> </w:t>
      </w:r>
      <w:r>
        <w:rPr/>
        <w:t>al.,</w:t>
      </w:r>
      <w:r>
        <w:rPr>
          <w:spacing w:val="-14"/>
        </w:rPr>
        <w:t> </w:t>
      </w:r>
      <w:r>
        <w:rPr/>
        <w:t>2009).</w:t>
      </w:r>
      <w:r>
        <w:rPr>
          <w:spacing w:val="-14"/>
        </w:rPr>
        <w:t> </w:t>
      </w:r>
      <w:r>
        <w:rPr/>
        <w:t>Généralement,</w:t>
      </w:r>
      <w:r>
        <w:rPr>
          <w:spacing w:val="-14"/>
        </w:rPr>
        <w:t> </w:t>
      </w:r>
      <w:r>
        <w:rPr/>
        <w:t>dans</w:t>
      </w:r>
      <w:r>
        <w:rPr>
          <w:spacing w:val="-14"/>
        </w:rPr>
        <w:t> </w:t>
      </w:r>
      <w:r>
        <w:rPr/>
        <w:t>les</w:t>
      </w:r>
      <w:r>
        <w:rPr>
          <w:spacing w:val="-15"/>
        </w:rPr>
        <w:t> </w:t>
      </w:r>
      <w:r>
        <w:rPr/>
        <w:t>cellules</w:t>
      </w:r>
      <w:r>
        <w:rPr>
          <w:spacing w:val="-15"/>
        </w:rPr>
        <w:t> </w:t>
      </w:r>
      <w:r>
        <w:rPr/>
        <w:t>cancéreuses,</w:t>
      </w:r>
      <w:r>
        <w:rPr>
          <w:spacing w:val="-14"/>
        </w:rPr>
        <w:t> </w:t>
      </w:r>
      <w:r>
        <w:rPr/>
        <w:t>ce</w:t>
      </w:r>
      <w:r>
        <w:rPr>
          <w:spacing w:val="-15"/>
        </w:rPr>
        <w:t> </w:t>
      </w:r>
      <w:r>
        <w:rPr/>
        <w:t>ratio est</w:t>
      </w:r>
      <w:r>
        <w:rPr>
          <w:spacing w:val="-14"/>
        </w:rPr>
        <w:t> </w:t>
      </w:r>
      <w:r>
        <w:rPr/>
        <w:t>maintenu</w:t>
      </w:r>
      <w:r>
        <w:rPr>
          <w:spacing w:val="-15"/>
        </w:rPr>
        <w:t> </w:t>
      </w:r>
      <w:r>
        <w:rPr/>
        <w:t>à</w:t>
      </w:r>
      <w:r>
        <w:rPr>
          <w:spacing w:val="-15"/>
        </w:rPr>
        <w:t> </w:t>
      </w:r>
      <w:r>
        <w:rPr/>
        <w:t>un</w:t>
      </w:r>
      <w:r>
        <w:rPr>
          <w:spacing w:val="-14"/>
        </w:rPr>
        <w:t> </w:t>
      </w:r>
      <w:r>
        <w:rPr/>
        <w:t>niveau</w:t>
      </w:r>
      <w:r>
        <w:rPr>
          <w:spacing w:val="-14"/>
        </w:rPr>
        <w:t> </w:t>
      </w:r>
      <w:r>
        <w:rPr/>
        <w:t>faible</w:t>
      </w:r>
      <w:r>
        <w:rPr>
          <w:spacing w:val="-15"/>
        </w:rPr>
        <w:t> </w:t>
      </w:r>
      <w:r>
        <w:rPr/>
        <w:t>car</w:t>
      </w:r>
      <w:r>
        <w:rPr>
          <w:spacing w:val="-14"/>
        </w:rPr>
        <w:t> </w:t>
      </w:r>
      <w:r>
        <w:rPr/>
        <w:t>l’ATP</w:t>
      </w:r>
      <w:r>
        <w:rPr>
          <w:spacing w:val="-14"/>
        </w:rPr>
        <w:t> </w:t>
      </w:r>
      <w:r>
        <w:rPr/>
        <w:t>est</w:t>
      </w:r>
      <w:r>
        <w:rPr>
          <w:spacing w:val="-14"/>
        </w:rPr>
        <w:t> </w:t>
      </w:r>
      <w:r>
        <w:rPr/>
        <w:t>consommé</w:t>
      </w:r>
      <w:r>
        <w:rPr>
          <w:spacing w:val="-15"/>
        </w:rPr>
        <w:t> </w:t>
      </w:r>
      <w:r>
        <w:rPr/>
        <w:t>très</w:t>
      </w:r>
      <w:r>
        <w:rPr>
          <w:spacing w:val="-14"/>
        </w:rPr>
        <w:t> </w:t>
      </w:r>
      <w:r>
        <w:rPr/>
        <w:t>rapidement.</w:t>
      </w:r>
      <w:r>
        <w:rPr>
          <w:spacing w:val="-14"/>
        </w:rPr>
        <w:t> </w:t>
      </w:r>
      <w:r>
        <w:rPr/>
        <w:t>Ainsi,</w:t>
      </w:r>
      <w:r>
        <w:rPr>
          <w:spacing w:val="-14"/>
        </w:rPr>
        <w:t> </w:t>
      </w:r>
      <w:r>
        <w:rPr/>
        <w:t>l’enzyme</w:t>
      </w:r>
      <w:r>
        <w:rPr>
          <w:spacing w:val="-15"/>
        </w:rPr>
        <w:t> </w:t>
      </w:r>
      <w:r>
        <w:rPr/>
        <w:t>PFK1 subit une double activation. De plus, le milieu hypoxique entourant les cellules cancéreuses augmente l’expression des différentes isoformes de PFKFB, et ce de manière différente selon les tissus (Minchenko et al., 2003). Par exemple, l’isoforme PFKFB4 est particulièrement surexprimée dans des cellules de cancer du sein et du côlon (Minchenko et al., 2005). Ces critères contribuent à une glycolyse accrue dans la cellule</w:t>
      </w:r>
      <w:r>
        <w:rPr>
          <w:spacing w:val="-13"/>
        </w:rPr>
        <w:t> </w:t>
      </w:r>
      <w:r>
        <w:rPr/>
        <w:t>cancéreuse.</w:t>
      </w:r>
    </w:p>
    <w:p>
      <w:pPr>
        <w:pStyle w:val="BodyText"/>
        <w:rPr>
          <w:sz w:val="26"/>
        </w:rPr>
      </w:pPr>
    </w:p>
    <w:p>
      <w:pPr>
        <w:pStyle w:val="BodyText"/>
        <w:spacing w:before="9"/>
        <w:rPr>
          <w:sz w:val="27"/>
        </w:rPr>
      </w:pPr>
    </w:p>
    <w:p>
      <w:pPr>
        <w:pStyle w:val="ListParagraph"/>
        <w:numPr>
          <w:ilvl w:val="0"/>
          <w:numId w:val="7"/>
        </w:numPr>
        <w:tabs>
          <w:tab w:pos="1043" w:val="left" w:leader="none"/>
        </w:tabs>
        <w:spacing w:line="240" w:lineRule="auto" w:before="1" w:after="0"/>
        <w:ind w:left="1042" w:right="0" w:hanging="360"/>
        <w:jc w:val="left"/>
        <w:rPr>
          <w:sz w:val="24"/>
        </w:rPr>
      </w:pPr>
      <w:bookmarkStart w:name="_bookmark28" w:id="42"/>
      <w:bookmarkEnd w:id="42"/>
      <w:r>
        <w:rPr/>
      </w:r>
      <w:bookmarkStart w:name="_bookmark28" w:id="43"/>
      <w:bookmarkEnd w:id="43"/>
      <w:r>
        <w:rPr>
          <w:sz w:val="24"/>
          <w:u w:val="single"/>
        </w:rPr>
        <w:t>L</w:t>
      </w:r>
      <w:r>
        <w:rPr>
          <w:sz w:val="24"/>
          <w:u w:val="single"/>
        </w:rPr>
        <w:t>’aldolase et la triose phosphate</w:t>
      </w:r>
      <w:r>
        <w:rPr>
          <w:spacing w:val="-9"/>
          <w:sz w:val="24"/>
          <w:u w:val="single"/>
        </w:rPr>
        <w:t> </w:t>
      </w:r>
      <w:r>
        <w:rPr>
          <w:sz w:val="24"/>
          <w:u w:val="single"/>
        </w:rPr>
        <w:t>isomérase</w:t>
      </w:r>
    </w:p>
    <w:p>
      <w:pPr>
        <w:pStyle w:val="BodyText"/>
        <w:rPr>
          <w:sz w:val="20"/>
        </w:rPr>
      </w:pPr>
    </w:p>
    <w:p>
      <w:pPr>
        <w:pStyle w:val="BodyText"/>
        <w:spacing w:before="10"/>
        <w:rPr>
          <w:sz w:val="17"/>
        </w:rPr>
      </w:pPr>
    </w:p>
    <w:p>
      <w:pPr>
        <w:pStyle w:val="Heading5"/>
        <w:numPr>
          <w:ilvl w:val="0"/>
          <w:numId w:val="8"/>
        </w:numPr>
        <w:tabs>
          <w:tab w:pos="2252" w:val="left" w:leader="none"/>
          <w:tab w:pos="2253" w:val="left" w:leader="none"/>
        </w:tabs>
        <w:spacing w:line="240" w:lineRule="auto" w:before="90" w:after="0"/>
        <w:ind w:left="2252" w:right="0" w:hanging="720"/>
        <w:jc w:val="left"/>
        <w:rPr>
          <w:i/>
        </w:rPr>
      </w:pPr>
      <w:bookmarkStart w:name="_bookmark29" w:id="44"/>
      <w:bookmarkEnd w:id="44"/>
      <w:r>
        <w:rPr>
          <w:b w:val="0"/>
          <w:i w:val="0"/>
        </w:rPr>
      </w:r>
      <w:bookmarkStart w:name="_bookmark29" w:id="45"/>
      <w:bookmarkEnd w:id="45"/>
      <w:r>
        <w:rPr>
          <w:i/>
        </w:rPr>
        <w:t>L</w:t>
      </w:r>
      <w:r>
        <w:rPr>
          <w:i/>
        </w:rPr>
        <w:t>’aldolase</w:t>
      </w:r>
    </w:p>
    <w:p>
      <w:pPr>
        <w:pStyle w:val="BodyText"/>
        <w:rPr>
          <w:b/>
          <w:i/>
          <w:sz w:val="26"/>
        </w:rPr>
      </w:pPr>
    </w:p>
    <w:p>
      <w:pPr>
        <w:pStyle w:val="BodyText"/>
        <w:spacing w:line="273" w:lineRule="auto" w:before="214"/>
        <w:ind w:left="116" w:right="115" w:firstLine="707"/>
        <w:jc w:val="both"/>
      </w:pPr>
      <w:r>
        <w:rPr/>
        <w:t>L’aldolase catalyse la réaction réversible entre le fructose-1,6-biphosphate et le glycéraldéhyde-3-phosphate (GA3P). L’isoforme A est surexprimée dans de nombreux tissus tumoraux comme ceux par exemple de carcinome hépatocellulaire (Lincet et Icard, 2015).</w:t>
      </w:r>
    </w:p>
    <w:p>
      <w:pPr>
        <w:spacing w:after="0" w:line="273" w:lineRule="auto"/>
        <w:jc w:val="both"/>
        <w:sectPr>
          <w:pgSz w:w="11910" w:h="16840"/>
          <w:pgMar w:header="0" w:footer="995" w:top="1320" w:bottom="1240" w:left="1300" w:right="1300"/>
        </w:sectPr>
      </w:pPr>
    </w:p>
    <w:p>
      <w:pPr>
        <w:pStyle w:val="Heading5"/>
        <w:numPr>
          <w:ilvl w:val="0"/>
          <w:numId w:val="8"/>
        </w:numPr>
        <w:tabs>
          <w:tab w:pos="2252" w:val="left" w:leader="none"/>
          <w:tab w:pos="2253" w:val="left" w:leader="none"/>
        </w:tabs>
        <w:spacing w:line="240" w:lineRule="auto" w:before="77" w:after="0"/>
        <w:ind w:left="2252" w:right="0" w:hanging="720"/>
        <w:jc w:val="left"/>
        <w:rPr>
          <w:i/>
        </w:rPr>
      </w:pPr>
      <w:bookmarkStart w:name="_bookmark30" w:id="46"/>
      <w:bookmarkEnd w:id="46"/>
      <w:r>
        <w:rPr>
          <w:b w:val="0"/>
          <w:i w:val="0"/>
        </w:rPr>
      </w:r>
      <w:bookmarkStart w:name="_bookmark30" w:id="47"/>
      <w:bookmarkEnd w:id="47"/>
      <w:r>
        <w:rPr>
          <w:i/>
        </w:rPr>
        <w:t>La</w:t>
      </w:r>
      <w:r>
        <w:rPr>
          <w:i/>
        </w:rPr>
        <w:t> triose phosphate isomérase</w:t>
      </w:r>
      <w:r>
        <w:rPr>
          <w:i/>
          <w:spacing w:val="-4"/>
        </w:rPr>
        <w:t> </w:t>
      </w:r>
      <w:r>
        <w:rPr>
          <w:i/>
        </w:rPr>
        <w:t>(TPI)</w:t>
      </w:r>
    </w:p>
    <w:p>
      <w:pPr>
        <w:pStyle w:val="BodyText"/>
        <w:rPr>
          <w:b/>
          <w:i/>
          <w:sz w:val="26"/>
        </w:rPr>
      </w:pPr>
    </w:p>
    <w:p>
      <w:pPr>
        <w:pStyle w:val="BodyText"/>
        <w:spacing w:line="276" w:lineRule="auto" w:before="217"/>
        <w:ind w:left="116" w:right="114" w:firstLine="707"/>
        <w:jc w:val="both"/>
      </w:pPr>
      <w:r>
        <w:rPr/>
        <w:t>Cette enzyme homodimérique convertit le dihydroxyacétone phosphate (DHAP) en GA3P,</w:t>
      </w:r>
      <w:r>
        <w:rPr>
          <w:spacing w:val="-4"/>
        </w:rPr>
        <w:t> </w:t>
      </w:r>
      <w:r>
        <w:rPr/>
        <w:t>utilisé</w:t>
      </w:r>
      <w:r>
        <w:rPr>
          <w:spacing w:val="-5"/>
        </w:rPr>
        <w:t> </w:t>
      </w:r>
      <w:r>
        <w:rPr/>
        <w:t>pour</w:t>
      </w:r>
      <w:r>
        <w:rPr>
          <w:spacing w:val="-5"/>
        </w:rPr>
        <w:t> </w:t>
      </w:r>
      <w:r>
        <w:rPr/>
        <w:t>la</w:t>
      </w:r>
      <w:r>
        <w:rPr>
          <w:spacing w:val="-4"/>
        </w:rPr>
        <w:t> </w:t>
      </w:r>
      <w:r>
        <w:rPr/>
        <w:t>suite</w:t>
      </w:r>
      <w:r>
        <w:rPr>
          <w:spacing w:val="-5"/>
        </w:rPr>
        <w:t> </w:t>
      </w:r>
      <w:r>
        <w:rPr/>
        <w:t>de</w:t>
      </w:r>
      <w:r>
        <w:rPr>
          <w:spacing w:val="-5"/>
        </w:rPr>
        <w:t> </w:t>
      </w:r>
      <w:r>
        <w:rPr/>
        <w:t>la</w:t>
      </w:r>
      <w:r>
        <w:rPr>
          <w:spacing w:val="-4"/>
        </w:rPr>
        <w:t> </w:t>
      </w:r>
      <w:r>
        <w:rPr/>
        <w:t>glycolyse.</w:t>
      </w:r>
      <w:r>
        <w:rPr>
          <w:spacing w:val="-1"/>
        </w:rPr>
        <w:t> </w:t>
      </w:r>
      <w:r>
        <w:rPr/>
        <w:t>Le</w:t>
      </w:r>
      <w:r>
        <w:rPr>
          <w:spacing w:val="-5"/>
        </w:rPr>
        <w:t> </w:t>
      </w:r>
      <w:r>
        <w:rPr/>
        <w:t>niveau</w:t>
      </w:r>
      <w:r>
        <w:rPr>
          <w:spacing w:val="-4"/>
        </w:rPr>
        <w:t> </w:t>
      </w:r>
      <w:r>
        <w:rPr/>
        <w:t>d’expression</w:t>
      </w:r>
      <w:r>
        <w:rPr>
          <w:spacing w:val="-4"/>
        </w:rPr>
        <w:t> </w:t>
      </w:r>
      <w:r>
        <w:rPr/>
        <w:t>de</w:t>
      </w:r>
      <w:r>
        <w:rPr>
          <w:spacing w:val="-5"/>
        </w:rPr>
        <w:t> </w:t>
      </w:r>
      <w:r>
        <w:rPr/>
        <w:t>la</w:t>
      </w:r>
      <w:r>
        <w:rPr>
          <w:spacing w:val="-5"/>
        </w:rPr>
        <w:t> </w:t>
      </w:r>
      <w:r>
        <w:rPr/>
        <w:t>TPI</w:t>
      </w:r>
      <w:r>
        <w:rPr>
          <w:spacing w:val="-7"/>
        </w:rPr>
        <w:t> </w:t>
      </w:r>
      <w:r>
        <w:rPr/>
        <w:t>est</w:t>
      </w:r>
      <w:r>
        <w:rPr>
          <w:spacing w:val="-2"/>
        </w:rPr>
        <w:t> </w:t>
      </w:r>
      <w:r>
        <w:rPr/>
        <w:t>élevé</w:t>
      </w:r>
      <w:r>
        <w:rPr>
          <w:spacing w:val="-5"/>
        </w:rPr>
        <w:t> </w:t>
      </w:r>
      <w:r>
        <w:rPr/>
        <w:t>dans</w:t>
      </w:r>
      <w:r>
        <w:rPr>
          <w:spacing w:val="-4"/>
        </w:rPr>
        <w:t> </w:t>
      </w:r>
      <w:r>
        <w:rPr/>
        <w:t>des cellules de cancers du poumon (Li et al., 2006). Elle semblerait être également en plus grande quantité dans des cellules chimiorésistantes en comparaison à des cellules sensibles à la chimiothérapie (Di Michele et al.,</w:t>
      </w:r>
      <w:r>
        <w:rPr>
          <w:spacing w:val="-9"/>
        </w:rPr>
        <w:t> </w:t>
      </w:r>
      <w:r>
        <w:rPr/>
        <w:t>2010).</w:t>
      </w:r>
    </w:p>
    <w:p>
      <w:pPr>
        <w:pStyle w:val="BodyText"/>
        <w:rPr>
          <w:sz w:val="26"/>
        </w:rPr>
      </w:pPr>
    </w:p>
    <w:p>
      <w:pPr>
        <w:pStyle w:val="BodyText"/>
        <w:spacing w:before="10"/>
        <w:rPr>
          <w:sz w:val="27"/>
        </w:rPr>
      </w:pPr>
    </w:p>
    <w:p>
      <w:pPr>
        <w:pStyle w:val="ListParagraph"/>
        <w:numPr>
          <w:ilvl w:val="0"/>
          <w:numId w:val="7"/>
        </w:numPr>
        <w:tabs>
          <w:tab w:pos="1043" w:val="left" w:leader="none"/>
        </w:tabs>
        <w:spacing w:line="240" w:lineRule="auto" w:before="0" w:after="0"/>
        <w:ind w:left="1042" w:right="0" w:hanging="360"/>
        <w:jc w:val="left"/>
        <w:rPr>
          <w:sz w:val="24"/>
        </w:rPr>
      </w:pPr>
      <w:bookmarkStart w:name="_bookmark31" w:id="48"/>
      <w:bookmarkEnd w:id="48"/>
      <w:r>
        <w:rPr/>
      </w:r>
      <w:bookmarkStart w:name="_bookmark31" w:id="49"/>
      <w:bookmarkEnd w:id="49"/>
      <w:r>
        <w:rPr>
          <w:sz w:val="24"/>
          <w:u w:val="single"/>
        </w:rPr>
        <w:t>L</w:t>
      </w:r>
      <w:r>
        <w:rPr>
          <w:sz w:val="24"/>
          <w:u w:val="single"/>
        </w:rPr>
        <w:t>a glycéraldéhyde 3-phosphate déshydrogénase</w:t>
      </w:r>
      <w:r>
        <w:rPr>
          <w:spacing w:val="-8"/>
          <w:sz w:val="24"/>
          <w:u w:val="single"/>
        </w:rPr>
        <w:t> </w:t>
      </w:r>
      <w:r>
        <w:rPr>
          <w:sz w:val="24"/>
          <w:u w:val="single"/>
        </w:rPr>
        <w:t>(GAPDH)</w:t>
      </w:r>
    </w:p>
    <w:p>
      <w:pPr>
        <w:pStyle w:val="BodyText"/>
        <w:rPr>
          <w:sz w:val="20"/>
        </w:rPr>
      </w:pPr>
    </w:p>
    <w:p>
      <w:pPr>
        <w:pStyle w:val="BodyText"/>
        <w:spacing w:before="4"/>
        <w:rPr>
          <w:sz w:val="23"/>
        </w:rPr>
      </w:pPr>
    </w:p>
    <w:p>
      <w:pPr>
        <w:pStyle w:val="BodyText"/>
        <w:spacing w:line="276" w:lineRule="auto"/>
        <w:ind w:left="116" w:right="114" w:firstLine="707"/>
        <w:jc w:val="both"/>
      </w:pPr>
      <w:r>
        <w:rPr/>
        <w:t>La glycéraldéhyde 3-phosphate déshydrogénase (GAPDH) catalyse la phosphorylation et l’oxydation du GA3P pour donner du 1,3-biphosphoglycérate. L’entrée massive de glucose dans la cellule cancéreuse active la GAPDH (Vilà et al., 2000). L’expression de cette enzyme est</w:t>
      </w:r>
      <w:r>
        <w:rPr>
          <w:spacing w:val="-7"/>
        </w:rPr>
        <w:t> </w:t>
      </w:r>
      <w:r>
        <w:rPr/>
        <w:t>associée</w:t>
      </w:r>
      <w:r>
        <w:rPr>
          <w:spacing w:val="-8"/>
        </w:rPr>
        <w:t> </w:t>
      </w:r>
      <w:r>
        <w:rPr/>
        <w:t>à</w:t>
      </w:r>
      <w:r>
        <w:rPr>
          <w:spacing w:val="-6"/>
        </w:rPr>
        <w:t> </w:t>
      </w:r>
      <w:r>
        <w:rPr/>
        <w:t>la</w:t>
      </w:r>
      <w:r>
        <w:rPr>
          <w:spacing w:val="-5"/>
        </w:rPr>
        <w:t> </w:t>
      </w:r>
      <w:r>
        <w:rPr/>
        <w:t>croissance</w:t>
      </w:r>
      <w:r>
        <w:rPr>
          <w:spacing w:val="-6"/>
        </w:rPr>
        <w:t> </w:t>
      </w:r>
      <w:r>
        <w:rPr/>
        <w:t>cellulaire,</w:t>
      </w:r>
      <w:r>
        <w:rPr>
          <w:spacing w:val="-5"/>
        </w:rPr>
        <w:t> </w:t>
      </w:r>
      <w:r>
        <w:rPr/>
        <w:t>au</w:t>
      </w:r>
      <w:r>
        <w:rPr>
          <w:spacing w:val="-7"/>
        </w:rPr>
        <w:t> </w:t>
      </w:r>
      <w:r>
        <w:rPr/>
        <w:t>développement</w:t>
      </w:r>
      <w:r>
        <w:rPr>
          <w:spacing w:val="-7"/>
        </w:rPr>
        <w:t> </w:t>
      </w:r>
      <w:r>
        <w:rPr/>
        <w:t>et</w:t>
      </w:r>
      <w:r>
        <w:rPr>
          <w:spacing w:val="-4"/>
        </w:rPr>
        <w:t> </w:t>
      </w:r>
      <w:r>
        <w:rPr/>
        <w:t>à</w:t>
      </w:r>
      <w:r>
        <w:rPr>
          <w:spacing w:val="-8"/>
        </w:rPr>
        <w:t> </w:t>
      </w:r>
      <w:r>
        <w:rPr/>
        <w:t>l’agressivité</w:t>
      </w:r>
      <w:r>
        <w:rPr>
          <w:spacing w:val="-8"/>
        </w:rPr>
        <w:t> </w:t>
      </w:r>
      <w:r>
        <w:rPr/>
        <w:t>des</w:t>
      </w:r>
      <w:r>
        <w:rPr>
          <w:spacing w:val="-7"/>
        </w:rPr>
        <w:t> </w:t>
      </w:r>
      <w:r>
        <w:rPr/>
        <w:t>tumeurs.</w:t>
      </w:r>
      <w:r>
        <w:rPr>
          <w:spacing w:val="-5"/>
        </w:rPr>
        <w:t> </w:t>
      </w:r>
      <w:r>
        <w:rPr/>
        <w:t>L’étude de</w:t>
      </w:r>
      <w:r>
        <w:rPr>
          <w:spacing w:val="-14"/>
        </w:rPr>
        <w:t> </w:t>
      </w:r>
      <w:r>
        <w:rPr/>
        <w:t>Guo</w:t>
      </w:r>
      <w:r>
        <w:rPr>
          <w:spacing w:val="-12"/>
        </w:rPr>
        <w:t> </w:t>
      </w:r>
      <w:r>
        <w:rPr/>
        <w:t>et</w:t>
      </w:r>
      <w:r>
        <w:rPr>
          <w:spacing w:val="-13"/>
        </w:rPr>
        <w:t> </w:t>
      </w:r>
      <w:r>
        <w:rPr/>
        <w:t>al.</w:t>
      </w:r>
      <w:r>
        <w:rPr>
          <w:spacing w:val="-11"/>
        </w:rPr>
        <w:t> </w:t>
      </w:r>
      <w:r>
        <w:rPr/>
        <w:t>montre</w:t>
      </w:r>
      <w:r>
        <w:rPr>
          <w:spacing w:val="-15"/>
        </w:rPr>
        <w:t> </w:t>
      </w:r>
      <w:r>
        <w:rPr/>
        <w:t>que</w:t>
      </w:r>
      <w:r>
        <w:rPr>
          <w:spacing w:val="-14"/>
        </w:rPr>
        <w:t> </w:t>
      </w:r>
      <w:r>
        <w:rPr/>
        <w:t>l’expression</w:t>
      </w:r>
      <w:r>
        <w:rPr>
          <w:spacing w:val="-12"/>
        </w:rPr>
        <w:t> </w:t>
      </w:r>
      <w:r>
        <w:rPr/>
        <w:t>de</w:t>
      </w:r>
      <w:r>
        <w:rPr>
          <w:spacing w:val="-12"/>
        </w:rPr>
        <w:t> </w:t>
      </w:r>
      <w:r>
        <w:rPr/>
        <w:t>cette</w:t>
      </w:r>
      <w:r>
        <w:rPr>
          <w:spacing w:val="-12"/>
        </w:rPr>
        <w:t> </w:t>
      </w:r>
      <w:r>
        <w:rPr/>
        <w:t>enzyme</w:t>
      </w:r>
      <w:r>
        <w:rPr>
          <w:spacing w:val="-14"/>
        </w:rPr>
        <w:t> </w:t>
      </w:r>
      <w:r>
        <w:rPr/>
        <w:t>est</w:t>
      </w:r>
      <w:r>
        <w:rPr>
          <w:spacing w:val="-10"/>
        </w:rPr>
        <w:t> </w:t>
      </w:r>
      <w:r>
        <w:rPr/>
        <w:t>augmentée</w:t>
      </w:r>
      <w:r>
        <w:rPr>
          <w:spacing w:val="-12"/>
        </w:rPr>
        <w:t> </w:t>
      </w:r>
      <w:r>
        <w:rPr/>
        <w:t>dans</w:t>
      </w:r>
      <w:r>
        <w:rPr>
          <w:spacing w:val="-13"/>
        </w:rPr>
        <w:t> </w:t>
      </w:r>
      <w:r>
        <w:rPr/>
        <w:t>de</w:t>
      </w:r>
      <w:r>
        <w:rPr>
          <w:spacing w:val="-14"/>
        </w:rPr>
        <w:t> </w:t>
      </w:r>
      <w:r>
        <w:rPr/>
        <w:t>nombreux</w:t>
      </w:r>
      <w:r>
        <w:rPr>
          <w:spacing w:val="-9"/>
        </w:rPr>
        <w:t> </w:t>
      </w:r>
      <w:r>
        <w:rPr/>
        <w:t>cancers (poumon, sein, prostate…) (Guo et al., 2013). Ceci est en lien avec la glycolyse accrue de ces cancers (Lincet et Icard,</w:t>
      </w:r>
      <w:r>
        <w:rPr>
          <w:spacing w:val="-7"/>
        </w:rPr>
        <w:t> </w:t>
      </w:r>
      <w:r>
        <w:rPr/>
        <w:t>2015).</w:t>
      </w:r>
    </w:p>
    <w:p>
      <w:pPr>
        <w:pStyle w:val="BodyText"/>
        <w:rPr>
          <w:sz w:val="26"/>
        </w:rPr>
      </w:pPr>
    </w:p>
    <w:p>
      <w:pPr>
        <w:pStyle w:val="BodyText"/>
        <w:spacing w:before="10"/>
        <w:rPr>
          <w:sz w:val="27"/>
        </w:rPr>
      </w:pPr>
    </w:p>
    <w:p>
      <w:pPr>
        <w:pStyle w:val="ListParagraph"/>
        <w:numPr>
          <w:ilvl w:val="0"/>
          <w:numId w:val="7"/>
        </w:numPr>
        <w:tabs>
          <w:tab w:pos="1043" w:val="left" w:leader="none"/>
        </w:tabs>
        <w:spacing w:line="240" w:lineRule="auto" w:before="0" w:after="0"/>
        <w:ind w:left="1042" w:right="0" w:hanging="360"/>
        <w:jc w:val="left"/>
        <w:rPr>
          <w:sz w:val="24"/>
        </w:rPr>
      </w:pPr>
      <w:bookmarkStart w:name="_bookmark32" w:id="50"/>
      <w:bookmarkEnd w:id="50"/>
      <w:r>
        <w:rPr/>
      </w:r>
      <w:bookmarkStart w:name="_bookmark32" w:id="51"/>
      <w:bookmarkEnd w:id="51"/>
      <w:r>
        <w:rPr>
          <w:sz w:val="24"/>
          <w:u w:val="single"/>
        </w:rPr>
        <w:t>L</w:t>
      </w:r>
      <w:r>
        <w:rPr>
          <w:sz w:val="24"/>
          <w:u w:val="single"/>
        </w:rPr>
        <w:t>a phosphoglycérate mutase</w:t>
      </w:r>
      <w:r>
        <w:rPr>
          <w:spacing w:val="-6"/>
          <w:sz w:val="24"/>
          <w:u w:val="single"/>
        </w:rPr>
        <w:t> </w:t>
      </w:r>
      <w:r>
        <w:rPr>
          <w:sz w:val="24"/>
          <w:u w:val="single"/>
        </w:rPr>
        <w:t>(PGM1)</w:t>
      </w:r>
    </w:p>
    <w:p>
      <w:pPr>
        <w:pStyle w:val="BodyText"/>
        <w:rPr>
          <w:sz w:val="20"/>
        </w:rPr>
      </w:pPr>
    </w:p>
    <w:p>
      <w:pPr>
        <w:pStyle w:val="BodyText"/>
        <w:spacing w:before="2"/>
        <w:rPr>
          <w:sz w:val="17"/>
        </w:rPr>
      </w:pPr>
    </w:p>
    <w:p>
      <w:pPr>
        <w:pStyle w:val="BodyText"/>
        <w:spacing w:line="276" w:lineRule="auto" w:before="90"/>
        <w:ind w:left="116" w:right="116" w:firstLine="707"/>
        <w:jc w:val="both"/>
      </w:pPr>
      <w:r>
        <w:rPr/>
        <w:t>La phosphoglycérate mutase 1 (PGM1) transforme le 3-phosphoglycérate (3-PG) en 2 phosphoglycérate (2-PG). Elle est retrouvée souvent surexprimée dans les cellules</w:t>
      </w:r>
      <w:r>
        <w:rPr>
          <w:spacing w:val="-40"/>
        </w:rPr>
        <w:t> </w:t>
      </w:r>
      <w:r>
        <w:rPr/>
        <w:t>cancéreuses (Ren</w:t>
      </w:r>
      <w:r>
        <w:rPr>
          <w:spacing w:val="-9"/>
        </w:rPr>
        <w:t> </w:t>
      </w:r>
      <w:r>
        <w:rPr/>
        <w:t>et</w:t>
      </w:r>
      <w:r>
        <w:rPr>
          <w:spacing w:val="-8"/>
        </w:rPr>
        <w:t> </w:t>
      </w:r>
      <w:r>
        <w:rPr/>
        <w:t>al.,</w:t>
      </w:r>
      <w:r>
        <w:rPr>
          <w:spacing w:val="-9"/>
        </w:rPr>
        <w:t> </w:t>
      </w:r>
      <w:r>
        <w:rPr/>
        <w:t>2010).</w:t>
      </w:r>
      <w:r>
        <w:rPr>
          <w:spacing w:val="-9"/>
        </w:rPr>
        <w:t> </w:t>
      </w:r>
      <w:r>
        <w:rPr/>
        <w:t>Elle</w:t>
      </w:r>
      <w:r>
        <w:rPr>
          <w:spacing w:val="-9"/>
        </w:rPr>
        <w:t> </w:t>
      </w:r>
      <w:r>
        <w:rPr/>
        <w:t>participe</w:t>
      </w:r>
      <w:r>
        <w:rPr>
          <w:spacing w:val="-9"/>
        </w:rPr>
        <w:t> </w:t>
      </w:r>
      <w:r>
        <w:rPr/>
        <w:t>à</w:t>
      </w:r>
      <w:r>
        <w:rPr>
          <w:spacing w:val="-10"/>
        </w:rPr>
        <w:t> </w:t>
      </w:r>
      <w:r>
        <w:rPr/>
        <w:t>la</w:t>
      </w:r>
      <w:r>
        <w:rPr>
          <w:spacing w:val="-9"/>
        </w:rPr>
        <w:t> </w:t>
      </w:r>
      <w:r>
        <w:rPr/>
        <w:t>régulation</w:t>
      </w:r>
      <w:r>
        <w:rPr>
          <w:spacing w:val="-9"/>
        </w:rPr>
        <w:t> </w:t>
      </w:r>
      <w:r>
        <w:rPr/>
        <w:t>des</w:t>
      </w:r>
      <w:r>
        <w:rPr>
          <w:spacing w:val="-8"/>
        </w:rPr>
        <w:t> </w:t>
      </w:r>
      <w:r>
        <w:rPr/>
        <w:t>voies</w:t>
      </w:r>
      <w:r>
        <w:rPr>
          <w:spacing w:val="-9"/>
        </w:rPr>
        <w:t> </w:t>
      </w:r>
      <w:r>
        <w:rPr/>
        <w:t>de</w:t>
      </w:r>
      <w:r>
        <w:rPr>
          <w:spacing w:val="-10"/>
        </w:rPr>
        <w:t> </w:t>
      </w:r>
      <w:r>
        <w:rPr/>
        <w:t>biosynthèse</w:t>
      </w:r>
      <w:r>
        <w:rPr>
          <w:spacing w:val="-10"/>
        </w:rPr>
        <w:t> </w:t>
      </w:r>
      <w:r>
        <w:rPr/>
        <w:t>en</w:t>
      </w:r>
      <w:r>
        <w:rPr>
          <w:spacing w:val="-9"/>
        </w:rPr>
        <w:t> </w:t>
      </w:r>
      <w:r>
        <w:rPr/>
        <w:t>contrôlant</w:t>
      </w:r>
      <w:r>
        <w:rPr>
          <w:spacing w:val="-9"/>
        </w:rPr>
        <w:t> </w:t>
      </w:r>
      <w:r>
        <w:rPr/>
        <w:t>le</w:t>
      </w:r>
      <w:r>
        <w:rPr>
          <w:spacing w:val="-9"/>
        </w:rPr>
        <w:t> </w:t>
      </w:r>
      <w:r>
        <w:rPr/>
        <w:t>niveau de son substrat. La PGM1 surexprimée provoque un taux important de 2-PG qui active par un rétrocontrôle positif la phosphoglycérate déshydrogénase (PGDH), enzyme impliquée dans la synthèse de la sérine (Hitosugi et al.,</w:t>
      </w:r>
      <w:r>
        <w:rPr>
          <w:spacing w:val="-9"/>
        </w:rPr>
        <w:t> </w:t>
      </w:r>
      <w:r>
        <w:rPr/>
        <w:t>2012).</w:t>
      </w:r>
    </w:p>
    <w:p>
      <w:pPr>
        <w:pStyle w:val="BodyText"/>
        <w:rPr>
          <w:sz w:val="26"/>
        </w:rPr>
      </w:pPr>
    </w:p>
    <w:p>
      <w:pPr>
        <w:pStyle w:val="BodyText"/>
        <w:spacing w:before="10"/>
        <w:rPr>
          <w:sz w:val="27"/>
        </w:rPr>
      </w:pPr>
    </w:p>
    <w:p>
      <w:pPr>
        <w:pStyle w:val="ListParagraph"/>
        <w:numPr>
          <w:ilvl w:val="0"/>
          <w:numId w:val="7"/>
        </w:numPr>
        <w:tabs>
          <w:tab w:pos="1043" w:val="left" w:leader="none"/>
        </w:tabs>
        <w:spacing w:line="240" w:lineRule="auto" w:before="1" w:after="0"/>
        <w:ind w:left="1042" w:right="0" w:hanging="360"/>
        <w:jc w:val="left"/>
        <w:rPr>
          <w:sz w:val="24"/>
        </w:rPr>
      </w:pPr>
      <w:bookmarkStart w:name="_bookmark33" w:id="52"/>
      <w:bookmarkEnd w:id="52"/>
      <w:r>
        <w:rPr/>
      </w:r>
      <w:bookmarkStart w:name="_bookmark33" w:id="53"/>
      <w:bookmarkEnd w:id="53"/>
      <w:r>
        <w:rPr>
          <w:sz w:val="24"/>
          <w:u w:val="single"/>
        </w:rPr>
        <w:t>L</w:t>
      </w:r>
      <w:r>
        <w:rPr>
          <w:sz w:val="24"/>
          <w:u w:val="single"/>
        </w:rPr>
        <w:t>a pyruvate kinase</w:t>
      </w:r>
      <w:r>
        <w:rPr>
          <w:spacing w:val="-5"/>
          <w:sz w:val="24"/>
          <w:u w:val="single"/>
        </w:rPr>
        <w:t> </w:t>
      </w:r>
      <w:r>
        <w:rPr>
          <w:sz w:val="24"/>
          <w:u w:val="single"/>
        </w:rPr>
        <w:t>(PK)</w:t>
      </w:r>
    </w:p>
    <w:p>
      <w:pPr>
        <w:pStyle w:val="BodyText"/>
        <w:rPr>
          <w:sz w:val="20"/>
        </w:rPr>
      </w:pPr>
    </w:p>
    <w:p>
      <w:pPr>
        <w:pStyle w:val="BodyText"/>
        <w:spacing w:before="3"/>
        <w:rPr>
          <w:sz w:val="17"/>
        </w:rPr>
      </w:pPr>
    </w:p>
    <w:p>
      <w:pPr>
        <w:pStyle w:val="BodyText"/>
        <w:spacing w:line="276" w:lineRule="auto" w:before="90"/>
        <w:ind w:left="116" w:right="112" w:firstLine="707"/>
        <w:jc w:val="both"/>
      </w:pPr>
      <w:r>
        <w:rPr/>
        <w:t>La</w:t>
      </w:r>
      <w:r>
        <w:rPr>
          <w:spacing w:val="-12"/>
        </w:rPr>
        <w:t> </w:t>
      </w:r>
      <w:r>
        <w:rPr/>
        <w:t>pyruvate</w:t>
      </w:r>
      <w:r>
        <w:rPr>
          <w:spacing w:val="-12"/>
        </w:rPr>
        <w:t> </w:t>
      </w:r>
      <w:r>
        <w:rPr/>
        <w:t>kinase</w:t>
      </w:r>
      <w:r>
        <w:rPr>
          <w:spacing w:val="-13"/>
        </w:rPr>
        <w:t> </w:t>
      </w:r>
      <w:r>
        <w:rPr/>
        <w:t>(PK)</w:t>
      </w:r>
      <w:r>
        <w:rPr>
          <w:spacing w:val="-12"/>
        </w:rPr>
        <w:t> </w:t>
      </w:r>
      <w:r>
        <w:rPr/>
        <w:t>est</w:t>
      </w:r>
      <w:r>
        <w:rPr>
          <w:spacing w:val="-13"/>
        </w:rPr>
        <w:t> </w:t>
      </w:r>
      <w:r>
        <w:rPr/>
        <w:t>l’enzyme</w:t>
      </w:r>
      <w:r>
        <w:rPr>
          <w:spacing w:val="-14"/>
        </w:rPr>
        <w:t> </w:t>
      </w:r>
      <w:r>
        <w:rPr/>
        <w:t>limitante</w:t>
      </w:r>
      <w:r>
        <w:rPr>
          <w:spacing w:val="-14"/>
        </w:rPr>
        <w:t> </w:t>
      </w:r>
      <w:r>
        <w:rPr/>
        <w:t>de</w:t>
      </w:r>
      <w:r>
        <w:rPr>
          <w:spacing w:val="-12"/>
        </w:rPr>
        <w:t> </w:t>
      </w:r>
      <w:r>
        <w:rPr/>
        <w:t>la</w:t>
      </w:r>
      <w:r>
        <w:rPr>
          <w:spacing w:val="-14"/>
        </w:rPr>
        <w:t> </w:t>
      </w:r>
      <w:r>
        <w:rPr/>
        <w:t>glycolyse</w:t>
      </w:r>
      <w:r>
        <w:rPr>
          <w:spacing w:val="-2"/>
        </w:rPr>
        <w:t> </w:t>
      </w:r>
      <w:r>
        <w:rPr/>
        <w:t>:</w:t>
      </w:r>
      <w:r>
        <w:rPr>
          <w:spacing w:val="-13"/>
        </w:rPr>
        <w:t> </w:t>
      </w:r>
      <w:r>
        <w:rPr/>
        <w:t>elle</w:t>
      </w:r>
      <w:r>
        <w:rPr>
          <w:spacing w:val="-14"/>
        </w:rPr>
        <w:t> </w:t>
      </w:r>
      <w:r>
        <w:rPr/>
        <w:t>catalyse</w:t>
      </w:r>
      <w:r>
        <w:rPr>
          <w:spacing w:val="-14"/>
        </w:rPr>
        <w:t> </w:t>
      </w:r>
      <w:r>
        <w:rPr/>
        <w:t>sa</w:t>
      </w:r>
      <w:r>
        <w:rPr>
          <w:spacing w:val="-14"/>
        </w:rPr>
        <w:t> </w:t>
      </w:r>
      <w:r>
        <w:rPr/>
        <w:t>dernière étape. Elle existe sous 4 isoformes : type L (liver) et R (red blood cells), et les types M1 et M2 (muscles ou cerveau). Le type M2 est présent dans les cellules embryonnaires et les cellules souches adultes. Il est également retrouvé dans les cellules cancéreuses ayant une tumorigénicité plus importante que celles exprimant PKM1 (Christofk et al., 2008). Une étude récente</w:t>
      </w:r>
      <w:r>
        <w:rPr>
          <w:spacing w:val="-5"/>
        </w:rPr>
        <w:t> </w:t>
      </w:r>
      <w:r>
        <w:rPr/>
        <w:t>montre</w:t>
      </w:r>
      <w:r>
        <w:rPr>
          <w:spacing w:val="-6"/>
        </w:rPr>
        <w:t> </w:t>
      </w:r>
      <w:r>
        <w:rPr/>
        <w:t>que</w:t>
      </w:r>
      <w:r>
        <w:rPr>
          <w:spacing w:val="-5"/>
        </w:rPr>
        <w:t> </w:t>
      </w:r>
      <w:r>
        <w:rPr/>
        <w:t>le</w:t>
      </w:r>
      <w:r>
        <w:rPr>
          <w:spacing w:val="-4"/>
        </w:rPr>
        <w:t> </w:t>
      </w:r>
      <w:r>
        <w:rPr/>
        <w:t>gène</w:t>
      </w:r>
      <w:r>
        <w:rPr>
          <w:spacing w:val="-5"/>
        </w:rPr>
        <w:t> </w:t>
      </w:r>
      <w:r>
        <w:rPr/>
        <w:t>de</w:t>
      </w:r>
      <w:r>
        <w:rPr>
          <w:spacing w:val="-5"/>
        </w:rPr>
        <w:t> </w:t>
      </w:r>
      <w:r>
        <w:rPr/>
        <w:t>la</w:t>
      </w:r>
      <w:r>
        <w:rPr>
          <w:spacing w:val="-4"/>
        </w:rPr>
        <w:t> </w:t>
      </w:r>
      <w:r>
        <w:rPr/>
        <w:t>PKM2</w:t>
      </w:r>
      <w:r>
        <w:rPr>
          <w:spacing w:val="-4"/>
        </w:rPr>
        <w:t> </w:t>
      </w:r>
      <w:r>
        <w:rPr/>
        <w:t>est</w:t>
      </w:r>
      <w:r>
        <w:rPr>
          <w:spacing w:val="-4"/>
        </w:rPr>
        <w:t> </w:t>
      </w:r>
      <w:r>
        <w:rPr/>
        <w:t>surexprimé</w:t>
      </w:r>
      <w:r>
        <w:rPr>
          <w:spacing w:val="-5"/>
        </w:rPr>
        <w:t> </w:t>
      </w:r>
      <w:r>
        <w:rPr/>
        <w:t>dans</w:t>
      </w:r>
      <w:r>
        <w:rPr>
          <w:spacing w:val="-4"/>
        </w:rPr>
        <w:t> </w:t>
      </w:r>
      <w:r>
        <w:rPr/>
        <w:t>des</w:t>
      </w:r>
      <w:r>
        <w:rPr>
          <w:spacing w:val="-4"/>
        </w:rPr>
        <w:t> </w:t>
      </w:r>
      <w:r>
        <w:rPr/>
        <w:t>prélèvements</w:t>
      </w:r>
      <w:r>
        <w:rPr>
          <w:spacing w:val="-4"/>
        </w:rPr>
        <w:t> </w:t>
      </w:r>
      <w:r>
        <w:rPr/>
        <w:t>histologiques</w:t>
      </w:r>
      <w:r>
        <w:rPr>
          <w:spacing w:val="-4"/>
        </w:rPr>
        <w:t> </w:t>
      </w:r>
      <w:r>
        <w:rPr/>
        <w:t>de cancer</w:t>
      </w:r>
      <w:r>
        <w:rPr>
          <w:spacing w:val="-5"/>
        </w:rPr>
        <w:t> </w:t>
      </w:r>
      <w:r>
        <w:rPr/>
        <w:t>du</w:t>
      </w:r>
      <w:r>
        <w:rPr>
          <w:spacing w:val="-5"/>
        </w:rPr>
        <w:t> </w:t>
      </w:r>
      <w:r>
        <w:rPr/>
        <w:t>pancréas,</w:t>
      </w:r>
      <w:r>
        <w:rPr>
          <w:spacing w:val="-5"/>
        </w:rPr>
        <w:t> </w:t>
      </w:r>
      <w:r>
        <w:rPr/>
        <w:t>et</w:t>
      </w:r>
      <w:r>
        <w:rPr>
          <w:spacing w:val="-4"/>
        </w:rPr>
        <w:t> </w:t>
      </w:r>
      <w:r>
        <w:rPr/>
        <w:t>que</w:t>
      </w:r>
      <w:r>
        <w:rPr>
          <w:spacing w:val="-5"/>
        </w:rPr>
        <w:t> </w:t>
      </w:r>
      <w:r>
        <w:rPr/>
        <w:t>plus</w:t>
      </w:r>
      <w:r>
        <w:rPr>
          <w:spacing w:val="-4"/>
        </w:rPr>
        <w:t> </w:t>
      </w:r>
      <w:r>
        <w:rPr/>
        <w:t>l’expression</w:t>
      </w:r>
      <w:r>
        <w:rPr>
          <w:spacing w:val="-5"/>
        </w:rPr>
        <w:t> </w:t>
      </w:r>
      <w:r>
        <w:rPr/>
        <w:t>était</w:t>
      </w:r>
      <w:r>
        <w:rPr>
          <w:spacing w:val="-4"/>
        </w:rPr>
        <w:t> </w:t>
      </w:r>
      <w:r>
        <w:rPr/>
        <w:t>forte,</w:t>
      </w:r>
      <w:r>
        <w:rPr>
          <w:spacing w:val="-2"/>
        </w:rPr>
        <w:t> </w:t>
      </w:r>
      <w:r>
        <w:rPr/>
        <w:t>plus</w:t>
      </w:r>
      <w:r>
        <w:rPr>
          <w:spacing w:val="-4"/>
        </w:rPr>
        <w:t> </w:t>
      </w:r>
      <w:r>
        <w:rPr/>
        <w:t>réduite</w:t>
      </w:r>
      <w:r>
        <w:rPr>
          <w:spacing w:val="-5"/>
        </w:rPr>
        <w:t> </w:t>
      </w:r>
      <w:r>
        <w:rPr/>
        <w:t>était</w:t>
      </w:r>
      <w:r>
        <w:rPr>
          <w:spacing w:val="-4"/>
        </w:rPr>
        <w:t> </w:t>
      </w:r>
      <w:r>
        <w:rPr/>
        <w:t>la</w:t>
      </w:r>
      <w:r>
        <w:rPr>
          <w:spacing w:val="-2"/>
        </w:rPr>
        <w:t> </w:t>
      </w:r>
      <w:r>
        <w:rPr/>
        <w:t>survie</w:t>
      </w:r>
      <w:r>
        <w:rPr>
          <w:spacing w:val="-4"/>
        </w:rPr>
        <w:t> </w:t>
      </w:r>
      <w:r>
        <w:rPr/>
        <w:t>(Mohammad et al.,</w:t>
      </w:r>
      <w:r>
        <w:rPr>
          <w:spacing w:val="-3"/>
        </w:rPr>
        <w:t> </w:t>
      </w:r>
      <w:r>
        <w:rPr/>
        <w:t>2016).</w:t>
      </w:r>
    </w:p>
    <w:p>
      <w:pPr>
        <w:spacing w:after="0" w:line="276" w:lineRule="auto"/>
        <w:jc w:val="both"/>
        <w:sectPr>
          <w:pgSz w:w="11910" w:h="16840"/>
          <w:pgMar w:header="0" w:footer="995" w:top="1320" w:bottom="1240" w:left="1300" w:right="1300"/>
        </w:sectPr>
      </w:pPr>
    </w:p>
    <w:p>
      <w:pPr>
        <w:pStyle w:val="BodyText"/>
        <w:spacing w:line="276" w:lineRule="auto" w:before="72"/>
        <w:ind w:left="116" w:right="294" w:firstLine="707"/>
        <w:jc w:val="both"/>
      </w:pPr>
      <w:r>
        <w:rPr/>
        <w:t>La PKM2 joue un rôle essentiel lors de la glycolyse, mais également en tant que coactivateur</w:t>
      </w:r>
      <w:r>
        <w:rPr>
          <w:spacing w:val="-14"/>
        </w:rPr>
        <w:t> </w:t>
      </w:r>
      <w:r>
        <w:rPr/>
        <w:t>transcriptionnel</w:t>
      </w:r>
      <w:r>
        <w:rPr>
          <w:spacing w:val="-13"/>
        </w:rPr>
        <w:t> </w:t>
      </w:r>
      <w:r>
        <w:rPr/>
        <w:t>pour</w:t>
      </w:r>
      <w:r>
        <w:rPr>
          <w:spacing w:val="-14"/>
        </w:rPr>
        <w:t> </w:t>
      </w:r>
      <w:r>
        <w:rPr/>
        <w:t>les</w:t>
      </w:r>
      <w:r>
        <w:rPr>
          <w:spacing w:val="-12"/>
        </w:rPr>
        <w:t> </w:t>
      </w:r>
      <w:r>
        <w:rPr/>
        <w:t>facteurs</w:t>
      </w:r>
      <w:r>
        <w:rPr>
          <w:spacing w:val="-13"/>
        </w:rPr>
        <w:t> </w:t>
      </w:r>
      <w:r>
        <w:rPr/>
        <w:t>de</w:t>
      </w:r>
      <w:r>
        <w:rPr>
          <w:spacing w:val="-14"/>
        </w:rPr>
        <w:t> </w:t>
      </w:r>
      <w:r>
        <w:rPr/>
        <w:t>transcription</w:t>
      </w:r>
      <w:r>
        <w:rPr>
          <w:spacing w:val="-12"/>
        </w:rPr>
        <w:t> </w:t>
      </w:r>
      <w:r>
        <w:rPr/>
        <w:t>c-Myc</w:t>
      </w:r>
      <w:r>
        <w:rPr>
          <w:spacing w:val="-12"/>
        </w:rPr>
        <w:t> </w:t>
      </w:r>
      <w:r>
        <w:rPr/>
        <w:t>et</w:t>
      </w:r>
      <w:r>
        <w:rPr>
          <w:spacing w:val="-11"/>
        </w:rPr>
        <w:t> </w:t>
      </w:r>
      <w:r>
        <w:rPr/>
        <w:t>HIF-1-</w:t>
      </w:r>
      <w:r>
        <w:rPr>
          <w:rFonts w:ascii="Symbol" w:hAnsi="Symbol"/>
        </w:rPr>
        <w:t></w:t>
      </w:r>
      <w:r>
        <w:rPr>
          <w:spacing w:val="-16"/>
        </w:rPr>
        <w:t> </w:t>
      </w:r>
      <w:r>
        <w:rPr/>
        <w:t>(Filipp,</w:t>
      </w:r>
      <w:r>
        <w:rPr>
          <w:spacing w:val="-13"/>
        </w:rPr>
        <w:t> </w:t>
      </w:r>
      <w:r>
        <w:rPr/>
        <w:t>2013). Le gène codant pour la PK étant également sous le contrôle de c-Myc et HIF-1-</w:t>
      </w:r>
      <w:r>
        <w:rPr>
          <w:rFonts w:ascii="Symbol" w:hAnsi="Symbol"/>
        </w:rPr>
        <w:t></w:t>
      </w:r>
      <w:r>
        <w:rPr/>
        <w:t>, l’action de la PKM2 permet une boucle de rétroaction positive concernant ces facteurs de transcription (détaillés dans le II.D.2 et</w:t>
      </w:r>
      <w:r>
        <w:rPr>
          <w:spacing w:val="-11"/>
        </w:rPr>
        <w:t> </w:t>
      </w:r>
      <w:r>
        <w:rPr/>
        <w:t>II.F.1).</w:t>
      </w:r>
    </w:p>
    <w:p>
      <w:pPr>
        <w:pStyle w:val="BodyText"/>
        <w:spacing w:line="276" w:lineRule="auto" w:before="164"/>
        <w:ind w:left="116" w:right="294" w:firstLine="707"/>
        <w:jc w:val="both"/>
      </w:pPr>
      <w:r>
        <w:rPr/>
        <w:t>De plus, la PKM2 est activée de manière allostérique par l’intermédiaire glycolytique fructose</w:t>
      </w:r>
      <w:r>
        <w:rPr>
          <w:spacing w:val="-15"/>
        </w:rPr>
        <w:t> </w:t>
      </w:r>
      <w:r>
        <w:rPr/>
        <w:t>1,6-BiPhosphate</w:t>
      </w:r>
      <w:r>
        <w:rPr>
          <w:spacing w:val="-12"/>
        </w:rPr>
        <w:t> </w:t>
      </w:r>
      <w:r>
        <w:rPr/>
        <w:t>(F1,6-BP),</w:t>
      </w:r>
      <w:r>
        <w:rPr>
          <w:spacing w:val="-14"/>
        </w:rPr>
        <w:t> </w:t>
      </w:r>
      <w:r>
        <w:rPr/>
        <w:t>et</w:t>
      </w:r>
      <w:r>
        <w:rPr>
          <w:spacing w:val="-14"/>
        </w:rPr>
        <w:t> </w:t>
      </w:r>
      <w:r>
        <w:rPr/>
        <w:t>peut</w:t>
      </w:r>
      <w:r>
        <w:rPr>
          <w:spacing w:val="-14"/>
        </w:rPr>
        <w:t> </w:t>
      </w:r>
      <w:r>
        <w:rPr/>
        <w:t>interagir</w:t>
      </w:r>
      <w:r>
        <w:rPr>
          <w:spacing w:val="-12"/>
        </w:rPr>
        <w:t> </w:t>
      </w:r>
      <w:r>
        <w:rPr/>
        <w:t>avec</w:t>
      </w:r>
      <w:r>
        <w:rPr>
          <w:spacing w:val="-15"/>
        </w:rPr>
        <w:t> </w:t>
      </w:r>
      <w:r>
        <w:rPr/>
        <w:t>des</w:t>
      </w:r>
      <w:r>
        <w:rPr>
          <w:spacing w:val="-14"/>
        </w:rPr>
        <w:t> </w:t>
      </w:r>
      <w:r>
        <w:rPr/>
        <w:t>protéines</w:t>
      </w:r>
      <w:r>
        <w:rPr>
          <w:spacing w:val="-15"/>
        </w:rPr>
        <w:t> </w:t>
      </w:r>
      <w:r>
        <w:rPr/>
        <w:t>tyrosine</w:t>
      </w:r>
      <w:r>
        <w:rPr>
          <w:spacing w:val="-15"/>
        </w:rPr>
        <w:t> </w:t>
      </w:r>
      <w:r>
        <w:rPr/>
        <w:t>phosphorylées qui relarguent du F1,6-BP et diminuent ainsi l’activité enzymatique de la PK. Cela rend les métabolites de la glycolyse disponibles pour les voies anaboliques (comme la PPP, la</w:t>
      </w:r>
      <w:r>
        <w:rPr>
          <w:spacing w:val="-19"/>
        </w:rPr>
        <w:t> </w:t>
      </w:r>
      <w:r>
        <w:rPr/>
        <w:t>synthèse des acides aminés ou des acides gras). Cela suggère qu’une activation de la PKM2 pourrait interférer avec les voies anaboliques issues du métabolisme du glucose (Anastasiou et al., 2012).</w:t>
      </w:r>
    </w:p>
    <w:p>
      <w:pPr>
        <w:pStyle w:val="BodyText"/>
        <w:spacing w:line="276" w:lineRule="auto" w:before="164"/>
        <w:ind w:left="116" w:right="295" w:firstLine="707"/>
        <w:jc w:val="both"/>
      </w:pPr>
      <w:r>
        <w:rPr/>
        <w:t>Un autre aspect de l’adaptation de la cellule cancéreuse se retrouve dans l’analyse de</w:t>
      </w:r>
      <w:r>
        <w:rPr>
          <w:spacing w:val="-41"/>
        </w:rPr>
        <w:t> </w:t>
      </w:r>
      <w:r>
        <w:rPr/>
        <w:t>la connexion entre la glycolyse et le cycle de Krebs. L’isoforme PKM2 catalysant la dernière réaction de la glycolyse conduit à un goulot d’étranglement de cette dernière. De plus, l’inhibition de la PDH conduit à déconnecter la glycolyse du cycle de Krebs. Certains métabolites de la glycolyse sont alors disponibles pour participer aux voies anaboliques nécessaires à la prolifération des cellules cancéreuses (Figure 9). Par exemple, l’accumulation de 3-PG active la PGDH, qui est orientée vers la synthèse de sérine puis de glycine (synthèse protéique).</w:t>
      </w:r>
    </w:p>
    <w:p>
      <w:pPr>
        <w:pStyle w:val="BodyText"/>
        <w:spacing w:before="7"/>
      </w:pPr>
      <w:r>
        <w:rPr/>
        <w:drawing>
          <wp:anchor distT="0" distB="0" distL="0" distR="0" allowOverlap="1" layoutInCell="1" locked="0" behindDoc="0" simplePos="0" relativeHeight="1384">
            <wp:simplePos x="0" y="0"/>
            <wp:positionH relativeFrom="page">
              <wp:posOffset>1349375</wp:posOffset>
            </wp:positionH>
            <wp:positionV relativeFrom="paragraph">
              <wp:posOffset>204673</wp:posOffset>
            </wp:positionV>
            <wp:extent cx="5414946" cy="4082796"/>
            <wp:effectExtent l="0" t="0" r="0" b="0"/>
            <wp:wrapTopAndBottom/>
            <wp:docPr id="29" name="image13.jpeg" descr=""/>
            <wp:cNvGraphicFramePr>
              <a:graphicFrameLocks noChangeAspect="1"/>
            </wp:cNvGraphicFramePr>
            <a:graphic>
              <a:graphicData uri="http://schemas.openxmlformats.org/drawingml/2006/picture">
                <pic:pic>
                  <pic:nvPicPr>
                    <pic:cNvPr id="30" name="image13.jpeg"/>
                    <pic:cNvPicPr/>
                  </pic:nvPicPr>
                  <pic:blipFill>
                    <a:blip r:embed="rId19" cstate="print"/>
                    <a:stretch>
                      <a:fillRect/>
                    </a:stretch>
                  </pic:blipFill>
                  <pic:spPr>
                    <a:xfrm>
                      <a:off x="0" y="0"/>
                      <a:ext cx="5414946" cy="4082796"/>
                    </a:xfrm>
                    <a:prstGeom prst="rect">
                      <a:avLst/>
                    </a:prstGeom>
                  </pic:spPr>
                </pic:pic>
              </a:graphicData>
            </a:graphic>
          </wp:anchor>
        </w:drawing>
      </w:r>
    </w:p>
    <w:p>
      <w:pPr>
        <w:spacing w:before="30"/>
        <w:ind w:left="1989" w:right="2172" w:firstLine="0"/>
        <w:jc w:val="center"/>
        <w:rPr>
          <w:i/>
          <w:sz w:val="18"/>
        </w:rPr>
      </w:pPr>
      <w:bookmarkStart w:name="_bookmark34" w:id="54"/>
      <w:bookmarkEnd w:id="54"/>
      <w:r>
        <w:rPr/>
      </w:r>
      <w:r>
        <w:rPr>
          <w:i/>
          <w:color w:val="44536A"/>
          <w:sz w:val="18"/>
        </w:rPr>
        <w:t>Figure 9 : Une connexion entre la glycolyse et le cycle de Krebs modifée.</w:t>
      </w:r>
    </w:p>
    <w:p>
      <w:pPr>
        <w:spacing w:before="116"/>
        <w:ind w:left="1989" w:right="2074" w:firstLine="0"/>
        <w:jc w:val="center"/>
        <w:rPr>
          <w:i/>
          <w:sz w:val="18"/>
        </w:rPr>
      </w:pPr>
      <w:r>
        <w:rPr>
          <w:i/>
          <w:color w:val="44536A"/>
          <w:sz w:val="18"/>
        </w:rPr>
        <w:t>Modifié d'après Icard et Lincet, 2013.</w:t>
      </w:r>
    </w:p>
    <w:p>
      <w:pPr>
        <w:spacing w:after="0"/>
        <w:jc w:val="center"/>
        <w:rPr>
          <w:sz w:val="18"/>
        </w:rPr>
        <w:sectPr>
          <w:pgSz w:w="11910" w:h="16840"/>
          <w:pgMar w:header="0" w:footer="995" w:top="1320" w:bottom="1240" w:left="1300" w:right="1120"/>
        </w:sectPr>
      </w:pPr>
    </w:p>
    <w:p>
      <w:pPr>
        <w:pStyle w:val="ListParagraph"/>
        <w:numPr>
          <w:ilvl w:val="0"/>
          <w:numId w:val="7"/>
        </w:numPr>
        <w:tabs>
          <w:tab w:pos="1043" w:val="left" w:leader="none"/>
        </w:tabs>
        <w:spacing w:line="240" w:lineRule="auto" w:before="72" w:after="0"/>
        <w:ind w:left="1042" w:right="0" w:hanging="360"/>
        <w:jc w:val="left"/>
        <w:rPr>
          <w:sz w:val="24"/>
        </w:rPr>
      </w:pPr>
      <w:bookmarkStart w:name="_bookmark35" w:id="55"/>
      <w:bookmarkEnd w:id="55"/>
      <w:r>
        <w:rPr/>
      </w:r>
      <w:bookmarkStart w:name="_bookmark35" w:id="56"/>
      <w:bookmarkEnd w:id="56"/>
      <w:r>
        <w:rPr>
          <w:sz w:val="24"/>
          <w:u w:val="single"/>
        </w:rPr>
        <w:t>L</w:t>
      </w:r>
      <w:r>
        <w:rPr>
          <w:sz w:val="24"/>
          <w:u w:val="single"/>
        </w:rPr>
        <w:t>a transcétolase, une enzyme clef de la voie des pentoses</w:t>
      </w:r>
      <w:r>
        <w:rPr>
          <w:spacing w:val="-10"/>
          <w:sz w:val="24"/>
          <w:u w:val="single"/>
        </w:rPr>
        <w:t> </w:t>
      </w:r>
      <w:r>
        <w:rPr>
          <w:sz w:val="24"/>
          <w:u w:val="single"/>
        </w:rPr>
        <w:t>phosphates</w:t>
      </w:r>
    </w:p>
    <w:p>
      <w:pPr>
        <w:pStyle w:val="BodyText"/>
        <w:rPr>
          <w:sz w:val="20"/>
        </w:rPr>
      </w:pPr>
    </w:p>
    <w:p>
      <w:pPr>
        <w:pStyle w:val="BodyText"/>
        <w:spacing w:before="4"/>
        <w:rPr>
          <w:sz w:val="23"/>
        </w:rPr>
      </w:pPr>
    </w:p>
    <w:p>
      <w:pPr>
        <w:pStyle w:val="BodyText"/>
        <w:spacing w:line="276" w:lineRule="auto"/>
        <w:ind w:left="116" w:right="111" w:firstLine="707"/>
        <w:jc w:val="both"/>
      </w:pPr>
      <w:r>
        <w:rPr/>
        <w:t>L’oxydation</w:t>
      </w:r>
      <w:r>
        <w:rPr>
          <w:spacing w:val="-7"/>
        </w:rPr>
        <w:t> </w:t>
      </w:r>
      <w:r>
        <w:rPr/>
        <w:t>du</w:t>
      </w:r>
      <w:r>
        <w:rPr>
          <w:spacing w:val="-7"/>
        </w:rPr>
        <w:t> </w:t>
      </w:r>
      <w:r>
        <w:rPr/>
        <w:t>glucose-6-phosphate</w:t>
      </w:r>
      <w:r>
        <w:rPr>
          <w:spacing w:val="-8"/>
        </w:rPr>
        <w:t> </w:t>
      </w:r>
      <w:r>
        <w:rPr/>
        <w:t>par</w:t>
      </w:r>
      <w:r>
        <w:rPr>
          <w:spacing w:val="-8"/>
        </w:rPr>
        <w:t> </w:t>
      </w:r>
      <w:r>
        <w:rPr/>
        <w:t>la</w:t>
      </w:r>
      <w:r>
        <w:rPr>
          <w:spacing w:val="-8"/>
        </w:rPr>
        <w:t> </w:t>
      </w:r>
      <w:r>
        <w:rPr/>
        <w:t>G6PD</w:t>
      </w:r>
      <w:r>
        <w:rPr>
          <w:spacing w:val="-5"/>
        </w:rPr>
        <w:t> </w:t>
      </w:r>
      <w:r>
        <w:rPr/>
        <w:t>aboutit</w:t>
      </w:r>
      <w:r>
        <w:rPr>
          <w:spacing w:val="-7"/>
        </w:rPr>
        <w:t> </w:t>
      </w:r>
      <w:r>
        <w:rPr/>
        <w:t>à</w:t>
      </w:r>
      <w:r>
        <w:rPr>
          <w:spacing w:val="-8"/>
        </w:rPr>
        <w:t> </w:t>
      </w:r>
      <w:r>
        <w:rPr/>
        <w:t>la</w:t>
      </w:r>
      <w:r>
        <w:rPr>
          <w:spacing w:val="-8"/>
        </w:rPr>
        <w:t> </w:t>
      </w:r>
      <w:r>
        <w:rPr/>
        <w:t>formation</w:t>
      </w:r>
      <w:r>
        <w:rPr>
          <w:spacing w:val="-7"/>
        </w:rPr>
        <w:t> </w:t>
      </w:r>
      <w:r>
        <w:rPr/>
        <w:t>d’oses,</w:t>
      </w:r>
      <w:r>
        <w:rPr>
          <w:spacing w:val="-7"/>
        </w:rPr>
        <w:t> </w:t>
      </w:r>
      <w:r>
        <w:rPr/>
        <w:t>comme le ribose-5-phosphate, impliqués dans des réactions de biosynthèse (acides nucléiques, coenzymes, acides gras, hormones stéroïdes, composés phénoliques…) essentielles à la survie de la cellule cancéreuse. Une isoenzyme de la transcétolase, la transcétolase like enzyme TKTL1, est surexprimée dans de nombreux types de cancers (Coy et al., 2005). Cette enzyme stimule</w:t>
      </w:r>
      <w:r>
        <w:rPr>
          <w:spacing w:val="-5"/>
        </w:rPr>
        <w:t> </w:t>
      </w:r>
      <w:r>
        <w:rPr/>
        <w:t>la</w:t>
      </w:r>
      <w:r>
        <w:rPr>
          <w:spacing w:val="-5"/>
        </w:rPr>
        <w:t> </w:t>
      </w:r>
      <w:r>
        <w:rPr/>
        <w:t>PPP.</w:t>
      </w:r>
      <w:r>
        <w:rPr>
          <w:spacing w:val="-7"/>
        </w:rPr>
        <w:t> </w:t>
      </w:r>
      <w:r>
        <w:rPr/>
        <w:t>Son</w:t>
      </w:r>
      <w:r>
        <w:rPr>
          <w:spacing w:val="-5"/>
        </w:rPr>
        <w:t> </w:t>
      </w:r>
      <w:r>
        <w:rPr/>
        <w:t>expression</w:t>
      </w:r>
      <w:r>
        <w:rPr>
          <w:spacing w:val="-5"/>
        </w:rPr>
        <w:t> </w:t>
      </w:r>
      <w:r>
        <w:rPr/>
        <w:t>est</w:t>
      </w:r>
      <w:r>
        <w:rPr>
          <w:spacing w:val="-4"/>
        </w:rPr>
        <w:t> </w:t>
      </w:r>
      <w:r>
        <w:rPr/>
        <w:t>associée</w:t>
      </w:r>
      <w:r>
        <w:rPr>
          <w:spacing w:val="-6"/>
        </w:rPr>
        <w:t> </w:t>
      </w:r>
      <w:r>
        <w:rPr/>
        <w:t>à</w:t>
      </w:r>
      <w:r>
        <w:rPr>
          <w:spacing w:val="-6"/>
        </w:rPr>
        <w:t> </w:t>
      </w:r>
      <w:r>
        <w:rPr/>
        <w:t>un</w:t>
      </w:r>
      <w:r>
        <w:rPr>
          <w:spacing w:val="-5"/>
        </w:rPr>
        <w:t> </w:t>
      </w:r>
      <w:r>
        <w:rPr/>
        <w:t>mauvais</w:t>
      </w:r>
      <w:r>
        <w:rPr>
          <w:spacing w:val="-4"/>
        </w:rPr>
        <w:t> </w:t>
      </w:r>
      <w:r>
        <w:rPr/>
        <w:t>pronostic</w:t>
      </w:r>
      <w:r>
        <w:rPr>
          <w:spacing w:val="-6"/>
        </w:rPr>
        <w:t> </w:t>
      </w:r>
      <w:r>
        <w:rPr/>
        <w:t>dans</w:t>
      </w:r>
      <w:r>
        <w:rPr>
          <w:spacing w:val="-5"/>
        </w:rPr>
        <w:t> </w:t>
      </w:r>
      <w:r>
        <w:rPr/>
        <w:t>le</w:t>
      </w:r>
      <w:r>
        <w:rPr>
          <w:spacing w:val="-6"/>
        </w:rPr>
        <w:t> </w:t>
      </w:r>
      <w:r>
        <w:rPr/>
        <w:t>cancer</w:t>
      </w:r>
      <w:r>
        <w:rPr>
          <w:spacing w:val="-6"/>
        </w:rPr>
        <w:t> </w:t>
      </w:r>
      <w:r>
        <w:rPr/>
        <w:t>du</w:t>
      </w:r>
      <w:r>
        <w:rPr>
          <w:spacing w:val="-5"/>
        </w:rPr>
        <w:t> </w:t>
      </w:r>
      <w:r>
        <w:rPr/>
        <w:t>côlon</w:t>
      </w:r>
      <w:r>
        <w:rPr>
          <w:spacing w:val="-4"/>
        </w:rPr>
        <w:t> </w:t>
      </w:r>
      <w:r>
        <w:rPr/>
        <w:t>par exemple (Ahopelto et al.,</w:t>
      </w:r>
      <w:r>
        <w:rPr>
          <w:spacing w:val="-4"/>
        </w:rPr>
        <w:t> </w:t>
      </w:r>
      <w:r>
        <w:rPr/>
        <w:t>2016).</w:t>
      </w:r>
    </w:p>
    <w:p>
      <w:pPr>
        <w:pStyle w:val="BodyText"/>
        <w:rPr>
          <w:sz w:val="26"/>
        </w:rPr>
      </w:pPr>
    </w:p>
    <w:p>
      <w:pPr>
        <w:pStyle w:val="BodyText"/>
        <w:spacing w:before="2"/>
        <w:rPr>
          <w:sz w:val="28"/>
        </w:rPr>
      </w:pPr>
    </w:p>
    <w:p>
      <w:pPr>
        <w:pStyle w:val="Heading3"/>
        <w:numPr>
          <w:ilvl w:val="1"/>
          <w:numId w:val="4"/>
        </w:numPr>
        <w:tabs>
          <w:tab w:pos="1610" w:val="left" w:leader="none"/>
        </w:tabs>
        <w:spacing w:line="240" w:lineRule="auto" w:before="1" w:after="0"/>
        <w:ind w:left="1609" w:right="0" w:hanging="360"/>
        <w:jc w:val="left"/>
      </w:pPr>
      <w:r>
        <w:rPr/>
        <w:t>Un cycle de </w:t>
      </w:r>
      <w:bookmarkStart w:name="_bookmark36" w:id="57"/>
      <w:bookmarkEnd w:id="57"/>
      <w:r>
        <w:rPr/>
        <w:t>Kre</w:t>
      </w:r>
      <w:r>
        <w:rPr/>
        <w:t>bs au fonctionnement</w:t>
      </w:r>
      <w:r>
        <w:rPr>
          <w:spacing w:val="-6"/>
        </w:rPr>
        <w:t> </w:t>
      </w:r>
      <w:r>
        <w:rPr/>
        <w:t>modifié</w:t>
      </w:r>
    </w:p>
    <w:p>
      <w:pPr>
        <w:pStyle w:val="BodyText"/>
        <w:spacing w:before="5"/>
        <w:rPr>
          <w:b/>
          <w:sz w:val="43"/>
        </w:rPr>
      </w:pPr>
    </w:p>
    <w:p>
      <w:pPr>
        <w:pStyle w:val="ListParagraph"/>
        <w:numPr>
          <w:ilvl w:val="0"/>
          <w:numId w:val="9"/>
        </w:numPr>
        <w:tabs>
          <w:tab w:pos="1109" w:val="left" w:leader="none"/>
          <w:tab w:pos="1110" w:val="left" w:leader="none"/>
        </w:tabs>
        <w:spacing w:line="240" w:lineRule="auto" w:before="1" w:after="0"/>
        <w:ind w:left="1110" w:right="0" w:hanging="428"/>
        <w:jc w:val="left"/>
        <w:rPr>
          <w:sz w:val="24"/>
        </w:rPr>
      </w:pPr>
      <w:bookmarkStart w:name="_bookmark37" w:id="58"/>
      <w:bookmarkEnd w:id="58"/>
      <w:r>
        <w:rPr/>
      </w:r>
      <w:bookmarkStart w:name="_bookmark37" w:id="59"/>
      <w:bookmarkEnd w:id="59"/>
      <w:r>
        <w:rPr>
          <w:sz w:val="24"/>
          <w:u w:val="single"/>
        </w:rPr>
        <w:t>L</w:t>
      </w:r>
      <w:r>
        <w:rPr>
          <w:sz w:val="24"/>
          <w:u w:val="single"/>
        </w:rPr>
        <w:t>’altération des enzymes du cycle de</w:t>
      </w:r>
      <w:r>
        <w:rPr>
          <w:spacing w:val="-13"/>
          <w:sz w:val="24"/>
          <w:u w:val="single"/>
        </w:rPr>
        <w:t> </w:t>
      </w:r>
      <w:r>
        <w:rPr>
          <w:sz w:val="24"/>
          <w:u w:val="single"/>
        </w:rPr>
        <w:t>Krebs</w:t>
      </w:r>
    </w:p>
    <w:p>
      <w:pPr>
        <w:pStyle w:val="BodyText"/>
        <w:rPr>
          <w:sz w:val="20"/>
        </w:rPr>
      </w:pPr>
    </w:p>
    <w:p>
      <w:pPr>
        <w:pStyle w:val="BodyText"/>
        <w:spacing w:before="8"/>
        <w:rPr>
          <w:sz w:val="17"/>
        </w:rPr>
      </w:pPr>
    </w:p>
    <w:p>
      <w:pPr>
        <w:pStyle w:val="Heading5"/>
        <w:numPr>
          <w:ilvl w:val="1"/>
          <w:numId w:val="9"/>
        </w:numPr>
        <w:tabs>
          <w:tab w:pos="2252" w:val="left" w:leader="none"/>
          <w:tab w:pos="2253" w:val="left" w:leader="none"/>
        </w:tabs>
        <w:spacing w:line="240" w:lineRule="auto" w:before="90" w:after="0"/>
        <w:ind w:left="2252" w:right="0" w:hanging="720"/>
        <w:jc w:val="left"/>
        <w:rPr>
          <w:i/>
        </w:rPr>
      </w:pPr>
      <w:bookmarkStart w:name="_bookmark38" w:id="60"/>
      <w:bookmarkEnd w:id="60"/>
      <w:r>
        <w:rPr>
          <w:b w:val="0"/>
          <w:i w:val="0"/>
        </w:rPr>
      </w:r>
      <w:bookmarkStart w:name="_bookmark38" w:id="61"/>
      <w:bookmarkEnd w:id="61"/>
      <w:r>
        <w:rPr>
          <w:i/>
        </w:rPr>
        <w:t>La</w:t>
      </w:r>
      <w:r>
        <w:rPr>
          <w:i/>
        </w:rPr>
        <w:t> citrate</w:t>
      </w:r>
      <w:r>
        <w:rPr>
          <w:i/>
          <w:spacing w:val="-3"/>
        </w:rPr>
        <w:t> </w:t>
      </w:r>
      <w:r>
        <w:rPr>
          <w:i/>
        </w:rPr>
        <w:t>synthase</w:t>
      </w:r>
    </w:p>
    <w:p>
      <w:pPr>
        <w:pStyle w:val="BodyText"/>
        <w:rPr>
          <w:b/>
          <w:i/>
          <w:sz w:val="26"/>
        </w:rPr>
      </w:pPr>
    </w:p>
    <w:p>
      <w:pPr>
        <w:pStyle w:val="BodyText"/>
        <w:spacing w:line="276" w:lineRule="auto" w:before="195"/>
        <w:ind w:left="116" w:right="116" w:firstLine="707"/>
        <w:jc w:val="both"/>
      </w:pPr>
      <w:r>
        <w:rPr/>
        <w:t>La première enzyme du cycle de Krebs catalyse la réaction irréversible entre l’acétyl- CoA</w:t>
      </w:r>
      <w:r>
        <w:rPr>
          <w:spacing w:val="-9"/>
        </w:rPr>
        <w:t> </w:t>
      </w:r>
      <w:r>
        <w:rPr/>
        <w:t>et</w:t>
      </w:r>
      <w:r>
        <w:rPr>
          <w:spacing w:val="-8"/>
        </w:rPr>
        <w:t> </w:t>
      </w:r>
      <w:r>
        <w:rPr/>
        <w:t>l’OAA,</w:t>
      </w:r>
      <w:r>
        <w:rPr>
          <w:spacing w:val="-6"/>
        </w:rPr>
        <w:t> </w:t>
      </w:r>
      <w:r>
        <w:rPr/>
        <w:t>à</w:t>
      </w:r>
      <w:r>
        <w:rPr>
          <w:spacing w:val="-10"/>
        </w:rPr>
        <w:t> </w:t>
      </w:r>
      <w:r>
        <w:rPr/>
        <w:t>l’origine</w:t>
      </w:r>
      <w:r>
        <w:rPr>
          <w:spacing w:val="-10"/>
        </w:rPr>
        <w:t> </w:t>
      </w:r>
      <w:r>
        <w:rPr/>
        <w:t>de</w:t>
      </w:r>
      <w:r>
        <w:rPr>
          <w:spacing w:val="-7"/>
        </w:rPr>
        <w:t> </w:t>
      </w:r>
      <w:r>
        <w:rPr/>
        <w:t>citrate</w:t>
      </w:r>
      <w:r>
        <w:rPr>
          <w:spacing w:val="-7"/>
        </w:rPr>
        <w:t> </w:t>
      </w:r>
      <w:r>
        <w:rPr/>
        <w:t>et</w:t>
      </w:r>
      <w:r>
        <w:rPr>
          <w:spacing w:val="-6"/>
        </w:rPr>
        <w:t> </w:t>
      </w:r>
      <w:r>
        <w:rPr/>
        <w:t>de</w:t>
      </w:r>
      <w:r>
        <w:rPr>
          <w:spacing w:val="-10"/>
        </w:rPr>
        <w:t> </w:t>
      </w:r>
      <w:r>
        <w:rPr/>
        <w:t>Coenzyme</w:t>
      </w:r>
      <w:r>
        <w:rPr>
          <w:spacing w:val="-9"/>
        </w:rPr>
        <w:t> </w:t>
      </w:r>
      <w:r>
        <w:rPr/>
        <w:t>A.</w:t>
      </w:r>
      <w:r>
        <w:rPr>
          <w:spacing w:val="-9"/>
        </w:rPr>
        <w:t> </w:t>
      </w:r>
      <w:r>
        <w:rPr/>
        <w:t>Sa</w:t>
      </w:r>
      <w:r>
        <w:rPr>
          <w:spacing w:val="-7"/>
        </w:rPr>
        <w:t> </w:t>
      </w:r>
      <w:r>
        <w:rPr/>
        <w:t>perte</w:t>
      </w:r>
      <w:r>
        <w:rPr>
          <w:spacing w:val="-10"/>
        </w:rPr>
        <w:t> </w:t>
      </w:r>
      <w:r>
        <w:rPr/>
        <w:t>d’activité</w:t>
      </w:r>
      <w:r>
        <w:rPr>
          <w:spacing w:val="-7"/>
        </w:rPr>
        <w:t> </w:t>
      </w:r>
      <w:r>
        <w:rPr/>
        <w:t>conduit</w:t>
      </w:r>
      <w:r>
        <w:rPr>
          <w:spacing w:val="-8"/>
        </w:rPr>
        <w:t> </w:t>
      </w:r>
      <w:r>
        <w:rPr/>
        <w:t>à</w:t>
      </w:r>
      <w:r>
        <w:rPr>
          <w:spacing w:val="-10"/>
        </w:rPr>
        <w:t> </w:t>
      </w:r>
      <w:r>
        <w:rPr/>
        <w:t>une</w:t>
      </w:r>
      <w:r>
        <w:rPr>
          <w:spacing w:val="-10"/>
        </w:rPr>
        <w:t> </w:t>
      </w:r>
      <w:r>
        <w:rPr/>
        <w:t>baisse de la concentration cytosolique en citrate et à la tumorigenèse (Lin et al., 2012). Les mécanismes liant l’altération du métabolisme mitochondrial et la tumorigenèse ne sont pas encore complètement élucidés. Qu’ils soient une cause ou une conséquence de la cancérogenèse, leur intérêt thérapeutique n’est pas pour autant</w:t>
      </w:r>
      <w:r>
        <w:rPr>
          <w:spacing w:val="-11"/>
        </w:rPr>
        <w:t> </w:t>
      </w:r>
      <w:r>
        <w:rPr/>
        <w:t>diminué.</w:t>
      </w:r>
    </w:p>
    <w:p>
      <w:pPr>
        <w:pStyle w:val="BodyText"/>
        <w:rPr>
          <w:sz w:val="26"/>
        </w:rPr>
      </w:pPr>
    </w:p>
    <w:p>
      <w:pPr>
        <w:pStyle w:val="BodyText"/>
        <w:spacing w:before="11"/>
        <w:rPr>
          <w:sz w:val="29"/>
        </w:rPr>
      </w:pPr>
    </w:p>
    <w:p>
      <w:pPr>
        <w:pStyle w:val="Heading5"/>
        <w:numPr>
          <w:ilvl w:val="1"/>
          <w:numId w:val="9"/>
        </w:numPr>
        <w:tabs>
          <w:tab w:pos="2252" w:val="left" w:leader="none"/>
          <w:tab w:pos="2253" w:val="left" w:leader="none"/>
        </w:tabs>
        <w:spacing w:line="240" w:lineRule="auto" w:before="0" w:after="0"/>
        <w:ind w:left="2252" w:right="0" w:hanging="720"/>
        <w:jc w:val="left"/>
        <w:rPr>
          <w:i/>
        </w:rPr>
      </w:pPr>
      <w:bookmarkStart w:name="_bookmark39" w:id="62"/>
      <w:bookmarkEnd w:id="62"/>
      <w:r>
        <w:rPr>
          <w:b w:val="0"/>
          <w:i w:val="0"/>
        </w:rPr>
      </w:r>
      <w:bookmarkStart w:name="_bookmark39" w:id="63"/>
      <w:bookmarkEnd w:id="63"/>
      <w:r>
        <w:rPr>
          <w:i/>
        </w:rPr>
        <w:t>L</w:t>
      </w:r>
      <w:r>
        <w:rPr>
          <w:i/>
        </w:rPr>
        <w:t>’isocitrate déshydrogénase</w:t>
      </w:r>
      <w:r>
        <w:rPr>
          <w:i/>
          <w:spacing w:val="-9"/>
        </w:rPr>
        <w:t> </w:t>
      </w:r>
      <w:r>
        <w:rPr>
          <w:i/>
        </w:rPr>
        <w:t>(IDH)</w:t>
      </w:r>
    </w:p>
    <w:p>
      <w:pPr>
        <w:pStyle w:val="BodyText"/>
        <w:spacing w:before="3"/>
        <w:rPr>
          <w:b/>
          <w:i/>
          <w:sz w:val="27"/>
        </w:rPr>
      </w:pPr>
    </w:p>
    <w:p>
      <w:pPr>
        <w:pStyle w:val="BodyText"/>
        <w:spacing w:line="266" w:lineRule="auto" w:before="1"/>
        <w:ind w:left="116" w:right="114" w:firstLine="707"/>
        <w:jc w:val="both"/>
      </w:pPr>
      <w:r>
        <w:rPr/>
        <w:t>Les isocitrate déshydrogénases (IDH) sont des enzymes qui oxydent réversiblement </w:t>
      </w:r>
      <w:r>
        <w:rPr>
          <w:position w:val="2"/>
        </w:rPr>
        <w:t>l’isocitrate en α-cétoglutarate et CO</w:t>
      </w:r>
      <w:r>
        <w:rPr>
          <w:sz w:val="16"/>
        </w:rPr>
        <w:t>2 </w:t>
      </w:r>
      <w:r>
        <w:rPr>
          <w:position w:val="2"/>
        </w:rPr>
        <w:t>en présence d’un accepteur d’électrons. </w:t>
      </w:r>
      <w:r>
        <w:rPr>
          <w:spacing w:val="-3"/>
          <w:position w:val="2"/>
        </w:rPr>
        <w:t>Il </w:t>
      </w:r>
      <w:r>
        <w:rPr>
          <w:position w:val="2"/>
        </w:rPr>
        <w:t>existe</w:t>
      </w:r>
      <w:r>
        <w:rPr>
          <w:spacing w:val="-44"/>
          <w:position w:val="2"/>
        </w:rPr>
        <w:t> </w:t>
      </w:r>
      <w:r>
        <w:rPr>
          <w:position w:val="2"/>
        </w:rPr>
        <w:t>plusieurs </w:t>
      </w:r>
      <w:r>
        <w:rPr/>
        <w:t>isoenzymes, dont une forme cytoplasmique (IDH1) à NADP</w:t>
      </w:r>
      <w:r>
        <w:rPr>
          <w:position w:val="9"/>
          <w:sz w:val="16"/>
        </w:rPr>
        <w:t>+ </w:t>
      </w:r>
      <w:r>
        <w:rPr/>
        <w:t>qui participe à la lipogénèse et une forme mitochondriale (IDH2) à NAD</w:t>
      </w:r>
      <w:r>
        <w:rPr>
          <w:position w:val="9"/>
          <w:sz w:val="16"/>
        </w:rPr>
        <w:t>+  </w:t>
      </w:r>
      <w:r>
        <w:rPr/>
        <w:t>qui participe au cycle de</w:t>
      </w:r>
      <w:r>
        <w:rPr>
          <w:spacing w:val="-34"/>
        </w:rPr>
        <w:t> </w:t>
      </w:r>
      <w:r>
        <w:rPr/>
        <w:t>Krebs.</w:t>
      </w:r>
    </w:p>
    <w:p>
      <w:pPr>
        <w:pStyle w:val="BodyText"/>
        <w:spacing w:line="276" w:lineRule="auto" w:before="173"/>
        <w:ind w:left="116" w:right="115" w:firstLine="707"/>
        <w:jc w:val="both"/>
      </w:pPr>
      <w:r>
        <w:rPr/>
        <w:t>Les IDH sont altérées dans certaines tumeurs, comme les gliomes et les leucémies myéloïdes aigües (Clark et al., 2016 ; Dang et al., 2016). Elles produisent du D-2- HydroxyGlutarate, considéré comme ayant des propriétés d’oncogène (Jin et al., 2011).</w:t>
      </w:r>
    </w:p>
    <w:p>
      <w:pPr>
        <w:pStyle w:val="BodyText"/>
        <w:rPr>
          <w:sz w:val="26"/>
        </w:rPr>
      </w:pPr>
    </w:p>
    <w:p>
      <w:pPr>
        <w:pStyle w:val="BodyText"/>
        <w:rPr>
          <w:sz w:val="30"/>
        </w:rPr>
      </w:pPr>
    </w:p>
    <w:p>
      <w:pPr>
        <w:pStyle w:val="Heading5"/>
        <w:numPr>
          <w:ilvl w:val="1"/>
          <w:numId w:val="9"/>
        </w:numPr>
        <w:tabs>
          <w:tab w:pos="2252" w:val="left" w:leader="none"/>
          <w:tab w:pos="2253" w:val="left" w:leader="none"/>
        </w:tabs>
        <w:spacing w:line="240" w:lineRule="auto" w:before="0" w:after="0"/>
        <w:ind w:left="2252" w:right="0" w:hanging="720"/>
        <w:jc w:val="left"/>
        <w:rPr>
          <w:i/>
        </w:rPr>
      </w:pPr>
      <w:bookmarkStart w:name="_bookmark40" w:id="64"/>
      <w:bookmarkEnd w:id="64"/>
      <w:r>
        <w:rPr>
          <w:b w:val="0"/>
          <w:i w:val="0"/>
        </w:rPr>
      </w:r>
      <w:bookmarkStart w:name="_bookmark40" w:id="65"/>
      <w:bookmarkEnd w:id="65"/>
      <w:r>
        <w:rPr>
          <w:i/>
        </w:rPr>
        <w:t>La</w:t>
      </w:r>
      <w:r>
        <w:rPr>
          <w:i/>
        </w:rPr>
        <w:t> succinate déshydrogénase</w:t>
      </w:r>
      <w:r>
        <w:rPr>
          <w:i/>
          <w:spacing w:val="-3"/>
        </w:rPr>
        <w:t> </w:t>
      </w:r>
      <w:r>
        <w:rPr>
          <w:i/>
        </w:rPr>
        <w:t>(SDH)</w:t>
      </w:r>
    </w:p>
    <w:p>
      <w:pPr>
        <w:pStyle w:val="BodyText"/>
        <w:rPr>
          <w:b/>
          <w:i/>
          <w:sz w:val="26"/>
        </w:rPr>
      </w:pPr>
    </w:p>
    <w:p>
      <w:pPr>
        <w:pStyle w:val="BodyText"/>
        <w:spacing w:line="276" w:lineRule="auto" w:before="217"/>
        <w:ind w:left="116" w:right="115" w:firstLine="707"/>
        <w:jc w:val="both"/>
      </w:pPr>
      <w:r>
        <w:rPr/>
        <w:t>La succinate déshydrogénase (SDH) catalyse l’oxydation du succinate en fumarate</w:t>
      </w:r>
      <w:r>
        <w:rPr>
          <w:spacing w:val="-21"/>
        </w:rPr>
        <w:t> </w:t>
      </w:r>
      <w:r>
        <w:rPr/>
        <w:t>lors du</w:t>
      </w:r>
      <w:r>
        <w:rPr>
          <w:spacing w:val="-11"/>
        </w:rPr>
        <w:t> </w:t>
      </w:r>
      <w:r>
        <w:rPr/>
        <w:t>cycle</w:t>
      </w:r>
      <w:r>
        <w:rPr>
          <w:spacing w:val="-12"/>
        </w:rPr>
        <w:t> </w:t>
      </w:r>
      <w:r>
        <w:rPr/>
        <w:t>de</w:t>
      </w:r>
      <w:r>
        <w:rPr>
          <w:spacing w:val="-12"/>
        </w:rPr>
        <w:t> </w:t>
      </w:r>
      <w:r>
        <w:rPr/>
        <w:t>Krebs.</w:t>
      </w:r>
      <w:r>
        <w:rPr>
          <w:spacing w:val="-8"/>
        </w:rPr>
        <w:t> </w:t>
      </w:r>
      <w:r>
        <w:rPr/>
        <w:t>La</w:t>
      </w:r>
      <w:r>
        <w:rPr>
          <w:spacing w:val="-12"/>
        </w:rPr>
        <w:t> </w:t>
      </w:r>
      <w:r>
        <w:rPr/>
        <w:t>perte</w:t>
      </w:r>
      <w:r>
        <w:rPr>
          <w:spacing w:val="-12"/>
        </w:rPr>
        <w:t> </w:t>
      </w:r>
      <w:r>
        <w:rPr/>
        <w:t>de</w:t>
      </w:r>
      <w:r>
        <w:rPr>
          <w:spacing w:val="-12"/>
        </w:rPr>
        <w:t> </w:t>
      </w:r>
      <w:r>
        <w:rPr/>
        <w:t>fonction</w:t>
      </w:r>
      <w:r>
        <w:rPr>
          <w:spacing w:val="-11"/>
        </w:rPr>
        <w:t> </w:t>
      </w:r>
      <w:r>
        <w:rPr/>
        <w:t>de</w:t>
      </w:r>
      <w:r>
        <w:rPr>
          <w:spacing w:val="-10"/>
        </w:rPr>
        <w:t> </w:t>
      </w:r>
      <w:r>
        <w:rPr/>
        <w:t>cette</w:t>
      </w:r>
      <w:r>
        <w:rPr>
          <w:spacing w:val="-12"/>
        </w:rPr>
        <w:t> </w:t>
      </w:r>
      <w:r>
        <w:rPr/>
        <w:t>enzyme</w:t>
      </w:r>
      <w:r>
        <w:rPr>
          <w:spacing w:val="-12"/>
        </w:rPr>
        <w:t> </w:t>
      </w:r>
      <w:r>
        <w:rPr/>
        <w:t>entraîne</w:t>
      </w:r>
      <w:r>
        <w:rPr>
          <w:spacing w:val="-12"/>
        </w:rPr>
        <w:t> </w:t>
      </w:r>
      <w:r>
        <w:rPr/>
        <w:t>une</w:t>
      </w:r>
      <w:r>
        <w:rPr>
          <w:spacing w:val="-12"/>
        </w:rPr>
        <w:t> </w:t>
      </w:r>
      <w:r>
        <w:rPr/>
        <w:t>accumulation</w:t>
      </w:r>
      <w:r>
        <w:rPr>
          <w:spacing w:val="-11"/>
        </w:rPr>
        <w:t> </w:t>
      </w:r>
      <w:r>
        <w:rPr/>
        <w:t>de</w:t>
      </w:r>
      <w:r>
        <w:rPr>
          <w:spacing w:val="-10"/>
        </w:rPr>
        <w:t> </w:t>
      </w:r>
      <w:r>
        <w:rPr/>
        <w:t>succinate (Pollard</w:t>
      </w:r>
      <w:r>
        <w:rPr>
          <w:spacing w:val="8"/>
        </w:rPr>
        <w:t> </w:t>
      </w:r>
      <w:r>
        <w:rPr/>
        <w:t>et</w:t>
      </w:r>
      <w:r>
        <w:rPr>
          <w:spacing w:val="10"/>
        </w:rPr>
        <w:t> </w:t>
      </w:r>
      <w:r>
        <w:rPr/>
        <w:t>al.,</w:t>
      </w:r>
      <w:r>
        <w:rPr>
          <w:spacing w:val="10"/>
        </w:rPr>
        <w:t> </w:t>
      </w:r>
      <w:r>
        <w:rPr/>
        <w:t>2005),</w:t>
      </w:r>
      <w:r>
        <w:rPr>
          <w:spacing w:val="8"/>
        </w:rPr>
        <w:t> </w:t>
      </w:r>
      <w:r>
        <w:rPr/>
        <w:t>elle</w:t>
      </w:r>
      <w:r>
        <w:rPr>
          <w:spacing w:val="7"/>
        </w:rPr>
        <w:t> </w:t>
      </w:r>
      <w:r>
        <w:rPr/>
        <w:t>est</w:t>
      </w:r>
      <w:r>
        <w:rPr>
          <w:spacing w:val="10"/>
        </w:rPr>
        <w:t> </w:t>
      </w:r>
      <w:r>
        <w:rPr/>
        <w:t>considérée</w:t>
      </w:r>
      <w:r>
        <w:rPr>
          <w:spacing w:val="7"/>
        </w:rPr>
        <w:t> </w:t>
      </w:r>
      <w:r>
        <w:rPr/>
        <w:t>comme</w:t>
      </w:r>
      <w:r>
        <w:rPr>
          <w:spacing w:val="10"/>
        </w:rPr>
        <w:t> </w:t>
      </w:r>
      <w:r>
        <w:rPr/>
        <w:t>un</w:t>
      </w:r>
      <w:r>
        <w:rPr>
          <w:spacing w:val="8"/>
        </w:rPr>
        <w:t> </w:t>
      </w:r>
      <w:r>
        <w:rPr/>
        <w:t>gène</w:t>
      </w:r>
      <w:r>
        <w:rPr>
          <w:spacing w:val="7"/>
        </w:rPr>
        <w:t> </w:t>
      </w:r>
      <w:r>
        <w:rPr/>
        <w:t>suppresseur</w:t>
      </w:r>
      <w:r>
        <w:rPr>
          <w:spacing w:val="8"/>
        </w:rPr>
        <w:t> </w:t>
      </w:r>
      <w:r>
        <w:rPr/>
        <w:t>de</w:t>
      </w:r>
      <w:r>
        <w:rPr>
          <w:spacing w:val="7"/>
        </w:rPr>
        <w:t> </w:t>
      </w:r>
      <w:r>
        <w:rPr/>
        <w:t>tumeurs</w:t>
      </w:r>
      <w:r>
        <w:rPr>
          <w:spacing w:val="15"/>
        </w:rPr>
        <w:t> </w:t>
      </w:r>
      <w:r>
        <w:rPr/>
        <w:t>(Gottlieb</w:t>
      </w:r>
      <w:r>
        <w:rPr>
          <w:spacing w:val="8"/>
        </w:rPr>
        <w:t> </w:t>
      </w:r>
      <w:r>
        <w:rPr/>
        <w:t>et</w:t>
      </w:r>
    </w:p>
    <w:p>
      <w:pPr>
        <w:spacing w:after="0" w:line="276" w:lineRule="auto"/>
        <w:jc w:val="both"/>
        <w:sectPr>
          <w:pgSz w:w="11910" w:h="16840"/>
          <w:pgMar w:header="0" w:footer="995" w:top="1320" w:bottom="1240" w:left="1300" w:right="1300"/>
        </w:sectPr>
      </w:pPr>
    </w:p>
    <w:p>
      <w:pPr>
        <w:pStyle w:val="BodyText"/>
        <w:spacing w:line="276" w:lineRule="auto" w:before="72"/>
        <w:ind w:left="116" w:right="114"/>
        <w:jc w:val="both"/>
      </w:pPr>
      <w:r>
        <w:rPr/>
        <w:t>Tomlinson, 2005). Par exemple, des mutations de la SDH peuvent entraîner le développement de</w:t>
      </w:r>
      <w:r>
        <w:rPr>
          <w:spacing w:val="-10"/>
        </w:rPr>
        <w:t> </w:t>
      </w:r>
      <w:r>
        <w:rPr/>
        <w:t>phéochromocytomes</w:t>
      </w:r>
      <w:r>
        <w:rPr>
          <w:spacing w:val="-8"/>
        </w:rPr>
        <w:t> </w:t>
      </w:r>
      <w:r>
        <w:rPr/>
        <w:t>(Astuti</w:t>
      </w:r>
      <w:r>
        <w:rPr>
          <w:spacing w:val="-8"/>
        </w:rPr>
        <w:t> </w:t>
      </w:r>
      <w:r>
        <w:rPr/>
        <w:t>et</w:t>
      </w:r>
      <w:r>
        <w:rPr>
          <w:spacing w:val="-8"/>
        </w:rPr>
        <w:t> </w:t>
      </w:r>
      <w:r>
        <w:rPr/>
        <w:t>al.,</w:t>
      </w:r>
      <w:r>
        <w:rPr>
          <w:spacing w:val="-9"/>
        </w:rPr>
        <w:t> </w:t>
      </w:r>
      <w:r>
        <w:rPr/>
        <w:t>2001),</w:t>
      </w:r>
      <w:r>
        <w:rPr>
          <w:spacing w:val="-9"/>
        </w:rPr>
        <w:t> </w:t>
      </w:r>
      <w:r>
        <w:rPr/>
        <w:t>de</w:t>
      </w:r>
      <w:r>
        <w:rPr>
          <w:spacing w:val="-10"/>
        </w:rPr>
        <w:t> </w:t>
      </w:r>
      <w:r>
        <w:rPr/>
        <w:t>paragangliomes</w:t>
      </w:r>
      <w:r>
        <w:rPr>
          <w:spacing w:val="-7"/>
        </w:rPr>
        <w:t> </w:t>
      </w:r>
      <w:r>
        <w:rPr/>
        <w:t>(Niemann</w:t>
      </w:r>
      <w:r>
        <w:rPr>
          <w:spacing w:val="-7"/>
        </w:rPr>
        <w:t> </w:t>
      </w:r>
      <w:r>
        <w:rPr/>
        <w:t>et</w:t>
      </w:r>
      <w:r>
        <w:rPr>
          <w:spacing w:val="-8"/>
        </w:rPr>
        <w:t> </w:t>
      </w:r>
      <w:r>
        <w:rPr/>
        <w:t>Müller,</w:t>
      </w:r>
      <w:r>
        <w:rPr>
          <w:spacing w:val="-9"/>
        </w:rPr>
        <w:t> </w:t>
      </w:r>
      <w:r>
        <w:rPr/>
        <w:t>2000),</w:t>
      </w:r>
      <w:r>
        <w:rPr>
          <w:spacing w:val="-9"/>
        </w:rPr>
        <w:t> </w:t>
      </w:r>
      <w:r>
        <w:rPr/>
        <w:t>ou de</w:t>
      </w:r>
      <w:r>
        <w:rPr>
          <w:spacing w:val="-10"/>
        </w:rPr>
        <w:t> </w:t>
      </w:r>
      <w:r>
        <w:rPr/>
        <w:t>carcinome</w:t>
      </w:r>
      <w:r>
        <w:rPr>
          <w:spacing w:val="-10"/>
        </w:rPr>
        <w:t> </w:t>
      </w:r>
      <w:r>
        <w:rPr/>
        <w:t>rénal</w:t>
      </w:r>
      <w:r>
        <w:rPr>
          <w:spacing w:val="-7"/>
        </w:rPr>
        <w:t> </w:t>
      </w:r>
      <w:r>
        <w:rPr/>
        <w:t>(Cornejo</w:t>
      </w:r>
      <w:r>
        <w:rPr>
          <w:spacing w:val="-8"/>
        </w:rPr>
        <w:t> </w:t>
      </w:r>
      <w:r>
        <w:rPr/>
        <w:t>et</w:t>
      </w:r>
      <w:r>
        <w:rPr>
          <w:spacing w:val="-8"/>
        </w:rPr>
        <w:t> </w:t>
      </w:r>
      <w:r>
        <w:rPr/>
        <w:t>al.,</w:t>
      </w:r>
      <w:r>
        <w:rPr>
          <w:spacing w:val="-9"/>
        </w:rPr>
        <w:t> </w:t>
      </w:r>
      <w:r>
        <w:rPr/>
        <w:t>2015).</w:t>
      </w:r>
      <w:r>
        <w:rPr>
          <w:spacing w:val="-9"/>
        </w:rPr>
        <w:t> </w:t>
      </w:r>
      <w:r>
        <w:rPr/>
        <w:t>Cette</w:t>
      </w:r>
      <w:r>
        <w:rPr>
          <w:spacing w:val="-10"/>
        </w:rPr>
        <w:t> </w:t>
      </w:r>
      <w:r>
        <w:rPr/>
        <w:t>enzyme</w:t>
      </w:r>
      <w:r>
        <w:rPr>
          <w:spacing w:val="-10"/>
        </w:rPr>
        <w:t> </w:t>
      </w:r>
      <w:r>
        <w:rPr/>
        <w:t>constitue</w:t>
      </w:r>
      <w:r>
        <w:rPr>
          <w:spacing w:val="-10"/>
        </w:rPr>
        <w:t> </w:t>
      </w:r>
      <w:r>
        <w:rPr/>
        <w:t>également</w:t>
      </w:r>
      <w:r>
        <w:rPr>
          <w:spacing w:val="-8"/>
        </w:rPr>
        <w:t> </w:t>
      </w:r>
      <w:r>
        <w:rPr/>
        <w:t>le</w:t>
      </w:r>
      <w:r>
        <w:rPr>
          <w:spacing w:val="-9"/>
        </w:rPr>
        <w:t> </w:t>
      </w:r>
      <w:r>
        <w:rPr/>
        <w:t>complexe</w:t>
      </w:r>
      <w:r>
        <w:rPr>
          <w:spacing w:val="-7"/>
        </w:rPr>
        <w:t> </w:t>
      </w:r>
      <w:r>
        <w:rPr/>
        <w:t>II</w:t>
      </w:r>
      <w:r>
        <w:rPr>
          <w:spacing w:val="-12"/>
        </w:rPr>
        <w:t> </w:t>
      </w:r>
      <w:r>
        <w:rPr/>
        <w:t>des phosphorylations oxydatives. Par conséquent, des mutations de la SDH affectent aussi la fonction respiratoire de la</w:t>
      </w:r>
      <w:r>
        <w:rPr>
          <w:spacing w:val="-7"/>
        </w:rPr>
        <w:t> </w:t>
      </w:r>
      <w:r>
        <w:rPr/>
        <w:t>mitochondrie.</w:t>
      </w:r>
    </w:p>
    <w:p>
      <w:pPr>
        <w:pStyle w:val="BodyText"/>
        <w:rPr>
          <w:sz w:val="26"/>
        </w:rPr>
      </w:pPr>
    </w:p>
    <w:p>
      <w:pPr>
        <w:pStyle w:val="BodyText"/>
        <w:spacing w:before="2"/>
        <w:rPr>
          <w:sz w:val="30"/>
        </w:rPr>
      </w:pPr>
    </w:p>
    <w:p>
      <w:pPr>
        <w:pStyle w:val="Heading5"/>
        <w:numPr>
          <w:ilvl w:val="1"/>
          <w:numId w:val="9"/>
        </w:numPr>
        <w:tabs>
          <w:tab w:pos="2252" w:val="left" w:leader="none"/>
          <w:tab w:pos="2253" w:val="left" w:leader="none"/>
        </w:tabs>
        <w:spacing w:line="240" w:lineRule="auto" w:before="0" w:after="0"/>
        <w:ind w:left="2252" w:right="0" w:hanging="720"/>
        <w:jc w:val="left"/>
        <w:rPr>
          <w:i/>
        </w:rPr>
      </w:pPr>
      <w:bookmarkStart w:name="_bookmark41" w:id="66"/>
      <w:bookmarkEnd w:id="66"/>
      <w:r>
        <w:rPr>
          <w:b w:val="0"/>
          <w:i w:val="0"/>
        </w:rPr>
      </w:r>
      <w:bookmarkStart w:name="_bookmark41" w:id="67"/>
      <w:bookmarkEnd w:id="67"/>
      <w:r>
        <w:rPr>
          <w:i/>
        </w:rPr>
        <w:t>La</w:t>
      </w:r>
      <w:r>
        <w:rPr>
          <w:i/>
        </w:rPr>
        <w:t> fumarate hydratase</w:t>
      </w:r>
      <w:r>
        <w:rPr>
          <w:i/>
          <w:spacing w:val="-5"/>
        </w:rPr>
        <w:t> </w:t>
      </w:r>
      <w:r>
        <w:rPr>
          <w:i/>
        </w:rPr>
        <w:t>(FH)</w:t>
      </w:r>
    </w:p>
    <w:p>
      <w:pPr>
        <w:pStyle w:val="BodyText"/>
        <w:rPr>
          <w:b/>
          <w:i/>
          <w:sz w:val="26"/>
        </w:rPr>
      </w:pPr>
    </w:p>
    <w:p>
      <w:pPr>
        <w:pStyle w:val="BodyText"/>
        <w:spacing w:line="276" w:lineRule="auto" w:before="214"/>
        <w:ind w:left="116" w:right="116" w:firstLine="707"/>
        <w:jc w:val="both"/>
      </w:pPr>
      <w:r>
        <w:rPr/>
        <w:t>La fumarate hydratase (FH) catalyse la formation de L-malate à partir du fumarate. Sa mutation peut entraîner des cancers de l’utérus (Mann et al., 2015), des phéochromocytomes (Clark et al., 2014), des paragangliomes (Castro-Vega et al., 2014). Elle agit comme un gène suppresseur de tumeurs. Sa perte de fonction entraîne l’accumulation de fumarate.</w:t>
      </w:r>
    </w:p>
    <w:p>
      <w:pPr>
        <w:pStyle w:val="BodyText"/>
        <w:rPr>
          <w:sz w:val="26"/>
        </w:rPr>
      </w:pPr>
    </w:p>
    <w:p>
      <w:pPr>
        <w:pStyle w:val="BodyText"/>
        <w:spacing w:before="8"/>
        <w:rPr>
          <w:sz w:val="29"/>
        </w:rPr>
      </w:pPr>
    </w:p>
    <w:p>
      <w:pPr>
        <w:pStyle w:val="ListParagraph"/>
        <w:numPr>
          <w:ilvl w:val="0"/>
          <w:numId w:val="9"/>
        </w:numPr>
        <w:tabs>
          <w:tab w:pos="1109" w:val="left" w:leader="none"/>
          <w:tab w:pos="1110" w:val="left" w:leader="none"/>
        </w:tabs>
        <w:spacing w:line="240" w:lineRule="auto" w:before="1" w:after="0"/>
        <w:ind w:left="1110" w:right="0" w:hanging="428"/>
        <w:jc w:val="left"/>
        <w:rPr>
          <w:sz w:val="24"/>
        </w:rPr>
      </w:pPr>
      <w:bookmarkStart w:name="_bookmark42" w:id="68"/>
      <w:bookmarkEnd w:id="68"/>
      <w:r>
        <w:rPr/>
      </w:r>
      <w:bookmarkStart w:name="_bookmark42" w:id="69"/>
      <w:bookmarkEnd w:id="69"/>
      <w:r>
        <w:rPr>
          <w:sz w:val="24"/>
          <w:u w:val="single"/>
        </w:rPr>
        <w:t>L</w:t>
      </w:r>
      <w:r>
        <w:rPr>
          <w:sz w:val="24"/>
          <w:u w:val="single"/>
        </w:rPr>
        <w:t>’importance de la glutamine et de la</w:t>
      </w:r>
      <w:r>
        <w:rPr>
          <w:spacing w:val="-10"/>
          <w:sz w:val="24"/>
          <w:u w:val="single"/>
        </w:rPr>
        <w:t> </w:t>
      </w:r>
      <w:r>
        <w:rPr>
          <w:sz w:val="24"/>
          <w:u w:val="single"/>
        </w:rPr>
        <w:t>glutaminolyse</w:t>
      </w:r>
    </w:p>
    <w:p>
      <w:pPr>
        <w:pStyle w:val="BodyText"/>
        <w:rPr>
          <w:sz w:val="20"/>
        </w:rPr>
      </w:pPr>
    </w:p>
    <w:p>
      <w:pPr>
        <w:pStyle w:val="BodyText"/>
        <w:spacing w:before="8"/>
        <w:rPr>
          <w:sz w:val="17"/>
        </w:rPr>
      </w:pPr>
    </w:p>
    <w:p>
      <w:pPr>
        <w:pStyle w:val="Heading5"/>
        <w:numPr>
          <w:ilvl w:val="1"/>
          <w:numId w:val="9"/>
        </w:numPr>
        <w:tabs>
          <w:tab w:pos="2252" w:val="left" w:leader="none"/>
          <w:tab w:pos="2253" w:val="left" w:leader="none"/>
        </w:tabs>
        <w:spacing w:line="240" w:lineRule="auto" w:before="90" w:after="0"/>
        <w:ind w:left="2252" w:right="0" w:hanging="720"/>
        <w:jc w:val="left"/>
        <w:rPr>
          <w:i/>
        </w:rPr>
      </w:pPr>
      <w:bookmarkStart w:name="_bookmark43" w:id="70"/>
      <w:bookmarkEnd w:id="70"/>
      <w:r>
        <w:rPr>
          <w:b w:val="0"/>
          <w:i w:val="0"/>
        </w:rPr>
      </w:r>
      <w:bookmarkStart w:name="_bookmark43" w:id="71"/>
      <w:bookmarkEnd w:id="71"/>
      <w:r>
        <w:rPr>
          <w:i/>
        </w:rPr>
        <w:t>La</w:t>
      </w:r>
      <w:r>
        <w:rPr>
          <w:i/>
          <w:spacing w:val="-3"/>
        </w:rPr>
        <w:t> </w:t>
      </w:r>
      <w:r>
        <w:rPr>
          <w:i/>
        </w:rPr>
        <w:t>glutaminolyse</w:t>
      </w:r>
    </w:p>
    <w:p>
      <w:pPr>
        <w:pStyle w:val="BodyText"/>
        <w:rPr>
          <w:b/>
          <w:i/>
          <w:sz w:val="26"/>
        </w:rPr>
      </w:pPr>
    </w:p>
    <w:p>
      <w:pPr>
        <w:pStyle w:val="BodyText"/>
        <w:spacing w:line="273" w:lineRule="auto" w:before="177"/>
        <w:ind w:left="116" w:right="114" w:firstLine="707"/>
        <w:jc w:val="both"/>
      </w:pPr>
      <w:r>
        <w:rPr/>
        <w:t>La glutamine est un acide aminé non essentiel issu de la protéolyse. Elle est impliquée dans</w:t>
      </w:r>
      <w:r>
        <w:rPr>
          <w:spacing w:val="-8"/>
        </w:rPr>
        <w:t> </w:t>
      </w:r>
      <w:r>
        <w:rPr/>
        <w:t>la</w:t>
      </w:r>
      <w:r>
        <w:rPr>
          <w:spacing w:val="-9"/>
        </w:rPr>
        <w:t> </w:t>
      </w:r>
      <w:r>
        <w:rPr/>
        <w:t>synthèse</w:t>
      </w:r>
      <w:r>
        <w:rPr>
          <w:spacing w:val="-10"/>
        </w:rPr>
        <w:t> </w:t>
      </w:r>
      <w:r>
        <w:rPr/>
        <w:t>des</w:t>
      </w:r>
      <w:r>
        <w:rPr>
          <w:spacing w:val="-8"/>
        </w:rPr>
        <w:t> </w:t>
      </w:r>
      <w:r>
        <w:rPr/>
        <w:t>nucléotides,</w:t>
      </w:r>
      <w:r>
        <w:rPr>
          <w:spacing w:val="-9"/>
        </w:rPr>
        <w:t> </w:t>
      </w:r>
      <w:r>
        <w:rPr/>
        <w:t>des</w:t>
      </w:r>
      <w:r>
        <w:rPr>
          <w:spacing w:val="-8"/>
        </w:rPr>
        <w:t> </w:t>
      </w:r>
      <w:r>
        <w:rPr/>
        <w:t>lipides</w:t>
      </w:r>
      <w:r>
        <w:rPr>
          <w:spacing w:val="-9"/>
        </w:rPr>
        <w:t> </w:t>
      </w:r>
      <w:r>
        <w:rPr/>
        <w:t>et</w:t>
      </w:r>
      <w:r>
        <w:rPr>
          <w:spacing w:val="-8"/>
        </w:rPr>
        <w:t> </w:t>
      </w:r>
      <w:r>
        <w:rPr/>
        <w:t>dans</w:t>
      </w:r>
      <w:r>
        <w:rPr>
          <w:spacing w:val="-9"/>
        </w:rPr>
        <w:t> </w:t>
      </w:r>
      <w:r>
        <w:rPr/>
        <w:t>l’approvisionnement</w:t>
      </w:r>
      <w:r>
        <w:rPr>
          <w:spacing w:val="-9"/>
        </w:rPr>
        <w:t> </w:t>
      </w:r>
      <w:r>
        <w:rPr/>
        <w:t>du</w:t>
      </w:r>
      <w:r>
        <w:rPr>
          <w:spacing w:val="-7"/>
        </w:rPr>
        <w:t> </w:t>
      </w:r>
      <w:r>
        <w:rPr/>
        <w:t>cycle</w:t>
      </w:r>
      <w:r>
        <w:rPr>
          <w:spacing w:val="-9"/>
        </w:rPr>
        <w:t> </w:t>
      </w:r>
      <w:r>
        <w:rPr/>
        <w:t>de</w:t>
      </w:r>
      <w:r>
        <w:rPr>
          <w:spacing w:val="-7"/>
        </w:rPr>
        <w:t> </w:t>
      </w:r>
      <w:r>
        <w:rPr/>
        <w:t>Krebs.</w:t>
      </w:r>
      <w:r>
        <w:rPr>
          <w:spacing w:val="-5"/>
        </w:rPr>
        <w:t> </w:t>
      </w:r>
      <w:r>
        <w:rPr/>
        <w:t>Le catabolisme de la glutamine est appelé la glutaminolyse (Figure 10). La 1</w:t>
      </w:r>
      <w:r>
        <w:rPr>
          <w:position w:val="9"/>
          <w:sz w:val="16"/>
        </w:rPr>
        <w:t>ère </w:t>
      </w:r>
      <w:r>
        <w:rPr/>
        <w:t>étape de la glutaminolyse est la conversion de la glutamine en glutamate et ammoniac </w:t>
      </w:r>
      <w:r>
        <w:rPr>
          <w:i/>
        </w:rPr>
        <w:t>via </w:t>
      </w:r>
      <w:r>
        <w:rPr/>
        <w:t>la glutaminase, réaction pouvant avoir lieu dans le cytoplasme comme dans la mitochondrie. Le ratio glutamate/glutamine permet de quantifier le métabolisme de la glutamine. L’analyse métabolomique réalisée par Budczies et al. sur 270 échantillons de cancer du sein et 97 échantillons sains a révélé un ratio glutamate/glutamine plus élevé dans les cellules tumorales (Budczies et al., 2015), et en particulier dans celles n’exprimant pas le récepteur aux oestrogènes</w:t>
      </w:r>
      <w:r>
        <w:rPr>
          <w:spacing w:val="-6"/>
        </w:rPr>
        <w:t> </w:t>
      </w:r>
      <w:r>
        <w:rPr/>
        <w:t>(ER-).</w:t>
      </w:r>
    </w:p>
    <w:p>
      <w:pPr>
        <w:pStyle w:val="BodyText"/>
        <w:spacing w:before="10"/>
        <w:rPr>
          <w:sz w:val="27"/>
        </w:rPr>
      </w:pPr>
    </w:p>
    <w:p>
      <w:pPr>
        <w:pStyle w:val="BodyText"/>
        <w:spacing w:line="276" w:lineRule="auto"/>
        <w:ind w:left="116" w:right="115" w:firstLine="707"/>
        <w:jc w:val="both"/>
      </w:pPr>
      <w:r>
        <w:rPr/>
        <w:t>La glutaminase existe sous trois isoformes : la glutaminase liver-type, la glutaminase kidney-type, et la glutaminase C. La glutaminase C apparaît comme l’isoenzyme la plus spécifique pour répondre aux besoins métaboliques accrus de la cellule cancéreuse (Cassago</w:t>
      </w:r>
      <w:r>
        <w:rPr>
          <w:spacing w:val="-42"/>
        </w:rPr>
        <w:t> </w:t>
      </w:r>
      <w:r>
        <w:rPr/>
        <w:t>et al.,</w:t>
      </w:r>
      <w:r>
        <w:rPr>
          <w:spacing w:val="-2"/>
        </w:rPr>
        <w:t> </w:t>
      </w:r>
      <w:r>
        <w:rPr/>
        <w:t>2012).</w:t>
      </w:r>
    </w:p>
    <w:p>
      <w:pPr>
        <w:pStyle w:val="BodyText"/>
        <w:spacing w:before="8"/>
        <w:rPr>
          <w:sz w:val="27"/>
        </w:rPr>
      </w:pPr>
    </w:p>
    <w:p>
      <w:pPr>
        <w:pStyle w:val="BodyText"/>
        <w:spacing w:line="276" w:lineRule="auto"/>
        <w:ind w:left="116" w:right="115" w:firstLine="707"/>
        <w:jc w:val="both"/>
      </w:pPr>
      <w:r>
        <w:rPr/>
        <w:t>Dans la mitochondrie, le glutamate est ensuite oxydé en </w:t>
      </w:r>
      <w:r>
        <w:rPr>
          <w:rFonts w:ascii="Symbol" w:hAnsi="Symbol"/>
        </w:rPr>
        <w:t></w:t>
      </w:r>
      <w:r>
        <w:rPr/>
        <w:t>-cétoglutarate grâce à la glutamate déshydrogénase, en parallèle de la formation de NADH. L’</w:t>
      </w:r>
      <w:r>
        <w:rPr>
          <w:rFonts w:ascii="Symbol" w:hAnsi="Symbol"/>
        </w:rPr>
        <w:t></w:t>
      </w:r>
      <w:r>
        <w:rPr/>
        <w:t>-cétoglutarate rejoint ensuite le cycle de Krebs. Dans le cytoplasme, l’aspartate transaminase catalyse la transformation du glutamate en </w:t>
      </w:r>
      <w:r>
        <w:rPr>
          <w:rFonts w:ascii="Symbol" w:hAnsi="Symbol"/>
        </w:rPr>
        <w:t></w:t>
      </w:r>
      <w:r>
        <w:rPr/>
        <w:t>-cétoglutarate et de l’OAA en aspartate pouvant servir à la biosynthèse des nucléotides.</w:t>
      </w:r>
    </w:p>
    <w:p>
      <w:pPr>
        <w:spacing w:after="0" w:line="276" w:lineRule="auto"/>
        <w:jc w:val="both"/>
        <w:sectPr>
          <w:pgSz w:w="11910" w:h="16840"/>
          <w:pgMar w:header="0" w:footer="995" w:top="1320" w:bottom="1240" w:left="1300" w:right="1300"/>
        </w:sectPr>
      </w:pPr>
    </w:p>
    <w:p>
      <w:pPr>
        <w:pStyle w:val="BodyText"/>
        <w:ind w:left="3414"/>
        <w:rPr>
          <w:sz w:val="20"/>
        </w:rPr>
      </w:pPr>
      <w:r>
        <w:rPr>
          <w:sz w:val="20"/>
        </w:rPr>
        <w:drawing>
          <wp:inline distT="0" distB="0" distL="0" distR="0">
            <wp:extent cx="3348124" cy="1999488"/>
            <wp:effectExtent l="0" t="0" r="0" b="0"/>
            <wp:docPr id="31" name="image14.jpeg" descr=""/>
            <wp:cNvGraphicFramePr>
              <a:graphicFrameLocks noChangeAspect="1"/>
            </wp:cNvGraphicFramePr>
            <a:graphic>
              <a:graphicData uri="http://schemas.openxmlformats.org/drawingml/2006/picture">
                <pic:pic>
                  <pic:nvPicPr>
                    <pic:cNvPr id="32" name="image14.jpeg"/>
                    <pic:cNvPicPr/>
                  </pic:nvPicPr>
                  <pic:blipFill>
                    <a:blip r:embed="rId20" cstate="print"/>
                    <a:stretch>
                      <a:fillRect/>
                    </a:stretch>
                  </pic:blipFill>
                  <pic:spPr>
                    <a:xfrm>
                      <a:off x="0" y="0"/>
                      <a:ext cx="3348124" cy="1999488"/>
                    </a:xfrm>
                    <a:prstGeom prst="rect">
                      <a:avLst/>
                    </a:prstGeom>
                  </pic:spPr>
                </pic:pic>
              </a:graphicData>
            </a:graphic>
          </wp:inline>
        </w:drawing>
      </w:r>
      <w:r>
        <w:rPr>
          <w:sz w:val="20"/>
        </w:rPr>
      </w:r>
    </w:p>
    <w:p>
      <w:pPr>
        <w:pStyle w:val="BodyText"/>
        <w:rPr>
          <w:sz w:val="20"/>
        </w:rPr>
      </w:pPr>
    </w:p>
    <w:p>
      <w:pPr>
        <w:pStyle w:val="BodyText"/>
        <w:spacing w:before="4"/>
        <w:rPr>
          <w:sz w:val="21"/>
        </w:rPr>
      </w:pPr>
    </w:p>
    <w:p>
      <w:pPr>
        <w:spacing w:before="0"/>
        <w:ind w:left="1828" w:right="1828" w:firstLine="0"/>
        <w:jc w:val="center"/>
        <w:rPr>
          <w:i/>
          <w:sz w:val="18"/>
        </w:rPr>
      </w:pPr>
      <w:bookmarkStart w:name="_bookmark44" w:id="72"/>
      <w:bookmarkEnd w:id="72"/>
      <w:r>
        <w:rPr/>
      </w:r>
      <w:r>
        <w:rPr>
          <w:i/>
          <w:color w:val="44536A"/>
          <w:sz w:val="18"/>
        </w:rPr>
        <w:t>Figure 10 : La glutaminolyse.</w:t>
      </w:r>
    </w:p>
    <w:p>
      <w:pPr>
        <w:pStyle w:val="BodyText"/>
        <w:rPr>
          <w:i/>
          <w:sz w:val="20"/>
        </w:rPr>
      </w:pPr>
    </w:p>
    <w:p>
      <w:pPr>
        <w:pStyle w:val="BodyText"/>
        <w:rPr>
          <w:i/>
          <w:sz w:val="20"/>
        </w:rPr>
      </w:pPr>
    </w:p>
    <w:p>
      <w:pPr>
        <w:pStyle w:val="BodyText"/>
        <w:spacing w:before="8"/>
        <w:rPr>
          <w:i/>
          <w:sz w:val="19"/>
        </w:rPr>
      </w:pPr>
    </w:p>
    <w:p>
      <w:pPr>
        <w:pStyle w:val="BodyText"/>
        <w:spacing w:line="259" w:lineRule="auto"/>
        <w:ind w:left="1156" w:right="1155" w:firstLine="707"/>
        <w:jc w:val="both"/>
      </w:pPr>
      <w:r>
        <w:rPr/>
        <w:t>L’oxydation</w:t>
      </w:r>
      <w:r>
        <w:rPr>
          <w:spacing w:val="-7"/>
        </w:rPr>
        <w:t> </w:t>
      </w:r>
      <w:r>
        <w:rPr/>
        <w:t>de</w:t>
      </w:r>
      <w:r>
        <w:rPr>
          <w:spacing w:val="-8"/>
        </w:rPr>
        <w:t> </w:t>
      </w:r>
      <w:r>
        <w:rPr/>
        <w:t>la</w:t>
      </w:r>
      <w:r>
        <w:rPr>
          <w:spacing w:val="-5"/>
        </w:rPr>
        <w:t> </w:t>
      </w:r>
      <w:r>
        <w:rPr/>
        <w:t>glutamine</w:t>
      </w:r>
      <w:r>
        <w:rPr>
          <w:spacing w:val="-7"/>
        </w:rPr>
        <w:t> </w:t>
      </w:r>
      <w:r>
        <w:rPr/>
        <w:t>peut</w:t>
      </w:r>
      <w:r>
        <w:rPr>
          <w:spacing w:val="-7"/>
        </w:rPr>
        <w:t> </w:t>
      </w:r>
      <w:r>
        <w:rPr/>
        <w:t>donc</w:t>
      </w:r>
      <w:r>
        <w:rPr>
          <w:spacing w:val="-8"/>
        </w:rPr>
        <w:t> </w:t>
      </w:r>
      <w:r>
        <w:rPr/>
        <w:t>remplacer</w:t>
      </w:r>
      <w:r>
        <w:rPr>
          <w:spacing w:val="-8"/>
        </w:rPr>
        <w:t> </w:t>
      </w:r>
      <w:r>
        <w:rPr/>
        <w:t>le</w:t>
      </w:r>
      <w:r>
        <w:rPr>
          <w:spacing w:val="-8"/>
        </w:rPr>
        <w:t> </w:t>
      </w:r>
      <w:r>
        <w:rPr/>
        <w:t>pyruvate</w:t>
      </w:r>
      <w:r>
        <w:rPr>
          <w:spacing w:val="-8"/>
        </w:rPr>
        <w:t> </w:t>
      </w:r>
      <w:r>
        <w:rPr/>
        <w:t>pour</w:t>
      </w:r>
      <w:r>
        <w:rPr>
          <w:spacing w:val="-6"/>
        </w:rPr>
        <w:t> </w:t>
      </w:r>
      <w:r>
        <w:rPr/>
        <w:t>faire</w:t>
      </w:r>
      <w:r>
        <w:rPr>
          <w:spacing w:val="-8"/>
        </w:rPr>
        <w:t> </w:t>
      </w:r>
      <w:r>
        <w:rPr/>
        <w:t>tourner</w:t>
      </w:r>
      <w:r>
        <w:rPr>
          <w:spacing w:val="-8"/>
        </w:rPr>
        <w:t> </w:t>
      </w:r>
      <w:r>
        <w:rPr/>
        <w:t>le</w:t>
      </w:r>
      <w:r>
        <w:rPr>
          <w:spacing w:val="-8"/>
        </w:rPr>
        <w:t> </w:t>
      </w:r>
      <w:r>
        <w:rPr/>
        <w:t>cycle de Krebs, notamment en conditions anaérobies. Ainsi, la glutaminolyse permet une</w:t>
      </w:r>
      <w:r>
        <w:rPr>
          <w:spacing w:val="-18"/>
        </w:rPr>
        <w:t> </w:t>
      </w:r>
      <w:r>
        <w:rPr/>
        <w:t>production d’ATP par les phosphorylations oxydatives et alimente les voies de biosynthèse de protéines, lipides, acides nucléiques (Figure 11) (DeBerardinis et Cheng,</w:t>
      </w:r>
      <w:r>
        <w:rPr>
          <w:spacing w:val="-13"/>
        </w:rPr>
        <w:t> </w:t>
      </w:r>
      <w:r>
        <w:rPr/>
        <w:t>2010).</w:t>
      </w:r>
    </w:p>
    <w:p>
      <w:pPr>
        <w:pStyle w:val="BodyText"/>
        <w:spacing w:before="10"/>
        <w:rPr>
          <w:sz w:val="19"/>
        </w:rPr>
      </w:pPr>
      <w:r>
        <w:rPr/>
        <w:drawing>
          <wp:anchor distT="0" distB="0" distL="0" distR="0" allowOverlap="1" layoutInCell="1" locked="0" behindDoc="0" simplePos="0" relativeHeight="1408">
            <wp:simplePos x="0" y="0"/>
            <wp:positionH relativeFrom="page">
              <wp:posOffset>236854</wp:posOffset>
            </wp:positionH>
            <wp:positionV relativeFrom="paragraph">
              <wp:posOffset>170407</wp:posOffset>
            </wp:positionV>
            <wp:extent cx="7090332" cy="3593782"/>
            <wp:effectExtent l="0" t="0" r="0" b="0"/>
            <wp:wrapTopAndBottom/>
            <wp:docPr id="33" name="image15.jpeg" descr=""/>
            <wp:cNvGraphicFramePr>
              <a:graphicFrameLocks noChangeAspect="1"/>
            </wp:cNvGraphicFramePr>
            <a:graphic>
              <a:graphicData uri="http://schemas.openxmlformats.org/drawingml/2006/picture">
                <pic:pic>
                  <pic:nvPicPr>
                    <pic:cNvPr id="34" name="image15.jpeg"/>
                    <pic:cNvPicPr/>
                  </pic:nvPicPr>
                  <pic:blipFill>
                    <a:blip r:embed="rId21" cstate="print"/>
                    <a:stretch>
                      <a:fillRect/>
                    </a:stretch>
                  </pic:blipFill>
                  <pic:spPr>
                    <a:xfrm>
                      <a:off x="0" y="0"/>
                      <a:ext cx="7090332" cy="3593782"/>
                    </a:xfrm>
                    <a:prstGeom prst="rect">
                      <a:avLst/>
                    </a:prstGeom>
                  </pic:spPr>
                </pic:pic>
              </a:graphicData>
            </a:graphic>
          </wp:anchor>
        </w:drawing>
      </w:r>
    </w:p>
    <w:p>
      <w:pPr>
        <w:pStyle w:val="BodyText"/>
        <w:spacing w:before="10"/>
        <w:rPr>
          <w:sz w:val="27"/>
        </w:rPr>
      </w:pPr>
    </w:p>
    <w:p>
      <w:pPr>
        <w:spacing w:before="0"/>
        <w:ind w:left="1828" w:right="1828" w:firstLine="0"/>
        <w:jc w:val="center"/>
        <w:rPr>
          <w:i/>
          <w:sz w:val="18"/>
        </w:rPr>
      </w:pPr>
      <w:bookmarkStart w:name="_bookmark45" w:id="73"/>
      <w:bookmarkEnd w:id="73"/>
      <w:r>
        <w:rPr/>
      </w:r>
      <w:r>
        <w:rPr>
          <w:i/>
          <w:color w:val="44536A"/>
          <w:sz w:val="18"/>
        </w:rPr>
        <w:t>Figure 11 : Le métabolisme de la glutamine au cœur du métabolisme énergétique de la cellule cancéreuse.</w:t>
      </w:r>
    </w:p>
    <w:p>
      <w:pPr>
        <w:pStyle w:val="BodyText"/>
        <w:spacing w:before="1"/>
        <w:rPr>
          <w:i/>
          <w:sz w:val="20"/>
        </w:rPr>
      </w:pPr>
    </w:p>
    <w:p>
      <w:pPr>
        <w:spacing w:before="1"/>
        <w:ind w:left="1828" w:right="1828" w:firstLine="0"/>
        <w:jc w:val="center"/>
        <w:rPr>
          <w:i/>
          <w:sz w:val="18"/>
        </w:rPr>
      </w:pPr>
      <w:r>
        <w:rPr>
          <w:i/>
          <w:color w:val="44536A"/>
          <w:sz w:val="18"/>
        </w:rPr>
        <w:t>D’après Daye et Wellen, 2012.</w:t>
      </w:r>
    </w:p>
    <w:p>
      <w:pPr>
        <w:spacing w:after="0"/>
        <w:jc w:val="center"/>
        <w:rPr>
          <w:sz w:val="18"/>
        </w:rPr>
        <w:sectPr>
          <w:pgSz w:w="11910" w:h="16840"/>
          <w:pgMar w:header="0" w:footer="995" w:top="1400" w:bottom="1240" w:left="260" w:right="260"/>
        </w:sectPr>
      </w:pPr>
    </w:p>
    <w:p>
      <w:pPr>
        <w:pStyle w:val="BodyText"/>
        <w:spacing w:line="276" w:lineRule="auto" w:before="72"/>
        <w:ind w:left="116" w:right="113" w:firstLine="707"/>
        <w:jc w:val="both"/>
      </w:pPr>
      <w:bookmarkStart w:name="_bookmark48" w:id="74"/>
      <w:bookmarkEnd w:id="74"/>
      <w:r>
        <w:rPr/>
      </w:r>
      <w:r>
        <w:rPr/>
        <w:t>La glutamate déshydrogénase 1 est souvent surexprimée dans certains cancers. Elle contribue à l’homéostasie redox des cellules cancéreuses en contrôlant les niveaux d’</w:t>
      </w:r>
      <w:r>
        <w:rPr>
          <w:rFonts w:ascii="Symbol" w:hAnsi="Symbol"/>
        </w:rPr>
        <w:t></w:t>
      </w:r>
      <w:r>
        <w:rPr/>
        <w:t>- cétoglutarate et de son métabolite le fumarate. En effet, le fumarate peut activer l’enzyme glutathion</w:t>
      </w:r>
      <w:r>
        <w:rPr>
          <w:spacing w:val="-6"/>
        </w:rPr>
        <w:t> </w:t>
      </w:r>
      <w:r>
        <w:rPr/>
        <w:t>peroxidase</w:t>
      </w:r>
      <w:r>
        <w:rPr>
          <w:spacing w:val="-7"/>
        </w:rPr>
        <w:t> </w:t>
      </w:r>
      <w:r>
        <w:rPr/>
        <w:t>1,</w:t>
      </w:r>
      <w:r>
        <w:rPr>
          <w:spacing w:val="-4"/>
        </w:rPr>
        <w:t> </w:t>
      </w:r>
      <w:r>
        <w:rPr/>
        <w:t>qui</w:t>
      </w:r>
      <w:r>
        <w:rPr>
          <w:spacing w:val="-6"/>
        </w:rPr>
        <w:t> </w:t>
      </w:r>
      <w:r>
        <w:rPr/>
        <w:t>inhibe</w:t>
      </w:r>
      <w:r>
        <w:rPr>
          <w:spacing w:val="-7"/>
        </w:rPr>
        <w:t> </w:t>
      </w:r>
      <w:r>
        <w:rPr/>
        <w:t>à</w:t>
      </w:r>
      <w:r>
        <w:rPr>
          <w:spacing w:val="-5"/>
        </w:rPr>
        <w:t> </w:t>
      </w:r>
      <w:r>
        <w:rPr/>
        <w:t>son</w:t>
      </w:r>
      <w:r>
        <w:rPr>
          <w:spacing w:val="-6"/>
        </w:rPr>
        <w:t> </w:t>
      </w:r>
      <w:r>
        <w:rPr/>
        <w:t>tour</w:t>
      </w:r>
      <w:r>
        <w:rPr>
          <w:spacing w:val="-6"/>
        </w:rPr>
        <w:t> </w:t>
      </w:r>
      <w:r>
        <w:rPr/>
        <w:t>la</w:t>
      </w:r>
      <w:r>
        <w:rPr>
          <w:spacing w:val="-7"/>
        </w:rPr>
        <w:t> </w:t>
      </w:r>
      <w:r>
        <w:rPr/>
        <w:t>production</w:t>
      </w:r>
      <w:r>
        <w:rPr>
          <w:spacing w:val="-6"/>
        </w:rPr>
        <w:t> </w:t>
      </w:r>
      <w:r>
        <w:rPr/>
        <w:t>de</w:t>
      </w:r>
      <w:r>
        <w:rPr>
          <w:spacing w:val="-5"/>
        </w:rPr>
        <w:t> </w:t>
      </w:r>
      <w:r>
        <w:rPr/>
        <w:t>radicaux</w:t>
      </w:r>
      <w:r>
        <w:rPr>
          <w:spacing w:val="-4"/>
        </w:rPr>
        <w:t> </w:t>
      </w:r>
      <w:r>
        <w:rPr/>
        <w:t>libres</w:t>
      </w:r>
      <w:r>
        <w:rPr>
          <w:spacing w:val="-5"/>
        </w:rPr>
        <w:t> </w:t>
      </w:r>
      <w:r>
        <w:rPr/>
        <w:t>(Jin</w:t>
      </w:r>
      <w:r>
        <w:rPr>
          <w:spacing w:val="-6"/>
        </w:rPr>
        <w:t> </w:t>
      </w:r>
      <w:r>
        <w:rPr/>
        <w:t>et</w:t>
      </w:r>
      <w:r>
        <w:rPr>
          <w:spacing w:val="-6"/>
        </w:rPr>
        <w:t> </w:t>
      </w:r>
      <w:r>
        <w:rPr/>
        <w:t>al.,</w:t>
      </w:r>
      <w:r>
        <w:rPr>
          <w:spacing w:val="-4"/>
        </w:rPr>
        <w:t> </w:t>
      </w:r>
      <w:r>
        <w:rPr/>
        <w:t>2015).</w:t>
      </w:r>
    </w:p>
    <w:p>
      <w:pPr>
        <w:pStyle w:val="BodyText"/>
        <w:rPr>
          <w:sz w:val="26"/>
        </w:rPr>
      </w:pPr>
    </w:p>
    <w:p>
      <w:pPr>
        <w:pStyle w:val="Heading5"/>
        <w:numPr>
          <w:ilvl w:val="1"/>
          <w:numId w:val="9"/>
        </w:numPr>
        <w:tabs>
          <w:tab w:pos="2252" w:val="left" w:leader="none"/>
          <w:tab w:pos="2253" w:val="left" w:leader="none"/>
        </w:tabs>
        <w:spacing w:line="240" w:lineRule="auto" w:before="165" w:after="0"/>
        <w:ind w:left="2252" w:right="0" w:hanging="720"/>
        <w:jc w:val="left"/>
        <w:rPr>
          <w:i/>
        </w:rPr>
      </w:pPr>
      <w:bookmarkStart w:name="_bookmark46" w:id="75"/>
      <w:bookmarkEnd w:id="75"/>
      <w:r>
        <w:rPr>
          <w:b w:val="0"/>
          <w:i w:val="0"/>
        </w:rPr>
      </w:r>
      <w:bookmarkStart w:name="_bookmark46" w:id="76"/>
      <w:bookmarkEnd w:id="76"/>
      <w:r>
        <w:rPr>
          <w:i/>
        </w:rPr>
        <w:t>Un</w:t>
      </w:r>
      <w:r>
        <w:rPr>
          <w:i/>
        </w:rPr>
        <w:t> possible fonctionnement inverse du cycle de</w:t>
      </w:r>
      <w:r>
        <w:rPr>
          <w:i/>
          <w:spacing w:val="-12"/>
        </w:rPr>
        <w:t> </w:t>
      </w:r>
      <w:r>
        <w:rPr>
          <w:i/>
        </w:rPr>
        <w:t>Krebs</w:t>
      </w:r>
    </w:p>
    <w:p>
      <w:pPr>
        <w:pStyle w:val="BodyText"/>
        <w:rPr>
          <w:b/>
          <w:i/>
          <w:sz w:val="29"/>
        </w:rPr>
      </w:pPr>
    </w:p>
    <w:p>
      <w:pPr>
        <w:pStyle w:val="BodyText"/>
        <w:spacing w:line="276" w:lineRule="auto"/>
        <w:ind w:left="116" w:right="114" w:firstLine="707"/>
        <w:jc w:val="both"/>
      </w:pPr>
      <w:r>
        <w:rPr/>
        <w:t>Il est intéressant de noter que certaines cellules cancéreuses sont dépendantes de la glutamine pour leur survie. Une hypothèse avancée pour expliquer la survie des cellules cancéreuses utilisant le métabolisme de la glutamine est l’activité inverse de l’IDH (II.C.1.</w:t>
      </w:r>
      <w:r>
        <w:rPr>
          <w:i/>
        </w:rPr>
        <w:t>ii</w:t>
      </w:r>
      <w:r>
        <w:rPr/>
        <w:t>). Les isoformes IDH1 et IDH2 peuvent en effet également effectuer une carboxylation</w:t>
      </w:r>
      <w:r>
        <w:rPr>
          <w:spacing w:val="-43"/>
        </w:rPr>
        <w:t> </w:t>
      </w:r>
      <w:r>
        <w:rPr/>
        <w:t>réductive de</w:t>
      </w:r>
      <w:r>
        <w:rPr>
          <w:spacing w:val="-5"/>
        </w:rPr>
        <w:t> </w:t>
      </w:r>
      <w:r>
        <w:rPr/>
        <w:t>l’</w:t>
      </w:r>
      <w:r>
        <w:rPr>
          <w:rFonts w:ascii="Symbol" w:hAnsi="Symbol"/>
        </w:rPr>
        <w:t></w:t>
      </w:r>
      <w:r>
        <w:rPr/>
        <w:t>-cétoglutarate</w:t>
      </w:r>
      <w:r>
        <w:rPr>
          <w:spacing w:val="-2"/>
        </w:rPr>
        <w:t> </w:t>
      </w:r>
      <w:r>
        <w:rPr/>
        <w:t>en</w:t>
      </w:r>
      <w:r>
        <w:rPr>
          <w:spacing w:val="-4"/>
        </w:rPr>
        <w:t> </w:t>
      </w:r>
      <w:r>
        <w:rPr/>
        <w:t>isocitrate</w:t>
      </w:r>
      <w:r>
        <w:rPr>
          <w:spacing w:val="-2"/>
        </w:rPr>
        <w:t> </w:t>
      </w:r>
      <w:r>
        <w:rPr/>
        <w:t>(Filipp</w:t>
      </w:r>
      <w:r>
        <w:rPr>
          <w:spacing w:val="-3"/>
        </w:rPr>
        <w:t> </w:t>
      </w:r>
      <w:r>
        <w:rPr/>
        <w:t>et</w:t>
      </w:r>
      <w:r>
        <w:rPr>
          <w:spacing w:val="-3"/>
        </w:rPr>
        <w:t> </w:t>
      </w:r>
      <w:r>
        <w:rPr/>
        <w:t>al.,</w:t>
      </w:r>
      <w:r>
        <w:rPr>
          <w:spacing w:val="-4"/>
        </w:rPr>
        <w:t> </w:t>
      </w:r>
      <w:r>
        <w:rPr/>
        <w:t>2012),</w:t>
      </w:r>
      <w:r>
        <w:rPr>
          <w:spacing w:val="-4"/>
        </w:rPr>
        <w:t> </w:t>
      </w:r>
      <w:r>
        <w:rPr/>
        <w:t>qui</w:t>
      </w:r>
      <w:r>
        <w:rPr>
          <w:spacing w:val="-3"/>
        </w:rPr>
        <w:t> </w:t>
      </w:r>
      <w:r>
        <w:rPr/>
        <w:t>peut</w:t>
      </w:r>
      <w:r>
        <w:rPr>
          <w:spacing w:val="-3"/>
        </w:rPr>
        <w:t> </w:t>
      </w:r>
      <w:r>
        <w:rPr/>
        <w:t>être</w:t>
      </w:r>
      <w:r>
        <w:rPr>
          <w:spacing w:val="-5"/>
        </w:rPr>
        <w:t> </w:t>
      </w:r>
      <w:r>
        <w:rPr/>
        <w:t>converti</w:t>
      </w:r>
      <w:r>
        <w:rPr>
          <w:spacing w:val="-1"/>
        </w:rPr>
        <w:t> </w:t>
      </w:r>
      <w:r>
        <w:rPr/>
        <w:t>en</w:t>
      </w:r>
      <w:r>
        <w:rPr>
          <w:spacing w:val="-4"/>
        </w:rPr>
        <w:t> </w:t>
      </w:r>
      <w:r>
        <w:rPr/>
        <w:t>citrate.</w:t>
      </w:r>
      <w:r>
        <w:rPr>
          <w:spacing w:val="-2"/>
        </w:rPr>
        <w:t> </w:t>
      </w:r>
      <w:r>
        <w:rPr/>
        <w:t>Une</w:t>
      </w:r>
      <w:r>
        <w:rPr>
          <w:spacing w:val="-3"/>
        </w:rPr>
        <w:t> </w:t>
      </w:r>
      <w:r>
        <w:rPr/>
        <w:t>fois sorti de la mitochondrie, ce dernier est pris en charge par l’ATP Citrate Lyase (ACLY), qui le transforme en acétyl-CoA et OAA (Hirschey et al., 2015). Ce fonctionnement inverse d’une partie du cycle de Krebs permet de comprendre comment la cellule cancéreuse fabrique tous les composés nécessaires à sa survie, et ce même en conditions d’hypoxie (Figure</w:t>
      </w:r>
      <w:r>
        <w:rPr>
          <w:spacing w:val="-14"/>
        </w:rPr>
        <w:t> </w:t>
      </w:r>
      <w:r>
        <w:rPr/>
        <w:t>12).</w:t>
      </w:r>
    </w:p>
    <w:p>
      <w:pPr>
        <w:pStyle w:val="BodyText"/>
        <w:spacing w:before="7"/>
      </w:pPr>
      <w:r>
        <w:rPr/>
        <w:drawing>
          <wp:anchor distT="0" distB="0" distL="0" distR="0" allowOverlap="1" layoutInCell="1" locked="0" behindDoc="0" simplePos="0" relativeHeight="1432">
            <wp:simplePos x="0" y="0"/>
            <wp:positionH relativeFrom="page">
              <wp:posOffset>2461895</wp:posOffset>
            </wp:positionH>
            <wp:positionV relativeFrom="paragraph">
              <wp:posOffset>204793</wp:posOffset>
            </wp:positionV>
            <wp:extent cx="3077149" cy="1848040"/>
            <wp:effectExtent l="0" t="0" r="0" b="0"/>
            <wp:wrapTopAndBottom/>
            <wp:docPr id="35" name="image16.jpeg" descr=""/>
            <wp:cNvGraphicFramePr>
              <a:graphicFrameLocks noChangeAspect="1"/>
            </wp:cNvGraphicFramePr>
            <a:graphic>
              <a:graphicData uri="http://schemas.openxmlformats.org/drawingml/2006/picture">
                <pic:pic>
                  <pic:nvPicPr>
                    <pic:cNvPr id="36" name="image16.jpeg"/>
                    <pic:cNvPicPr/>
                  </pic:nvPicPr>
                  <pic:blipFill>
                    <a:blip r:embed="rId22" cstate="print"/>
                    <a:stretch>
                      <a:fillRect/>
                    </a:stretch>
                  </pic:blipFill>
                  <pic:spPr>
                    <a:xfrm>
                      <a:off x="0" y="0"/>
                      <a:ext cx="3077149" cy="1848040"/>
                    </a:xfrm>
                    <a:prstGeom prst="rect">
                      <a:avLst/>
                    </a:prstGeom>
                  </pic:spPr>
                </pic:pic>
              </a:graphicData>
            </a:graphic>
          </wp:anchor>
        </w:drawing>
      </w:r>
    </w:p>
    <w:p>
      <w:pPr>
        <w:spacing w:before="11"/>
        <w:ind w:left="1479" w:right="1480" w:firstLine="0"/>
        <w:jc w:val="center"/>
        <w:rPr>
          <w:i/>
          <w:sz w:val="18"/>
        </w:rPr>
      </w:pPr>
      <w:bookmarkStart w:name="_bookmark47" w:id="77"/>
      <w:bookmarkEnd w:id="77"/>
      <w:r>
        <w:rPr/>
      </w:r>
      <w:r>
        <w:rPr>
          <w:i/>
          <w:color w:val="44536A"/>
          <w:sz w:val="18"/>
        </w:rPr>
        <w:t>Figure 12 : L’activité inverse de l'IDH.</w:t>
      </w:r>
    </w:p>
    <w:p>
      <w:pPr>
        <w:spacing w:after="0"/>
        <w:jc w:val="center"/>
        <w:rPr>
          <w:sz w:val="18"/>
        </w:rPr>
        <w:sectPr>
          <w:pgSz w:w="11910" w:h="16840"/>
          <w:pgMar w:header="0" w:footer="995" w:top="1320" w:bottom="1240" w:left="1300" w:right="1300"/>
        </w:sectPr>
      </w:pPr>
    </w:p>
    <w:p>
      <w:pPr>
        <w:pStyle w:val="Heading3"/>
        <w:numPr>
          <w:ilvl w:val="1"/>
          <w:numId w:val="4"/>
        </w:numPr>
        <w:tabs>
          <w:tab w:pos="1610" w:val="left" w:leader="none"/>
        </w:tabs>
        <w:spacing w:line="240" w:lineRule="auto" w:before="75" w:after="0"/>
        <w:ind w:left="1609" w:right="0" w:hanging="360"/>
        <w:jc w:val="left"/>
      </w:pPr>
      <w:r>
        <w:rPr/>
        <w:t>Les</w:t>
      </w:r>
      <w:r>
        <w:rPr>
          <w:spacing w:val="-16"/>
        </w:rPr>
        <w:t> </w:t>
      </w:r>
      <w:r>
        <w:rPr/>
        <w:t>voies</w:t>
      </w:r>
      <w:r>
        <w:rPr>
          <w:spacing w:val="-16"/>
        </w:rPr>
        <w:t> </w:t>
      </w:r>
      <w:r>
        <w:rPr/>
        <w:t>de</w:t>
      </w:r>
      <w:r>
        <w:rPr>
          <w:spacing w:val="-17"/>
        </w:rPr>
        <w:t> </w:t>
      </w:r>
      <w:r>
        <w:rPr/>
        <w:t>signalisation</w:t>
      </w:r>
      <w:r>
        <w:rPr>
          <w:spacing w:val="-17"/>
        </w:rPr>
        <w:t> </w:t>
      </w:r>
      <w:r>
        <w:rPr/>
        <w:t>en</w:t>
      </w:r>
      <w:r>
        <w:rPr>
          <w:spacing w:val="-17"/>
        </w:rPr>
        <w:t> </w:t>
      </w:r>
      <w:r>
        <w:rPr/>
        <w:t>aval</w:t>
      </w:r>
      <w:r>
        <w:rPr>
          <w:spacing w:val="-14"/>
        </w:rPr>
        <w:t> </w:t>
      </w:r>
      <w:r>
        <w:rPr/>
        <w:t>d’Akt,</w:t>
      </w:r>
      <w:r>
        <w:rPr>
          <w:spacing w:val="-14"/>
        </w:rPr>
        <w:t> </w:t>
      </w:r>
      <w:r>
        <w:rPr/>
        <w:t>une</w:t>
      </w:r>
      <w:r>
        <w:rPr>
          <w:spacing w:val="-17"/>
        </w:rPr>
        <w:t> </w:t>
      </w:r>
      <w:r>
        <w:rPr/>
        <w:t>«</w:t>
      </w:r>
      <w:r>
        <w:rPr>
          <w:spacing w:val="-2"/>
        </w:rPr>
        <w:t> </w:t>
      </w:r>
      <w:r>
        <w:rPr/>
        <w:t>Warburg</w:t>
      </w:r>
      <w:r>
        <w:rPr>
          <w:spacing w:val="-2"/>
        </w:rPr>
        <w:t> </w:t>
      </w:r>
      <w:r>
        <w:rPr/>
        <w:t>»</w:t>
      </w:r>
      <w:r>
        <w:rPr>
          <w:spacing w:val="-16"/>
        </w:rPr>
        <w:t> </w:t>
      </w:r>
      <w:r>
        <w:rPr/>
        <w:t>kinase</w:t>
      </w:r>
    </w:p>
    <w:p>
      <w:pPr>
        <w:pStyle w:val="BodyText"/>
        <w:rPr>
          <w:b/>
          <w:sz w:val="30"/>
        </w:rPr>
      </w:pPr>
    </w:p>
    <w:p>
      <w:pPr>
        <w:pStyle w:val="ListParagraph"/>
        <w:numPr>
          <w:ilvl w:val="0"/>
          <w:numId w:val="10"/>
        </w:numPr>
        <w:tabs>
          <w:tab w:pos="1110" w:val="left" w:leader="none"/>
        </w:tabs>
        <w:spacing w:line="240" w:lineRule="auto" w:before="178" w:after="0"/>
        <w:ind w:left="1110" w:right="0" w:hanging="360"/>
        <w:jc w:val="left"/>
        <w:rPr>
          <w:sz w:val="24"/>
        </w:rPr>
      </w:pPr>
      <w:bookmarkStart w:name="_bookmark49" w:id="78"/>
      <w:bookmarkEnd w:id="78"/>
      <w:r>
        <w:rPr/>
      </w:r>
      <w:bookmarkStart w:name="_bookmark49" w:id="79"/>
      <w:bookmarkEnd w:id="79"/>
      <w:r>
        <w:rPr>
          <w:sz w:val="24"/>
          <w:u w:val="single"/>
        </w:rPr>
        <w:t>L</w:t>
      </w:r>
      <w:r>
        <w:rPr>
          <w:sz w:val="24"/>
          <w:u w:val="single"/>
        </w:rPr>
        <w:t>’activation de</w:t>
      </w:r>
      <w:r>
        <w:rPr>
          <w:spacing w:val="-9"/>
          <w:sz w:val="24"/>
          <w:u w:val="single"/>
        </w:rPr>
        <w:t> </w:t>
      </w:r>
      <w:r>
        <w:rPr>
          <w:sz w:val="24"/>
          <w:u w:val="single"/>
        </w:rPr>
        <w:t>Akt</w:t>
      </w:r>
    </w:p>
    <w:p>
      <w:pPr>
        <w:pStyle w:val="BodyText"/>
        <w:spacing w:before="2"/>
        <w:rPr>
          <w:sz w:val="23"/>
        </w:rPr>
      </w:pPr>
    </w:p>
    <w:p>
      <w:pPr>
        <w:pStyle w:val="BodyText"/>
        <w:spacing w:line="276" w:lineRule="auto" w:before="90" w:after="7"/>
        <w:ind w:left="116" w:right="113" w:firstLine="707"/>
        <w:jc w:val="both"/>
      </w:pPr>
      <w:r>
        <w:rPr/>
        <w:t>La voie de signalisation PI3K (PhosphoInositide 3-Kinase)-Akt est très souvent altérée lors du processus tumoral et joue un rôle important dans la survie cellulaire (DeBerardinis et Chandel, 2016). Cette activation est également favorisée par l’oncogène Ras (Ramjaun et Downward, 2007). L’activation massive de la protéine kinase Akt stimule la glycolyse de manière importante, en augmentant l’expression des transporteurs du glucose, mais aussi en phosphorylant des enzymes comme l’HK ou la PFK1 (Elstrom et al., 2004). L’activation de la voie PI3K-Akt participe également à la stabilisation du facteur HIF-1-</w:t>
      </w:r>
      <w:r>
        <w:rPr>
          <w:rFonts w:ascii="Symbol" w:hAnsi="Symbol"/>
        </w:rPr>
        <w:t></w:t>
      </w:r>
      <w:r>
        <w:rPr/>
        <w:t>, </w:t>
      </w:r>
      <w:r>
        <w:rPr>
          <w:i/>
        </w:rPr>
        <w:t>via </w:t>
      </w:r>
      <w:r>
        <w:rPr/>
        <w:t>l’implication de mTOR (Figure 13).</w:t>
      </w:r>
    </w:p>
    <w:p>
      <w:pPr>
        <w:pStyle w:val="BodyText"/>
        <w:ind w:left="2472"/>
        <w:rPr>
          <w:sz w:val="20"/>
        </w:rPr>
      </w:pPr>
      <w:r>
        <w:rPr>
          <w:sz w:val="20"/>
        </w:rPr>
        <w:drawing>
          <wp:inline distT="0" distB="0" distL="0" distR="0">
            <wp:extent cx="3214482" cy="2001012"/>
            <wp:effectExtent l="0" t="0" r="0" b="0"/>
            <wp:docPr id="37" name="image17.jpeg" descr=""/>
            <wp:cNvGraphicFramePr>
              <a:graphicFrameLocks noChangeAspect="1"/>
            </wp:cNvGraphicFramePr>
            <a:graphic>
              <a:graphicData uri="http://schemas.openxmlformats.org/drawingml/2006/picture">
                <pic:pic>
                  <pic:nvPicPr>
                    <pic:cNvPr id="38" name="image17.jpeg"/>
                    <pic:cNvPicPr/>
                  </pic:nvPicPr>
                  <pic:blipFill>
                    <a:blip r:embed="rId23" cstate="print"/>
                    <a:stretch>
                      <a:fillRect/>
                    </a:stretch>
                  </pic:blipFill>
                  <pic:spPr>
                    <a:xfrm>
                      <a:off x="0" y="0"/>
                      <a:ext cx="3214482" cy="2001012"/>
                    </a:xfrm>
                    <a:prstGeom prst="rect">
                      <a:avLst/>
                    </a:prstGeom>
                  </pic:spPr>
                </pic:pic>
              </a:graphicData>
            </a:graphic>
          </wp:inline>
        </w:drawing>
      </w:r>
      <w:r>
        <w:rPr>
          <w:sz w:val="20"/>
        </w:rPr>
      </w:r>
    </w:p>
    <w:p>
      <w:pPr>
        <w:spacing w:before="195"/>
        <w:ind w:left="2973" w:right="0" w:firstLine="0"/>
        <w:jc w:val="left"/>
        <w:rPr>
          <w:i/>
          <w:sz w:val="18"/>
        </w:rPr>
      </w:pPr>
      <w:bookmarkStart w:name="_bookmark50" w:id="80"/>
      <w:bookmarkEnd w:id="80"/>
      <w:r>
        <w:rPr/>
      </w:r>
      <w:r>
        <w:rPr>
          <w:i/>
          <w:color w:val="44536A"/>
          <w:sz w:val="18"/>
        </w:rPr>
        <w:t>Figure 13 : La voie de signalisation PI3K-Akt.</w:t>
      </w:r>
    </w:p>
    <w:p>
      <w:pPr>
        <w:pStyle w:val="BodyText"/>
        <w:rPr>
          <w:i/>
          <w:sz w:val="20"/>
        </w:rPr>
      </w:pPr>
    </w:p>
    <w:p>
      <w:pPr>
        <w:pStyle w:val="BodyText"/>
        <w:rPr>
          <w:i/>
          <w:sz w:val="20"/>
        </w:rPr>
      </w:pPr>
    </w:p>
    <w:p>
      <w:pPr>
        <w:pStyle w:val="BodyText"/>
        <w:rPr>
          <w:i/>
          <w:sz w:val="17"/>
        </w:rPr>
      </w:pPr>
    </w:p>
    <w:p>
      <w:pPr>
        <w:pStyle w:val="ListParagraph"/>
        <w:numPr>
          <w:ilvl w:val="0"/>
          <w:numId w:val="10"/>
        </w:numPr>
        <w:tabs>
          <w:tab w:pos="1110" w:val="left" w:leader="none"/>
        </w:tabs>
        <w:spacing w:line="240" w:lineRule="auto" w:before="1" w:after="0"/>
        <w:ind w:left="1110" w:right="0" w:hanging="360"/>
        <w:jc w:val="left"/>
        <w:rPr>
          <w:sz w:val="24"/>
        </w:rPr>
      </w:pPr>
      <w:bookmarkStart w:name="_bookmark51" w:id="81"/>
      <w:bookmarkEnd w:id="81"/>
      <w:r>
        <w:rPr/>
      </w:r>
      <w:bookmarkStart w:name="_bookmark51" w:id="82"/>
      <w:bookmarkEnd w:id="82"/>
      <w:r>
        <w:rPr>
          <w:sz w:val="24"/>
          <w:u w:val="single"/>
        </w:rPr>
        <w:t>L</w:t>
      </w:r>
      <w:r>
        <w:rPr>
          <w:sz w:val="24"/>
          <w:u w:val="single"/>
        </w:rPr>
        <w:t>’implication de mammalian target of rapamycin</w:t>
      </w:r>
      <w:r>
        <w:rPr>
          <w:spacing w:val="-9"/>
          <w:sz w:val="24"/>
          <w:u w:val="single"/>
        </w:rPr>
        <w:t> </w:t>
      </w:r>
      <w:r>
        <w:rPr>
          <w:sz w:val="24"/>
          <w:u w:val="single"/>
        </w:rPr>
        <w:t>(mTOR)</w:t>
      </w:r>
    </w:p>
    <w:p>
      <w:pPr>
        <w:pStyle w:val="BodyText"/>
        <w:rPr>
          <w:sz w:val="20"/>
        </w:rPr>
      </w:pPr>
    </w:p>
    <w:p>
      <w:pPr>
        <w:pStyle w:val="BodyText"/>
        <w:spacing w:before="5"/>
        <w:rPr>
          <w:sz w:val="17"/>
        </w:rPr>
      </w:pPr>
    </w:p>
    <w:p>
      <w:pPr>
        <w:pStyle w:val="BodyText"/>
        <w:spacing w:line="276" w:lineRule="auto" w:before="90"/>
        <w:ind w:left="116" w:right="115" w:firstLine="707"/>
        <w:jc w:val="both"/>
      </w:pPr>
      <w:r>
        <w:rPr/>
        <w:t>Le mammalian target of rapamycin (mTOR) est une protéine kinase phosphorylant des résidus sérine et/ou thréonine kinase intracellulaire, capable d’intégrer de nombreux signaux environnementaux. Elle est impliquée dans de nombreux processus biologiques comme la synthèse protéique, la croissance et la prolifération cellulaire. Par exemple, mTOR stimule la transcription, entre autre, de HIF-1-</w:t>
      </w:r>
      <w:r>
        <w:rPr>
          <w:rFonts w:ascii="Symbol" w:hAnsi="Symbol"/>
        </w:rPr>
        <w:t></w:t>
      </w:r>
      <w:r>
        <w:rPr/>
        <w:t> et c-Myc. mTOR existe au sein de deux complexes protéiques distincts, mTORC1 et mTORC2. L’activation de mTORC1 est retrouvée au sein de nombreux cancers (Li et al., 2014a).</w:t>
      </w:r>
    </w:p>
    <w:p>
      <w:pPr>
        <w:pStyle w:val="BodyText"/>
        <w:spacing w:line="276" w:lineRule="auto" w:before="163"/>
        <w:ind w:left="116" w:right="116" w:firstLine="707"/>
        <w:jc w:val="both"/>
      </w:pPr>
      <w:r>
        <w:rPr/>
        <w:t>mTORC1 est en aval de la voie PI3K-Akt. Akt agit en inhibant le complexe TSC2 (tuberous sclerosis complex 2) qui lui-même est un inhibiteur de mTORC1 (Figure 14). mTORC1 agit en permettant l’activation par phosphorylation de la protéine S6 kinase (p70- S6K)</w:t>
      </w:r>
      <w:r>
        <w:rPr>
          <w:spacing w:val="-18"/>
        </w:rPr>
        <w:t> </w:t>
      </w:r>
      <w:r>
        <w:rPr/>
        <w:t>et</w:t>
      </w:r>
      <w:r>
        <w:rPr>
          <w:spacing w:val="-16"/>
        </w:rPr>
        <w:t> </w:t>
      </w:r>
      <w:r>
        <w:rPr/>
        <w:t>la</w:t>
      </w:r>
      <w:r>
        <w:rPr>
          <w:spacing w:val="-17"/>
        </w:rPr>
        <w:t> </w:t>
      </w:r>
      <w:r>
        <w:rPr/>
        <w:t>phosphorylation</w:t>
      </w:r>
      <w:r>
        <w:rPr>
          <w:spacing w:val="-17"/>
        </w:rPr>
        <w:t> </w:t>
      </w:r>
      <w:r>
        <w:rPr/>
        <w:t>du</w:t>
      </w:r>
      <w:r>
        <w:rPr>
          <w:spacing w:val="-17"/>
        </w:rPr>
        <w:t> </w:t>
      </w:r>
      <w:r>
        <w:rPr/>
        <w:t>facteur</w:t>
      </w:r>
      <w:r>
        <w:rPr>
          <w:spacing w:val="-18"/>
        </w:rPr>
        <w:t> </w:t>
      </w:r>
      <w:r>
        <w:rPr/>
        <w:t>d’initiation</w:t>
      </w:r>
      <w:r>
        <w:rPr>
          <w:spacing w:val="-16"/>
        </w:rPr>
        <w:t> </w:t>
      </w:r>
      <w:r>
        <w:rPr/>
        <w:t>protéique</w:t>
      </w:r>
      <w:r>
        <w:rPr>
          <w:spacing w:val="-17"/>
        </w:rPr>
        <w:t> </w:t>
      </w:r>
      <w:r>
        <w:rPr/>
        <w:t>4E-BP1</w:t>
      </w:r>
      <w:r>
        <w:rPr>
          <w:spacing w:val="-17"/>
        </w:rPr>
        <w:t> </w:t>
      </w:r>
      <w:r>
        <w:rPr/>
        <w:t>(eukaryotic</w:t>
      </w:r>
      <w:r>
        <w:rPr>
          <w:spacing w:val="-18"/>
        </w:rPr>
        <w:t> </w:t>
      </w:r>
      <w:r>
        <w:rPr/>
        <w:t>initiation</w:t>
      </w:r>
      <w:r>
        <w:rPr>
          <w:spacing w:val="-17"/>
        </w:rPr>
        <w:t> </w:t>
      </w:r>
      <w:r>
        <w:rPr/>
        <w:t>factor 4E- binding</w:t>
      </w:r>
      <w:r>
        <w:rPr>
          <w:spacing w:val="-5"/>
        </w:rPr>
        <w:t> </w:t>
      </w:r>
      <w:r>
        <w:rPr/>
        <w:t>protein-1).</w:t>
      </w:r>
    </w:p>
    <w:p>
      <w:pPr>
        <w:pStyle w:val="BodyText"/>
        <w:spacing w:line="278" w:lineRule="auto" w:before="164"/>
        <w:ind w:left="116" w:right="116" w:firstLine="707"/>
        <w:jc w:val="both"/>
      </w:pPr>
      <w:r>
        <w:rPr/>
        <w:t>L’activation</w:t>
      </w:r>
      <w:r>
        <w:rPr>
          <w:spacing w:val="-12"/>
        </w:rPr>
        <w:t> </w:t>
      </w:r>
      <w:r>
        <w:rPr/>
        <w:t>de</w:t>
      </w:r>
      <w:r>
        <w:rPr>
          <w:spacing w:val="-11"/>
        </w:rPr>
        <w:t> </w:t>
      </w:r>
      <w:r>
        <w:rPr/>
        <w:t>p70-S6K</w:t>
      </w:r>
      <w:r>
        <w:rPr>
          <w:spacing w:val="-10"/>
        </w:rPr>
        <w:t> </w:t>
      </w:r>
      <w:r>
        <w:rPr/>
        <w:t>permet</w:t>
      </w:r>
      <w:r>
        <w:rPr>
          <w:spacing w:val="-12"/>
        </w:rPr>
        <w:t> </w:t>
      </w:r>
      <w:r>
        <w:rPr/>
        <w:t>la</w:t>
      </w:r>
      <w:r>
        <w:rPr>
          <w:spacing w:val="-10"/>
        </w:rPr>
        <w:t> </w:t>
      </w:r>
      <w:r>
        <w:rPr/>
        <w:t>transcription</w:t>
      </w:r>
      <w:r>
        <w:rPr>
          <w:spacing w:val="-12"/>
        </w:rPr>
        <w:t> </w:t>
      </w:r>
      <w:r>
        <w:rPr/>
        <w:t>d’ARN</w:t>
      </w:r>
      <w:r>
        <w:rPr>
          <w:spacing w:val="-11"/>
        </w:rPr>
        <w:t> </w:t>
      </w:r>
      <w:r>
        <w:rPr/>
        <w:t>messager</w:t>
      </w:r>
      <w:r>
        <w:rPr>
          <w:spacing w:val="-13"/>
        </w:rPr>
        <w:t> </w:t>
      </w:r>
      <w:r>
        <w:rPr/>
        <w:t>(ARNm)</w:t>
      </w:r>
      <w:r>
        <w:rPr>
          <w:spacing w:val="-9"/>
        </w:rPr>
        <w:t> </w:t>
      </w:r>
      <w:r>
        <w:rPr/>
        <w:t>codant</w:t>
      </w:r>
      <w:r>
        <w:rPr>
          <w:spacing w:val="-12"/>
        </w:rPr>
        <w:t> </w:t>
      </w:r>
      <w:r>
        <w:rPr/>
        <w:t>pour des protéines impliquées dans  la croissance cellulaire. Elle exerce un rétrocontrôle négatif</w:t>
      </w:r>
      <w:r>
        <w:rPr>
          <w:spacing w:val="1"/>
        </w:rPr>
        <w:t> </w:t>
      </w:r>
      <w:r>
        <w:rPr/>
        <w:t>sur</w:t>
      </w:r>
    </w:p>
    <w:p>
      <w:pPr>
        <w:spacing w:after="0" w:line="278" w:lineRule="auto"/>
        <w:jc w:val="both"/>
        <w:sectPr>
          <w:pgSz w:w="11910" w:h="16840"/>
          <w:pgMar w:header="0" w:footer="995" w:top="1320" w:bottom="1240" w:left="1300" w:right="1300"/>
        </w:sectPr>
      </w:pPr>
    </w:p>
    <w:p>
      <w:pPr>
        <w:pStyle w:val="BodyText"/>
        <w:spacing w:line="276" w:lineRule="auto" w:before="72"/>
        <w:ind w:left="116" w:right="113"/>
        <w:jc w:val="both"/>
      </w:pPr>
      <w:r>
        <w:rPr/>
        <w:t>la</w:t>
      </w:r>
      <w:r>
        <w:rPr>
          <w:spacing w:val="-14"/>
        </w:rPr>
        <w:t> </w:t>
      </w:r>
      <w:r>
        <w:rPr/>
        <w:t>voie</w:t>
      </w:r>
      <w:r>
        <w:rPr>
          <w:spacing w:val="-14"/>
        </w:rPr>
        <w:t> </w:t>
      </w:r>
      <w:r>
        <w:rPr/>
        <w:t>de</w:t>
      </w:r>
      <w:r>
        <w:rPr>
          <w:spacing w:val="-14"/>
        </w:rPr>
        <w:t> </w:t>
      </w:r>
      <w:r>
        <w:rPr/>
        <w:t>signalisation</w:t>
      </w:r>
      <w:r>
        <w:rPr>
          <w:spacing w:val="-13"/>
        </w:rPr>
        <w:t> </w:t>
      </w:r>
      <w:r>
        <w:rPr/>
        <w:t>PI3K-AKT</w:t>
      </w:r>
      <w:r>
        <w:rPr>
          <w:spacing w:val="-11"/>
        </w:rPr>
        <w:t> </w:t>
      </w:r>
      <w:r>
        <w:rPr/>
        <w:t>en</w:t>
      </w:r>
      <w:r>
        <w:rPr>
          <w:spacing w:val="-13"/>
        </w:rPr>
        <w:t> </w:t>
      </w:r>
      <w:r>
        <w:rPr/>
        <w:t>initiant</w:t>
      </w:r>
      <w:r>
        <w:rPr>
          <w:spacing w:val="-13"/>
        </w:rPr>
        <w:t> </w:t>
      </w:r>
      <w:r>
        <w:rPr/>
        <w:t>la</w:t>
      </w:r>
      <w:r>
        <w:rPr>
          <w:spacing w:val="-14"/>
        </w:rPr>
        <w:t> </w:t>
      </w:r>
      <w:r>
        <w:rPr/>
        <w:t>dégradation</w:t>
      </w:r>
      <w:r>
        <w:rPr>
          <w:spacing w:val="-13"/>
        </w:rPr>
        <w:t> </w:t>
      </w:r>
      <w:r>
        <w:rPr/>
        <w:t>du</w:t>
      </w:r>
      <w:r>
        <w:rPr>
          <w:spacing w:val="-13"/>
        </w:rPr>
        <w:t> </w:t>
      </w:r>
      <w:r>
        <w:rPr/>
        <w:t>récepteur</w:t>
      </w:r>
      <w:r>
        <w:rPr>
          <w:spacing w:val="-14"/>
        </w:rPr>
        <w:t> </w:t>
      </w:r>
      <w:r>
        <w:rPr/>
        <w:t>à</w:t>
      </w:r>
      <w:r>
        <w:rPr>
          <w:spacing w:val="-12"/>
        </w:rPr>
        <w:t> </w:t>
      </w:r>
      <w:r>
        <w:rPr/>
        <w:t>l’insuline,</w:t>
      </w:r>
      <w:r>
        <w:rPr>
          <w:spacing w:val="-14"/>
        </w:rPr>
        <w:t> </w:t>
      </w:r>
      <w:r>
        <w:rPr/>
        <w:t>lui-même activateur de PI3K. Elle peut également exercer un rétrocontrôle négatif sur l’activation de mTOR en stimulant TSC1 et TSC2 (Figure</w:t>
      </w:r>
      <w:r>
        <w:rPr>
          <w:spacing w:val="-10"/>
        </w:rPr>
        <w:t> </w:t>
      </w:r>
      <w:r>
        <w:rPr/>
        <w:t>14).</w:t>
      </w:r>
    </w:p>
    <w:p>
      <w:pPr>
        <w:pStyle w:val="BodyText"/>
        <w:spacing w:line="273" w:lineRule="auto" w:before="164"/>
        <w:ind w:left="116" w:right="114" w:firstLine="707"/>
        <w:jc w:val="both"/>
      </w:pPr>
      <w:r>
        <w:rPr/>
        <w:t>La phosphorylation de la protéine 4E-BP1 la rend incapable d’inactiver par fixation la protéine eIF4E qui peut alors, comme p70-S6K, jouer un rôle d’activateur de la transcription (Figure 14).</w:t>
      </w:r>
    </w:p>
    <w:p>
      <w:pPr>
        <w:pStyle w:val="BodyText"/>
        <w:spacing w:line="276" w:lineRule="auto" w:before="167"/>
        <w:ind w:left="116" w:right="117" w:firstLine="707"/>
        <w:jc w:val="both"/>
      </w:pPr>
      <w:r>
        <w:rPr/>
        <w:t>Le fonctionnement du complexe mTORC2, découvert plus récemment, semble relativement limité. Il provoque la phosphorylation d’Akt sous l’effet de facteurs environnementaux comme l’insuline, et indirectement active le complexe mTORC1 (Figure 14). mTORC2 régule également l’actine du cytosquelette, </w:t>
      </w:r>
      <w:r>
        <w:rPr>
          <w:i/>
        </w:rPr>
        <w:t>via </w:t>
      </w:r>
      <w:r>
        <w:rPr/>
        <w:t>la GTPase RHO et la protéine kinase C (PKC). L’actine joue un rôle dans la régulation des mouvements et dans l’adhésion cellulaire.</w:t>
      </w:r>
    </w:p>
    <w:p>
      <w:pPr>
        <w:pStyle w:val="BodyText"/>
        <w:spacing w:before="4"/>
        <w:rPr>
          <w:sz w:val="11"/>
        </w:rPr>
      </w:pPr>
      <w:r>
        <w:rPr/>
        <w:drawing>
          <wp:anchor distT="0" distB="0" distL="0" distR="0" allowOverlap="1" layoutInCell="1" locked="0" behindDoc="0" simplePos="0" relativeHeight="1456">
            <wp:simplePos x="0" y="0"/>
            <wp:positionH relativeFrom="page">
              <wp:posOffset>1408811</wp:posOffset>
            </wp:positionH>
            <wp:positionV relativeFrom="paragraph">
              <wp:posOffset>107711</wp:posOffset>
            </wp:positionV>
            <wp:extent cx="4983522" cy="3737610"/>
            <wp:effectExtent l="0" t="0" r="0" b="0"/>
            <wp:wrapTopAndBottom/>
            <wp:docPr id="39" name="image18.jpeg" descr=""/>
            <wp:cNvGraphicFramePr>
              <a:graphicFrameLocks noChangeAspect="1"/>
            </wp:cNvGraphicFramePr>
            <a:graphic>
              <a:graphicData uri="http://schemas.openxmlformats.org/drawingml/2006/picture">
                <pic:pic>
                  <pic:nvPicPr>
                    <pic:cNvPr id="40" name="image18.jpeg"/>
                    <pic:cNvPicPr/>
                  </pic:nvPicPr>
                  <pic:blipFill>
                    <a:blip r:embed="rId24" cstate="print"/>
                    <a:stretch>
                      <a:fillRect/>
                    </a:stretch>
                  </pic:blipFill>
                  <pic:spPr>
                    <a:xfrm>
                      <a:off x="0" y="0"/>
                      <a:ext cx="4983522" cy="3737610"/>
                    </a:xfrm>
                    <a:prstGeom prst="rect">
                      <a:avLst/>
                    </a:prstGeom>
                  </pic:spPr>
                </pic:pic>
              </a:graphicData>
            </a:graphic>
          </wp:anchor>
        </w:drawing>
      </w:r>
    </w:p>
    <w:p>
      <w:pPr>
        <w:spacing w:before="148"/>
        <w:ind w:left="2168" w:right="0" w:firstLine="0"/>
        <w:jc w:val="left"/>
        <w:rPr>
          <w:i/>
          <w:sz w:val="18"/>
        </w:rPr>
      </w:pPr>
      <w:bookmarkStart w:name="_bookmark52" w:id="83"/>
      <w:bookmarkEnd w:id="83"/>
      <w:r>
        <w:rPr/>
      </w:r>
      <w:r>
        <w:rPr>
          <w:i/>
          <w:color w:val="44536A"/>
          <w:sz w:val="18"/>
        </w:rPr>
        <w:t>Figure 14 : Schéma bilan des voies d’activation et du rôle de mTOR.</w:t>
      </w:r>
    </w:p>
    <w:p>
      <w:pPr>
        <w:pStyle w:val="BodyText"/>
        <w:rPr>
          <w:i/>
          <w:sz w:val="20"/>
        </w:rPr>
      </w:pPr>
    </w:p>
    <w:p>
      <w:pPr>
        <w:pStyle w:val="BodyText"/>
        <w:spacing w:before="7"/>
        <w:rPr>
          <w:i/>
          <w:sz w:val="27"/>
        </w:rPr>
      </w:pPr>
    </w:p>
    <w:p>
      <w:pPr>
        <w:pStyle w:val="BodyText"/>
        <w:spacing w:line="276" w:lineRule="auto"/>
        <w:ind w:left="116" w:right="114" w:firstLine="707"/>
        <w:jc w:val="both"/>
      </w:pPr>
      <w:r>
        <w:rPr/>
        <w:t>L’influx massif de glucose dans la cellule cancéreuse conduit à l’activation de la voie mTORC1 car l’enzyme GAPDH va se lier à son substrat le GA3P et libérer le facteur Rheb, membre atypique de la superfamille Ras, qui peut ainsi activer mTORC1 (Long et al., 2005). Cette voie est essentielle à la prolifération cellulaire (Inoki et Guan, 2006).</w:t>
      </w:r>
    </w:p>
    <w:p>
      <w:pPr>
        <w:spacing w:after="0" w:line="276" w:lineRule="auto"/>
        <w:jc w:val="both"/>
        <w:sectPr>
          <w:pgSz w:w="11910" w:h="16840"/>
          <w:pgMar w:header="0" w:footer="995" w:top="1320" w:bottom="1240" w:left="1300" w:right="1300"/>
        </w:sectPr>
      </w:pPr>
    </w:p>
    <w:p>
      <w:pPr>
        <w:pStyle w:val="BodyText"/>
        <w:spacing w:line="276" w:lineRule="auto" w:before="72" w:after="8"/>
        <w:ind w:left="116" w:right="115" w:firstLine="707"/>
        <w:jc w:val="both"/>
      </w:pPr>
      <w:r>
        <w:rPr/>
        <w:t>Une autre voie pouvant moduler mTOR est la voie de l’AMPK (AMP kinase). Cette enzyme a un rôle de jauge de l’énergie cellulaire. Une grande quantité d’AMP, retrouvée en situation d’hypoxie par exemple, active de manière allostérique l’AMPK. L’AMPK va alors pouvoir d’une part phosphoryler le PFKFB3, favorisant la glycolyse, et d’autre part inhiber indirectement mTOR par activation de TSC1 (Figure 15).</w:t>
      </w:r>
    </w:p>
    <w:p>
      <w:pPr>
        <w:pStyle w:val="BodyText"/>
        <w:ind w:left="3018"/>
        <w:rPr>
          <w:sz w:val="20"/>
        </w:rPr>
      </w:pPr>
      <w:r>
        <w:rPr>
          <w:sz w:val="20"/>
        </w:rPr>
        <w:drawing>
          <wp:inline distT="0" distB="0" distL="0" distR="0">
            <wp:extent cx="2305515" cy="3143250"/>
            <wp:effectExtent l="0" t="0" r="0" b="0"/>
            <wp:docPr id="41" name="image19.jpeg" descr=""/>
            <wp:cNvGraphicFramePr>
              <a:graphicFrameLocks noChangeAspect="1"/>
            </wp:cNvGraphicFramePr>
            <a:graphic>
              <a:graphicData uri="http://schemas.openxmlformats.org/drawingml/2006/picture">
                <pic:pic>
                  <pic:nvPicPr>
                    <pic:cNvPr id="42" name="image19.jpeg"/>
                    <pic:cNvPicPr/>
                  </pic:nvPicPr>
                  <pic:blipFill>
                    <a:blip r:embed="rId25" cstate="print"/>
                    <a:stretch>
                      <a:fillRect/>
                    </a:stretch>
                  </pic:blipFill>
                  <pic:spPr>
                    <a:xfrm>
                      <a:off x="0" y="0"/>
                      <a:ext cx="2305515" cy="3143250"/>
                    </a:xfrm>
                    <a:prstGeom prst="rect">
                      <a:avLst/>
                    </a:prstGeom>
                  </pic:spPr>
                </pic:pic>
              </a:graphicData>
            </a:graphic>
          </wp:inline>
        </w:drawing>
      </w:r>
      <w:r>
        <w:rPr>
          <w:sz w:val="20"/>
        </w:rPr>
      </w:r>
    </w:p>
    <w:p>
      <w:pPr>
        <w:spacing w:before="197"/>
        <w:ind w:left="1479" w:right="1479" w:firstLine="0"/>
        <w:jc w:val="center"/>
        <w:rPr>
          <w:i/>
          <w:sz w:val="18"/>
        </w:rPr>
      </w:pPr>
      <w:bookmarkStart w:name="_bookmark53" w:id="84"/>
      <w:bookmarkEnd w:id="84"/>
      <w:r>
        <w:rPr/>
      </w:r>
      <w:r>
        <w:rPr>
          <w:i/>
          <w:color w:val="44536A"/>
          <w:sz w:val="18"/>
        </w:rPr>
        <w:t>Figure 15 : La voie de l'AMPK - mTOR</w:t>
      </w:r>
    </w:p>
    <w:p>
      <w:pPr>
        <w:pStyle w:val="BodyText"/>
        <w:spacing w:before="1"/>
        <w:rPr>
          <w:i/>
          <w:sz w:val="20"/>
        </w:rPr>
      </w:pPr>
    </w:p>
    <w:p>
      <w:pPr>
        <w:pStyle w:val="BodyText"/>
        <w:spacing w:line="276" w:lineRule="auto"/>
        <w:ind w:left="116" w:right="114" w:firstLine="707"/>
        <w:jc w:val="both"/>
      </w:pPr>
      <w:r>
        <w:rPr/>
        <w:t>Par ailleurs, mTORC1 joue également un rôle sur le métabolisme de la cellule cancéreuse en activant le facteur HIF-1-</w:t>
      </w:r>
      <w:r>
        <w:rPr>
          <w:rFonts w:ascii="Symbol" w:hAnsi="Symbol"/>
        </w:rPr>
        <w:t></w:t>
      </w:r>
      <w:r>
        <w:rPr/>
        <w:t> même en conditions de normoxie (Robey et Hay, 2009).</w:t>
      </w:r>
    </w:p>
    <w:p>
      <w:pPr>
        <w:pStyle w:val="BodyText"/>
        <w:rPr>
          <w:sz w:val="26"/>
        </w:rPr>
      </w:pPr>
    </w:p>
    <w:p>
      <w:pPr>
        <w:pStyle w:val="ListParagraph"/>
        <w:numPr>
          <w:ilvl w:val="0"/>
          <w:numId w:val="10"/>
        </w:numPr>
        <w:tabs>
          <w:tab w:pos="1110" w:val="left" w:leader="none"/>
        </w:tabs>
        <w:spacing w:line="240" w:lineRule="auto" w:before="179" w:after="0"/>
        <w:ind w:left="1110" w:right="0" w:hanging="360"/>
        <w:jc w:val="left"/>
        <w:rPr>
          <w:sz w:val="24"/>
        </w:rPr>
      </w:pPr>
      <w:bookmarkStart w:name="_bookmark54" w:id="85"/>
      <w:bookmarkEnd w:id="85"/>
      <w:r>
        <w:rPr/>
      </w:r>
      <w:bookmarkStart w:name="_bookmark54" w:id="86"/>
      <w:bookmarkEnd w:id="86"/>
      <w:r>
        <w:rPr>
          <w:sz w:val="24"/>
          <w:u w:val="single"/>
        </w:rPr>
        <w:t>L</w:t>
      </w:r>
      <w:r>
        <w:rPr>
          <w:sz w:val="24"/>
          <w:u w:val="single"/>
        </w:rPr>
        <w:t>e facteur HIF-1 (Hypoxia Inducible</w:t>
      </w:r>
      <w:r>
        <w:rPr>
          <w:spacing w:val="-10"/>
          <w:sz w:val="24"/>
          <w:u w:val="single"/>
        </w:rPr>
        <w:t> </w:t>
      </w:r>
      <w:r>
        <w:rPr>
          <w:sz w:val="24"/>
          <w:u w:val="single"/>
        </w:rPr>
        <w:t>Factor-1)</w:t>
      </w:r>
    </w:p>
    <w:p>
      <w:pPr>
        <w:pStyle w:val="BodyText"/>
        <w:rPr>
          <w:sz w:val="20"/>
        </w:rPr>
      </w:pPr>
    </w:p>
    <w:p>
      <w:pPr>
        <w:pStyle w:val="BodyText"/>
        <w:spacing w:before="3"/>
        <w:rPr>
          <w:sz w:val="17"/>
        </w:rPr>
      </w:pPr>
    </w:p>
    <w:p>
      <w:pPr>
        <w:pStyle w:val="BodyText"/>
        <w:spacing w:line="276" w:lineRule="auto" w:before="90"/>
        <w:ind w:left="116" w:right="113" w:firstLine="707"/>
        <w:jc w:val="both"/>
        <w:rPr>
          <w:rFonts w:ascii="Symbol" w:hAnsi="Symbol"/>
        </w:rPr>
      </w:pPr>
      <w:r>
        <w:rPr/>
        <w:t>HIF-1 est un régulateur du métabolisme du glucose très important, notamment dans les cellules</w:t>
      </w:r>
      <w:r>
        <w:rPr>
          <w:spacing w:val="-14"/>
        </w:rPr>
        <w:t> </w:t>
      </w:r>
      <w:r>
        <w:rPr/>
        <w:t>cancéreuses.</w:t>
      </w:r>
      <w:r>
        <w:rPr>
          <w:spacing w:val="-13"/>
        </w:rPr>
        <w:t> </w:t>
      </w:r>
      <w:r>
        <w:rPr/>
        <w:t>Ce</w:t>
      </w:r>
      <w:r>
        <w:rPr>
          <w:spacing w:val="-12"/>
        </w:rPr>
        <w:t> </w:t>
      </w:r>
      <w:r>
        <w:rPr/>
        <w:t>facteur</w:t>
      </w:r>
      <w:r>
        <w:rPr>
          <w:spacing w:val="-15"/>
        </w:rPr>
        <w:t> </w:t>
      </w:r>
      <w:r>
        <w:rPr/>
        <w:t>de</w:t>
      </w:r>
      <w:r>
        <w:rPr>
          <w:spacing w:val="-14"/>
        </w:rPr>
        <w:t> </w:t>
      </w:r>
      <w:r>
        <w:rPr/>
        <w:t>transcription</w:t>
      </w:r>
      <w:r>
        <w:rPr>
          <w:spacing w:val="-13"/>
        </w:rPr>
        <w:t> </w:t>
      </w:r>
      <w:r>
        <w:rPr/>
        <w:t>induit</w:t>
      </w:r>
      <w:r>
        <w:rPr>
          <w:spacing w:val="-13"/>
        </w:rPr>
        <w:t> </w:t>
      </w:r>
      <w:r>
        <w:rPr/>
        <w:t>par</w:t>
      </w:r>
      <w:r>
        <w:rPr>
          <w:spacing w:val="-14"/>
        </w:rPr>
        <w:t> </w:t>
      </w:r>
      <w:r>
        <w:rPr/>
        <w:t>l’hypoxie</w:t>
      </w:r>
      <w:r>
        <w:rPr>
          <w:spacing w:val="-14"/>
        </w:rPr>
        <w:t> </w:t>
      </w:r>
      <w:r>
        <w:rPr/>
        <w:t>est</w:t>
      </w:r>
      <w:r>
        <w:rPr>
          <w:spacing w:val="-13"/>
        </w:rPr>
        <w:t> </w:t>
      </w:r>
      <w:r>
        <w:rPr/>
        <w:t>essentiel</w:t>
      </w:r>
      <w:r>
        <w:rPr>
          <w:spacing w:val="-13"/>
        </w:rPr>
        <w:t> </w:t>
      </w:r>
      <w:r>
        <w:rPr/>
        <w:t>à</w:t>
      </w:r>
      <w:r>
        <w:rPr>
          <w:spacing w:val="-14"/>
        </w:rPr>
        <w:t> </w:t>
      </w:r>
      <w:r>
        <w:rPr/>
        <w:t>la</w:t>
      </w:r>
      <w:r>
        <w:rPr>
          <w:spacing w:val="-14"/>
        </w:rPr>
        <w:t> </w:t>
      </w:r>
      <w:r>
        <w:rPr/>
        <w:t>régulation de la réponse tumorale à l’hypoxie (angiogenèse, glycolyse accrue, résistance à l’apoptose) (Semenza,</w:t>
      </w:r>
      <w:r>
        <w:rPr>
          <w:spacing w:val="-10"/>
        </w:rPr>
        <w:t> </w:t>
      </w:r>
      <w:r>
        <w:rPr/>
        <w:t>2010).</w:t>
      </w:r>
      <w:r>
        <w:rPr>
          <w:spacing w:val="-10"/>
        </w:rPr>
        <w:t> </w:t>
      </w:r>
      <w:r>
        <w:rPr/>
        <w:t>Son</w:t>
      </w:r>
      <w:r>
        <w:rPr>
          <w:spacing w:val="-10"/>
        </w:rPr>
        <w:t> </w:t>
      </w:r>
      <w:r>
        <w:rPr/>
        <w:t>activité</w:t>
      </w:r>
      <w:r>
        <w:rPr>
          <w:spacing w:val="-11"/>
        </w:rPr>
        <w:t> </w:t>
      </w:r>
      <w:r>
        <w:rPr/>
        <w:t>est</w:t>
      </w:r>
      <w:r>
        <w:rPr>
          <w:spacing w:val="-9"/>
        </w:rPr>
        <w:t> </w:t>
      </w:r>
      <w:r>
        <w:rPr/>
        <w:t>régulée</w:t>
      </w:r>
      <w:r>
        <w:rPr>
          <w:spacing w:val="-11"/>
        </w:rPr>
        <w:t> </w:t>
      </w:r>
      <w:r>
        <w:rPr/>
        <w:t>par</w:t>
      </w:r>
      <w:r>
        <w:rPr>
          <w:spacing w:val="-10"/>
        </w:rPr>
        <w:t> </w:t>
      </w:r>
      <w:r>
        <w:rPr/>
        <w:t>la</w:t>
      </w:r>
      <w:r>
        <w:rPr>
          <w:spacing w:val="-10"/>
        </w:rPr>
        <w:t> </w:t>
      </w:r>
      <w:r>
        <w:rPr/>
        <w:t>disponibilité</w:t>
      </w:r>
      <w:r>
        <w:rPr>
          <w:spacing w:val="-10"/>
        </w:rPr>
        <w:t> </w:t>
      </w:r>
      <w:r>
        <w:rPr/>
        <w:t>de</w:t>
      </w:r>
      <w:r>
        <w:rPr>
          <w:spacing w:val="-11"/>
        </w:rPr>
        <w:t> </w:t>
      </w:r>
      <w:r>
        <w:rPr/>
        <w:t>la</w:t>
      </w:r>
      <w:r>
        <w:rPr>
          <w:spacing w:val="-10"/>
        </w:rPr>
        <w:t> </w:t>
      </w:r>
      <w:r>
        <w:rPr/>
        <w:t>sous</w:t>
      </w:r>
      <w:r>
        <w:rPr>
          <w:spacing w:val="-9"/>
        </w:rPr>
        <w:t> </w:t>
      </w:r>
      <w:r>
        <w:rPr/>
        <w:t>unité</w:t>
      </w:r>
      <w:r>
        <w:rPr>
          <w:spacing w:val="-7"/>
        </w:rPr>
        <w:t> </w:t>
      </w:r>
      <w:r>
        <w:rPr/>
        <w:t>HIF-1-</w:t>
      </w:r>
      <w:r>
        <w:rPr>
          <w:rFonts w:ascii="Symbol" w:hAnsi="Symbol"/>
        </w:rPr>
        <w:t></w:t>
      </w:r>
      <w:r>
        <w:rPr/>
        <w:t>,</w:t>
      </w:r>
      <w:r>
        <w:rPr>
          <w:spacing w:val="-10"/>
        </w:rPr>
        <w:t> </w:t>
      </w:r>
      <w:r>
        <w:rPr/>
        <w:t>présente en</w:t>
      </w:r>
      <w:r>
        <w:rPr>
          <w:spacing w:val="-12"/>
        </w:rPr>
        <w:t> </w:t>
      </w:r>
      <w:r>
        <w:rPr/>
        <w:t>quantité</w:t>
      </w:r>
      <w:r>
        <w:rPr>
          <w:spacing w:val="-13"/>
        </w:rPr>
        <w:t> </w:t>
      </w:r>
      <w:r>
        <w:rPr/>
        <w:t>plus</w:t>
      </w:r>
      <w:r>
        <w:rPr>
          <w:spacing w:val="-11"/>
        </w:rPr>
        <w:t> </w:t>
      </w:r>
      <w:r>
        <w:rPr/>
        <w:t>importante</w:t>
      </w:r>
      <w:r>
        <w:rPr>
          <w:spacing w:val="-13"/>
        </w:rPr>
        <w:t> </w:t>
      </w:r>
      <w:r>
        <w:rPr/>
        <w:t>lors</w:t>
      </w:r>
      <w:r>
        <w:rPr>
          <w:spacing w:val="-12"/>
        </w:rPr>
        <w:t> </w:t>
      </w:r>
      <w:r>
        <w:rPr/>
        <w:t>de</w:t>
      </w:r>
      <w:r>
        <w:rPr>
          <w:spacing w:val="-13"/>
        </w:rPr>
        <w:t> </w:t>
      </w:r>
      <w:r>
        <w:rPr/>
        <w:t>conditions</w:t>
      </w:r>
      <w:r>
        <w:rPr>
          <w:spacing w:val="-10"/>
        </w:rPr>
        <w:t> </w:t>
      </w:r>
      <w:r>
        <w:rPr/>
        <w:t>hypoxiques.</w:t>
      </w:r>
      <w:r>
        <w:rPr>
          <w:spacing w:val="-12"/>
        </w:rPr>
        <w:t> </w:t>
      </w:r>
      <w:r>
        <w:rPr/>
        <w:t>En</w:t>
      </w:r>
      <w:r>
        <w:rPr>
          <w:spacing w:val="-12"/>
        </w:rPr>
        <w:t> </w:t>
      </w:r>
      <w:r>
        <w:rPr/>
        <w:t>effet,</w:t>
      </w:r>
      <w:r>
        <w:rPr>
          <w:spacing w:val="-12"/>
        </w:rPr>
        <w:t> </w:t>
      </w:r>
      <w:r>
        <w:rPr/>
        <w:t>en</w:t>
      </w:r>
      <w:r>
        <w:rPr>
          <w:spacing w:val="-12"/>
        </w:rPr>
        <w:t> </w:t>
      </w:r>
      <w:r>
        <w:rPr/>
        <w:t>présence</w:t>
      </w:r>
      <w:r>
        <w:rPr>
          <w:spacing w:val="-13"/>
        </w:rPr>
        <w:t> </w:t>
      </w:r>
      <w:r>
        <w:rPr/>
        <w:t>d’O</w:t>
      </w:r>
      <w:r>
        <w:rPr>
          <w:position w:val="-1"/>
          <w:sz w:val="16"/>
        </w:rPr>
        <w:t>2</w:t>
      </w:r>
      <w:r>
        <w:rPr/>
        <w:t>,</w:t>
      </w:r>
      <w:r>
        <w:rPr>
          <w:spacing w:val="-12"/>
        </w:rPr>
        <w:t> </w:t>
      </w:r>
      <w:r>
        <w:rPr/>
        <w:t>les</w:t>
      </w:r>
      <w:r>
        <w:rPr>
          <w:spacing w:val="-12"/>
        </w:rPr>
        <w:t> </w:t>
      </w:r>
      <w:r>
        <w:rPr/>
        <w:t>prolyl hydroxylases</w:t>
      </w:r>
      <w:r>
        <w:rPr>
          <w:spacing w:val="-6"/>
        </w:rPr>
        <w:t> </w:t>
      </w:r>
      <w:r>
        <w:rPr/>
        <w:t>(PHD)</w:t>
      </w:r>
      <w:r>
        <w:rPr>
          <w:spacing w:val="-8"/>
        </w:rPr>
        <w:t> </w:t>
      </w:r>
      <w:r>
        <w:rPr/>
        <w:t>hydroxylent</w:t>
      </w:r>
      <w:r>
        <w:rPr>
          <w:spacing w:val="-7"/>
        </w:rPr>
        <w:t> </w:t>
      </w:r>
      <w:r>
        <w:rPr/>
        <w:t>HIF-1-</w:t>
      </w:r>
      <w:r>
        <w:rPr>
          <w:rFonts w:ascii="Symbol" w:hAnsi="Symbol"/>
        </w:rPr>
        <w:t></w:t>
      </w:r>
      <w:r>
        <w:rPr>
          <w:spacing w:val="-10"/>
        </w:rPr>
        <w:t> </w:t>
      </w:r>
      <w:r>
        <w:rPr/>
        <w:t>qui</w:t>
      </w:r>
      <w:r>
        <w:rPr>
          <w:spacing w:val="-7"/>
        </w:rPr>
        <w:t> </w:t>
      </w:r>
      <w:r>
        <w:rPr/>
        <w:t>est</w:t>
      </w:r>
      <w:r>
        <w:rPr>
          <w:spacing w:val="-7"/>
        </w:rPr>
        <w:t> </w:t>
      </w:r>
      <w:r>
        <w:rPr/>
        <w:t>ensuite</w:t>
      </w:r>
      <w:r>
        <w:rPr>
          <w:spacing w:val="-8"/>
        </w:rPr>
        <w:t> </w:t>
      </w:r>
      <w:r>
        <w:rPr/>
        <w:t>dégradé</w:t>
      </w:r>
      <w:r>
        <w:rPr>
          <w:spacing w:val="-8"/>
        </w:rPr>
        <w:t> </w:t>
      </w:r>
      <w:r>
        <w:rPr/>
        <w:t>par</w:t>
      </w:r>
      <w:r>
        <w:rPr>
          <w:spacing w:val="-8"/>
        </w:rPr>
        <w:t> </w:t>
      </w:r>
      <w:r>
        <w:rPr/>
        <w:t>le</w:t>
      </w:r>
      <w:r>
        <w:rPr>
          <w:spacing w:val="-8"/>
        </w:rPr>
        <w:t> </w:t>
      </w:r>
      <w:r>
        <w:rPr/>
        <w:t>protéasome.</w:t>
      </w:r>
      <w:r>
        <w:rPr>
          <w:spacing w:val="-3"/>
        </w:rPr>
        <w:t> </w:t>
      </w:r>
      <w:r>
        <w:rPr/>
        <w:t>Lors</w:t>
      </w:r>
      <w:r>
        <w:rPr>
          <w:spacing w:val="-8"/>
        </w:rPr>
        <w:t> </w:t>
      </w:r>
      <w:r>
        <w:rPr/>
        <w:t>d’un processus tumoral où les cellules sont majoritairement en hypoxie, ce phénomène est inhibé provoquant</w:t>
      </w:r>
      <w:r>
        <w:rPr>
          <w:spacing w:val="-14"/>
        </w:rPr>
        <w:t> </w:t>
      </w:r>
      <w:r>
        <w:rPr/>
        <w:t>la</w:t>
      </w:r>
      <w:r>
        <w:rPr>
          <w:spacing w:val="-15"/>
        </w:rPr>
        <w:t> </w:t>
      </w:r>
      <w:r>
        <w:rPr/>
        <w:t>stabilisation</w:t>
      </w:r>
      <w:r>
        <w:rPr>
          <w:spacing w:val="-14"/>
        </w:rPr>
        <w:t> </w:t>
      </w:r>
      <w:r>
        <w:rPr/>
        <w:t>de</w:t>
      </w:r>
      <w:r>
        <w:rPr>
          <w:spacing w:val="-15"/>
        </w:rPr>
        <w:t> </w:t>
      </w:r>
      <w:r>
        <w:rPr/>
        <w:t>HIF-1-</w:t>
      </w:r>
      <w:r>
        <w:rPr>
          <w:rFonts w:ascii="Symbol" w:hAnsi="Symbol"/>
        </w:rPr>
        <w:t></w:t>
      </w:r>
      <w:r>
        <w:rPr>
          <w:spacing w:val="-2"/>
        </w:rPr>
        <w:t> </w:t>
      </w:r>
      <w:r>
        <w:rPr/>
        <w:t>C’est</w:t>
      </w:r>
      <w:r>
        <w:rPr>
          <w:spacing w:val="-14"/>
        </w:rPr>
        <w:t> </w:t>
      </w:r>
      <w:r>
        <w:rPr/>
        <w:t>le</w:t>
      </w:r>
      <w:r>
        <w:rPr>
          <w:spacing w:val="-15"/>
        </w:rPr>
        <w:t> </w:t>
      </w:r>
      <w:r>
        <w:rPr/>
        <w:t>cas</w:t>
      </w:r>
      <w:r>
        <w:rPr>
          <w:spacing w:val="-14"/>
        </w:rPr>
        <w:t> </w:t>
      </w:r>
      <w:r>
        <w:rPr/>
        <w:t>par</w:t>
      </w:r>
      <w:r>
        <w:rPr>
          <w:spacing w:val="-15"/>
        </w:rPr>
        <w:t> </w:t>
      </w:r>
      <w:r>
        <w:rPr/>
        <w:t>exemple</w:t>
      </w:r>
      <w:r>
        <w:rPr>
          <w:spacing w:val="-15"/>
        </w:rPr>
        <w:t> </w:t>
      </w:r>
      <w:r>
        <w:rPr/>
        <w:t>du</w:t>
      </w:r>
      <w:r>
        <w:rPr>
          <w:spacing w:val="-14"/>
        </w:rPr>
        <w:t> </w:t>
      </w:r>
      <w:r>
        <w:rPr/>
        <w:t>myélome</w:t>
      </w:r>
      <w:r>
        <w:rPr>
          <w:spacing w:val="-15"/>
        </w:rPr>
        <w:t> </w:t>
      </w:r>
      <w:r>
        <w:rPr/>
        <w:t>multiple</w:t>
      </w:r>
      <w:r>
        <w:rPr>
          <w:spacing w:val="-12"/>
        </w:rPr>
        <w:t> </w:t>
      </w:r>
      <w:r>
        <w:rPr/>
        <w:t>(Bhaskar et Tiwary, 2016). </w:t>
      </w:r>
      <w:r>
        <w:rPr>
          <w:spacing w:val="-3"/>
        </w:rPr>
        <w:t>La </w:t>
      </w:r>
      <w:r>
        <w:rPr/>
        <w:t>sous unité HIF-1-</w:t>
      </w:r>
      <w:r>
        <w:rPr>
          <w:rFonts w:ascii="Symbol" w:hAnsi="Symbol"/>
        </w:rPr>
        <w:t></w:t>
      </w:r>
      <w:r>
        <w:rPr/>
        <w:t> est alors transloquée dans le noyau et peut activer le facteur de transcription HIF-1 en formant un hétérodimère avec HIF-1-</w:t>
      </w:r>
      <w:r>
        <w:rPr>
          <w:rFonts w:ascii="Symbol" w:hAnsi="Symbol"/>
        </w:rPr>
        <w:t></w:t>
      </w:r>
      <w:r>
        <w:rPr/>
        <w:t> (Figure</w:t>
      </w:r>
      <w:r>
        <w:rPr>
          <w:spacing w:val="-17"/>
        </w:rPr>
        <w:t> </w:t>
      </w:r>
      <w:r>
        <w:rPr/>
        <w:t>16)</w:t>
      </w:r>
      <w:r>
        <w:rPr>
          <w:rFonts w:ascii="Symbol" w:hAnsi="Symbol"/>
        </w:rPr>
        <w:t></w:t>
      </w:r>
    </w:p>
    <w:p>
      <w:pPr>
        <w:spacing w:after="0" w:line="276" w:lineRule="auto"/>
        <w:jc w:val="both"/>
        <w:rPr>
          <w:rFonts w:ascii="Symbol" w:hAnsi="Symbol"/>
        </w:rPr>
        <w:sectPr>
          <w:pgSz w:w="11910" w:h="16840"/>
          <w:pgMar w:header="0" w:footer="995" w:top="1320" w:bottom="1240" w:left="1300" w:right="1300"/>
        </w:sectPr>
      </w:pPr>
    </w:p>
    <w:p>
      <w:pPr>
        <w:pStyle w:val="BodyText"/>
        <w:ind w:left="1962"/>
        <w:rPr>
          <w:rFonts w:ascii="Symbol" w:hAnsi="Symbol"/>
          <w:sz w:val="20"/>
        </w:rPr>
      </w:pPr>
      <w:r>
        <w:rPr>
          <w:rFonts w:ascii="Symbol" w:hAnsi="Symbol"/>
          <w:sz w:val="20"/>
        </w:rPr>
        <w:drawing>
          <wp:inline distT="0" distB="0" distL="0" distR="0">
            <wp:extent cx="3857625" cy="2981325"/>
            <wp:effectExtent l="0" t="0" r="0" b="0"/>
            <wp:docPr id="43" name="image20.jpeg" descr=""/>
            <wp:cNvGraphicFramePr>
              <a:graphicFrameLocks noChangeAspect="1"/>
            </wp:cNvGraphicFramePr>
            <a:graphic>
              <a:graphicData uri="http://schemas.openxmlformats.org/drawingml/2006/picture">
                <pic:pic>
                  <pic:nvPicPr>
                    <pic:cNvPr id="44" name="image20.jpeg"/>
                    <pic:cNvPicPr/>
                  </pic:nvPicPr>
                  <pic:blipFill>
                    <a:blip r:embed="rId26" cstate="print"/>
                    <a:stretch>
                      <a:fillRect/>
                    </a:stretch>
                  </pic:blipFill>
                  <pic:spPr>
                    <a:xfrm>
                      <a:off x="0" y="0"/>
                      <a:ext cx="3857625" cy="2981325"/>
                    </a:xfrm>
                    <a:prstGeom prst="rect">
                      <a:avLst/>
                    </a:prstGeom>
                  </pic:spPr>
                </pic:pic>
              </a:graphicData>
            </a:graphic>
          </wp:inline>
        </w:drawing>
      </w:r>
      <w:r>
        <w:rPr>
          <w:rFonts w:ascii="Symbol" w:hAnsi="Symbol"/>
          <w:sz w:val="20"/>
        </w:rPr>
      </w:r>
    </w:p>
    <w:p>
      <w:pPr>
        <w:pStyle w:val="BodyText"/>
        <w:spacing w:before="8"/>
        <w:rPr>
          <w:rFonts w:ascii="Symbol" w:hAnsi="Symbol"/>
          <w:sz w:val="9"/>
        </w:rPr>
      </w:pPr>
    </w:p>
    <w:p>
      <w:pPr>
        <w:spacing w:before="93"/>
        <w:ind w:left="1479" w:right="1480" w:firstLine="0"/>
        <w:jc w:val="center"/>
        <w:rPr>
          <w:i/>
          <w:sz w:val="18"/>
        </w:rPr>
      </w:pPr>
      <w:bookmarkStart w:name="_bookmark55" w:id="87"/>
      <w:bookmarkEnd w:id="87"/>
      <w:r>
        <w:rPr/>
      </w:r>
      <w:r>
        <w:rPr>
          <w:i/>
          <w:color w:val="44536A"/>
          <w:sz w:val="18"/>
        </w:rPr>
        <w:t>Figure 16 : L’activation de HIF-1 en situation d'hypoxie.</w:t>
      </w:r>
    </w:p>
    <w:p>
      <w:pPr>
        <w:pStyle w:val="BodyText"/>
        <w:spacing w:before="11"/>
        <w:rPr>
          <w:i/>
          <w:sz w:val="19"/>
        </w:rPr>
      </w:pPr>
    </w:p>
    <w:p>
      <w:pPr>
        <w:spacing w:before="0"/>
        <w:ind w:left="1479" w:right="1478" w:firstLine="0"/>
        <w:jc w:val="center"/>
        <w:rPr>
          <w:i/>
          <w:sz w:val="18"/>
        </w:rPr>
      </w:pPr>
      <w:r>
        <w:rPr>
          <w:i/>
          <w:color w:val="44536A"/>
          <w:sz w:val="18"/>
        </w:rPr>
        <w:t>D’après Porporato et al., 2011.</w:t>
      </w:r>
    </w:p>
    <w:p>
      <w:pPr>
        <w:pStyle w:val="BodyText"/>
        <w:spacing w:before="1"/>
        <w:rPr>
          <w:i/>
          <w:sz w:val="20"/>
        </w:rPr>
      </w:pPr>
    </w:p>
    <w:p>
      <w:pPr>
        <w:pStyle w:val="BodyText"/>
        <w:spacing w:line="276" w:lineRule="auto"/>
        <w:ind w:left="116" w:right="113" w:firstLine="707"/>
        <w:jc w:val="both"/>
      </w:pPr>
      <w:r>
        <w:rPr/>
        <w:t>Les gènes ciblés par ce facteur de transcription sont nombreux, comme par exemple le VEGF (facteur de croissance de l’endothélium vasculaire), des enzymes de la glycolyse (Figure 17) ou encore des transporteurs du lactate, les MonoCarboxylate Transporter (MCT), que nous allons décrire par la suite.</w:t>
      </w:r>
    </w:p>
    <w:p>
      <w:pPr>
        <w:pStyle w:val="BodyText"/>
        <w:spacing w:line="276" w:lineRule="auto" w:before="161"/>
        <w:ind w:left="116" w:right="116" w:firstLine="707"/>
        <w:jc w:val="both"/>
      </w:pPr>
      <w:r>
        <w:rPr/>
        <w:t>Par ailleurs, HIF-1-</w:t>
      </w:r>
      <w:r>
        <w:rPr>
          <w:rFonts w:ascii="Symbol" w:hAnsi="Symbol"/>
        </w:rPr>
        <w:t></w:t>
      </w:r>
      <w:r>
        <w:rPr/>
        <w:t> active la PDK1, enzyme inhibant la PDH (Figure 17). De ce fait, le pyruvate est disponible pour être transformé en lactate (par la LDH5) (Keith et al., 2012). HIF-1-</w:t>
      </w:r>
      <w:r>
        <w:rPr>
          <w:rFonts w:ascii="Symbol" w:hAnsi="Symbol"/>
        </w:rPr>
        <w:t></w:t>
      </w:r>
      <w:r>
        <w:rPr/>
        <w:t> apparaît alors comme un facteur protéique permettant à la cellule cancéreuse de s’adapter à son environnement en modifiant son métabolisme.</w:t>
      </w:r>
    </w:p>
    <w:p>
      <w:pPr>
        <w:spacing w:after="0" w:line="276" w:lineRule="auto"/>
        <w:jc w:val="both"/>
        <w:sectPr>
          <w:pgSz w:w="11910" w:h="16840"/>
          <w:pgMar w:header="0" w:footer="995" w:top="1400" w:bottom="1240" w:left="1300" w:right="1300"/>
        </w:sectPr>
      </w:pPr>
    </w:p>
    <w:p>
      <w:pPr>
        <w:pStyle w:val="BodyText"/>
        <w:ind w:left="882"/>
        <w:rPr>
          <w:sz w:val="20"/>
        </w:rPr>
      </w:pPr>
      <w:r>
        <w:rPr>
          <w:sz w:val="20"/>
        </w:rPr>
        <w:drawing>
          <wp:inline distT="0" distB="0" distL="0" distR="0">
            <wp:extent cx="5249631" cy="5318379"/>
            <wp:effectExtent l="0" t="0" r="0" b="0"/>
            <wp:docPr id="45" name="image21.jpeg" descr=""/>
            <wp:cNvGraphicFramePr>
              <a:graphicFrameLocks noChangeAspect="1"/>
            </wp:cNvGraphicFramePr>
            <a:graphic>
              <a:graphicData uri="http://schemas.openxmlformats.org/drawingml/2006/picture">
                <pic:pic>
                  <pic:nvPicPr>
                    <pic:cNvPr id="46" name="image21.jpeg"/>
                    <pic:cNvPicPr/>
                  </pic:nvPicPr>
                  <pic:blipFill>
                    <a:blip r:embed="rId27" cstate="print"/>
                    <a:stretch>
                      <a:fillRect/>
                    </a:stretch>
                  </pic:blipFill>
                  <pic:spPr>
                    <a:xfrm>
                      <a:off x="0" y="0"/>
                      <a:ext cx="5249631" cy="5318379"/>
                    </a:xfrm>
                    <a:prstGeom prst="rect">
                      <a:avLst/>
                    </a:prstGeom>
                  </pic:spPr>
                </pic:pic>
              </a:graphicData>
            </a:graphic>
          </wp:inline>
        </w:drawing>
      </w:r>
      <w:r>
        <w:rPr>
          <w:sz w:val="20"/>
        </w:rPr>
      </w:r>
    </w:p>
    <w:p>
      <w:pPr>
        <w:pStyle w:val="BodyText"/>
        <w:spacing w:before="6"/>
        <w:rPr>
          <w:sz w:val="8"/>
        </w:rPr>
      </w:pPr>
    </w:p>
    <w:p>
      <w:pPr>
        <w:spacing w:before="93"/>
        <w:ind w:left="1479" w:right="1484" w:firstLine="0"/>
        <w:jc w:val="center"/>
        <w:rPr>
          <w:i/>
          <w:sz w:val="18"/>
        </w:rPr>
      </w:pPr>
      <w:bookmarkStart w:name="_bookmark56" w:id="88"/>
      <w:bookmarkEnd w:id="88"/>
      <w:r>
        <w:rPr/>
      </w:r>
      <w:r>
        <w:rPr>
          <w:i/>
          <w:color w:val="44536A"/>
          <w:sz w:val="18"/>
        </w:rPr>
        <w:t>Figure 17 : Le facteur HIF-1 favorise l'activité de nombreuses enzymes de la glycolyse.</w:t>
      </w:r>
    </w:p>
    <w:p>
      <w:pPr>
        <w:pStyle w:val="BodyText"/>
        <w:spacing w:before="11"/>
        <w:rPr>
          <w:i/>
          <w:sz w:val="19"/>
        </w:rPr>
      </w:pPr>
    </w:p>
    <w:p>
      <w:pPr>
        <w:spacing w:before="0"/>
        <w:ind w:left="1479" w:right="1479" w:firstLine="0"/>
        <w:jc w:val="center"/>
        <w:rPr>
          <w:i/>
          <w:sz w:val="18"/>
        </w:rPr>
      </w:pPr>
      <w:r>
        <w:rPr>
          <w:i/>
          <w:color w:val="44536A"/>
          <w:sz w:val="18"/>
        </w:rPr>
        <w:t>D'après Porporato et al., 2011.</w:t>
      </w:r>
    </w:p>
    <w:p>
      <w:pPr>
        <w:pStyle w:val="BodyText"/>
        <w:spacing w:before="1"/>
        <w:rPr>
          <w:i/>
          <w:sz w:val="20"/>
        </w:rPr>
      </w:pPr>
    </w:p>
    <w:p>
      <w:pPr>
        <w:pStyle w:val="BodyText"/>
        <w:spacing w:line="276" w:lineRule="auto"/>
        <w:ind w:left="116" w:right="114" w:firstLine="707"/>
        <w:jc w:val="both"/>
      </w:pPr>
      <w:r>
        <w:rPr/>
        <w:t>De manière intéressante, HIF-1 peut également être activé même en conditions normoxiques. La présence de lactate dans le milieu permet de mimer l’activation de HIF-1. En effet, les PHD sont inhibées par les produits d’oxydation du lactate, empêchant la dégradation de HIF-1-</w:t>
      </w:r>
      <w:r>
        <w:rPr>
          <w:rFonts w:ascii="Symbol" w:hAnsi="Symbol"/>
        </w:rPr>
        <w:t></w:t>
      </w:r>
      <w:r>
        <w:rPr/>
        <w:t> (Sonveaux et al., 2012).</w:t>
      </w:r>
    </w:p>
    <w:p>
      <w:pPr>
        <w:spacing w:after="0" w:line="276" w:lineRule="auto"/>
        <w:jc w:val="both"/>
        <w:sectPr>
          <w:pgSz w:w="11910" w:h="16840"/>
          <w:pgMar w:header="0" w:footer="995" w:top="1400" w:bottom="1240" w:left="1300" w:right="1300"/>
        </w:sectPr>
      </w:pPr>
    </w:p>
    <w:p>
      <w:pPr>
        <w:pStyle w:val="Heading3"/>
        <w:numPr>
          <w:ilvl w:val="1"/>
          <w:numId w:val="4"/>
        </w:numPr>
        <w:tabs>
          <w:tab w:pos="1610" w:val="left" w:leader="none"/>
        </w:tabs>
        <w:spacing w:line="278" w:lineRule="auto" w:before="75" w:after="0"/>
        <w:ind w:left="1609" w:right="121" w:hanging="360"/>
        <w:jc w:val="left"/>
      </w:pPr>
      <w:bookmarkStart w:name="_bookmark57" w:id="89"/>
      <w:bookmarkEnd w:id="89"/>
      <w:r>
        <w:rPr>
          <w:b w:val="0"/>
        </w:rPr>
      </w:r>
      <w:bookmarkStart w:name="_bookmark57" w:id="90"/>
      <w:bookmarkEnd w:id="90"/>
      <w:r>
        <w:rPr/>
        <w:t>L’i</w:t>
      </w:r>
      <w:r>
        <w:rPr/>
        <w:t>mportance de l’acide lactique et d’un microenvironnement tumoral</w:t>
      </w:r>
      <w:r>
        <w:rPr>
          <w:spacing w:val="-4"/>
        </w:rPr>
        <w:t> </w:t>
      </w:r>
      <w:r>
        <w:rPr/>
        <w:t>acide</w:t>
      </w:r>
    </w:p>
    <w:p>
      <w:pPr>
        <w:pStyle w:val="BodyText"/>
        <w:spacing w:before="11"/>
        <w:rPr>
          <w:b/>
          <w:sz w:val="40"/>
        </w:rPr>
      </w:pPr>
    </w:p>
    <w:p>
      <w:pPr>
        <w:pStyle w:val="ListParagraph"/>
        <w:numPr>
          <w:ilvl w:val="0"/>
          <w:numId w:val="11"/>
        </w:numPr>
        <w:tabs>
          <w:tab w:pos="1043" w:val="left" w:leader="none"/>
        </w:tabs>
        <w:spacing w:line="240" w:lineRule="auto" w:before="0" w:after="0"/>
        <w:ind w:left="1042" w:right="0" w:hanging="360"/>
        <w:jc w:val="left"/>
        <w:rPr>
          <w:sz w:val="24"/>
        </w:rPr>
      </w:pPr>
      <w:bookmarkStart w:name="_bookmark58" w:id="91"/>
      <w:bookmarkEnd w:id="91"/>
      <w:r>
        <w:rPr/>
      </w:r>
      <w:bookmarkStart w:name="_bookmark58" w:id="92"/>
      <w:bookmarkEnd w:id="92"/>
      <w:r>
        <w:rPr>
          <w:sz w:val="24"/>
          <w:u w:val="single"/>
        </w:rPr>
        <w:t>L</w:t>
      </w:r>
      <w:r>
        <w:rPr>
          <w:sz w:val="24"/>
          <w:u w:val="single"/>
        </w:rPr>
        <w:t>a production de l’acide lactique, essentiel à la survie</w:t>
      </w:r>
      <w:r>
        <w:rPr>
          <w:spacing w:val="-22"/>
          <w:sz w:val="24"/>
          <w:u w:val="single"/>
        </w:rPr>
        <w:t> </w:t>
      </w:r>
      <w:r>
        <w:rPr>
          <w:sz w:val="24"/>
          <w:u w:val="single"/>
        </w:rPr>
        <w:t>tumorale</w:t>
      </w:r>
    </w:p>
    <w:p>
      <w:pPr>
        <w:pStyle w:val="BodyText"/>
        <w:rPr>
          <w:sz w:val="20"/>
        </w:rPr>
      </w:pPr>
    </w:p>
    <w:p>
      <w:pPr>
        <w:pStyle w:val="BodyText"/>
        <w:spacing w:before="7"/>
        <w:rPr>
          <w:sz w:val="17"/>
        </w:rPr>
      </w:pPr>
    </w:p>
    <w:p>
      <w:pPr>
        <w:pStyle w:val="Heading5"/>
        <w:numPr>
          <w:ilvl w:val="1"/>
          <w:numId w:val="11"/>
        </w:numPr>
        <w:tabs>
          <w:tab w:pos="2252" w:val="left" w:leader="none"/>
          <w:tab w:pos="2253" w:val="left" w:leader="none"/>
        </w:tabs>
        <w:spacing w:line="240" w:lineRule="auto" w:before="90" w:after="0"/>
        <w:ind w:left="2252" w:right="0" w:hanging="720"/>
        <w:jc w:val="left"/>
        <w:rPr>
          <w:i/>
        </w:rPr>
      </w:pPr>
      <w:bookmarkStart w:name="_bookmark59" w:id="93"/>
      <w:bookmarkEnd w:id="93"/>
      <w:r>
        <w:rPr>
          <w:b w:val="0"/>
          <w:i w:val="0"/>
        </w:rPr>
      </w:r>
      <w:bookmarkStart w:name="_bookmark59" w:id="94"/>
      <w:bookmarkEnd w:id="94"/>
      <w:r>
        <w:rPr>
          <w:i/>
        </w:rPr>
        <w:t>L</w:t>
      </w:r>
      <w:r>
        <w:rPr>
          <w:i/>
        </w:rPr>
        <w:t>a lactate déshydrogénase et les transporteurs des</w:t>
      </w:r>
      <w:r>
        <w:rPr>
          <w:i/>
          <w:spacing w:val="-13"/>
        </w:rPr>
        <w:t> </w:t>
      </w:r>
      <w:r>
        <w:rPr>
          <w:i/>
        </w:rPr>
        <w:t>monocarboxylates</w:t>
      </w:r>
    </w:p>
    <w:p>
      <w:pPr>
        <w:pStyle w:val="BodyText"/>
        <w:rPr>
          <w:b/>
          <w:i/>
          <w:sz w:val="26"/>
        </w:rPr>
      </w:pPr>
    </w:p>
    <w:p>
      <w:pPr>
        <w:pStyle w:val="BodyText"/>
        <w:spacing w:line="276" w:lineRule="auto" w:before="214"/>
        <w:ind w:left="116" w:right="113" w:firstLine="707"/>
        <w:jc w:val="both"/>
      </w:pPr>
      <w:r>
        <w:rPr/>
        <w:t>La</w:t>
      </w:r>
      <w:r>
        <w:rPr>
          <w:spacing w:val="-9"/>
        </w:rPr>
        <w:t> </w:t>
      </w:r>
      <w:r>
        <w:rPr/>
        <w:t>lactate</w:t>
      </w:r>
      <w:r>
        <w:rPr>
          <w:spacing w:val="-11"/>
        </w:rPr>
        <w:t> </w:t>
      </w:r>
      <w:r>
        <w:rPr/>
        <w:t>déshydrogénase</w:t>
      </w:r>
      <w:r>
        <w:rPr>
          <w:spacing w:val="-11"/>
        </w:rPr>
        <w:t> </w:t>
      </w:r>
      <w:r>
        <w:rPr/>
        <w:t>(LDH)</w:t>
      </w:r>
      <w:r>
        <w:rPr>
          <w:spacing w:val="-9"/>
        </w:rPr>
        <w:t> </w:t>
      </w:r>
      <w:r>
        <w:rPr/>
        <w:t>est</w:t>
      </w:r>
      <w:r>
        <w:rPr>
          <w:spacing w:val="-9"/>
        </w:rPr>
        <w:t> </w:t>
      </w:r>
      <w:r>
        <w:rPr/>
        <w:t>une</w:t>
      </w:r>
      <w:r>
        <w:rPr>
          <w:spacing w:val="-9"/>
        </w:rPr>
        <w:t> </w:t>
      </w:r>
      <w:r>
        <w:rPr/>
        <w:t>enzyme</w:t>
      </w:r>
      <w:r>
        <w:rPr>
          <w:spacing w:val="-11"/>
        </w:rPr>
        <w:t> </w:t>
      </w:r>
      <w:r>
        <w:rPr/>
        <w:t>tétramérique</w:t>
      </w:r>
      <w:r>
        <w:rPr>
          <w:spacing w:val="-11"/>
        </w:rPr>
        <w:t> </w:t>
      </w:r>
      <w:r>
        <w:rPr/>
        <w:t>composée</w:t>
      </w:r>
      <w:r>
        <w:rPr>
          <w:spacing w:val="-11"/>
        </w:rPr>
        <w:t> </w:t>
      </w:r>
      <w:r>
        <w:rPr/>
        <w:t>de</w:t>
      </w:r>
      <w:r>
        <w:rPr>
          <w:spacing w:val="-9"/>
        </w:rPr>
        <w:t> </w:t>
      </w:r>
      <w:r>
        <w:rPr/>
        <w:t>deux</w:t>
      </w:r>
      <w:r>
        <w:rPr>
          <w:spacing w:val="-8"/>
        </w:rPr>
        <w:t> </w:t>
      </w:r>
      <w:r>
        <w:rPr/>
        <w:t>sous- unités</w:t>
      </w:r>
      <w:r>
        <w:rPr>
          <w:spacing w:val="-9"/>
        </w:rPr>
        <w:t> </w:t>
      </w:r>
      <w:r>
        <w:rPr/>
        <w:t>(A</w:t>
      </w:r>
      <w:r>
        <w:rPr>
          <w:spacing w:val="-11"/>
        </w:rPr>
        <w:t> </w:t>
      </w:r>
      <w:r>
        <w:rPr/>
        <w:t>et</w:t>
      </w:r>
      <w:r>
        <w:rPr>
          <w:spacing w:val="-9"/>
        </w:rPr>
        <w:t> </w:t>
      </w:r>
      <w:r>
        <w:rPr/>
        <w:t>B),</w:t>
      </w:r>
      <w:r>
        <w:rPr>
          <w:spacing w:val="-10"/>
        </w:rPr>
        <w:t> </w:t>
      </w:r>
      <w:r>
        <w:rPr/>
        <w:t>codées</w:t>
      </w:r>
      <w:r>
        <w:rPr>
          <w:spacing w:val="-9"/>
        </w:rPr>
        <w:t> </w:t>
      </w:r>
      <w:r>
        <w:rPr/>
        <w:t>par</w:t>
      </w:r>
      <w:r>
        <w:rPr>
          <w:spacing w:val="-10"/>
        </w:rPr>
        <w:t> </w:t>
      </w:r>
      <w:r>
        <w:rPr/>
        <w:t>les</w:t>
      </w:r>
      <w:r>
        <w:rPr>
          <w:spacing w:val="-10"/>
        </w:rPr>
        <w:t> </w:t>
      </w:r>
      <w:r>
        <w:rPr/>
        <w:t>gènes</w:t>
      </w:r>
      <w:r>
        <w:rPr>
          <w:spacing w:val="-7"/>
        </w:rPr>
        <w:t> </w:t>
      </w:r>
      <w:r>
        <w:rPr/>
        <w:t>LDH-A</w:t>
      </w:r>
      <w:r>
        <w:rPr>
          <w:spacing w:val="-10"/>
        </w:rPr>
        <w:t> </w:t>
      </w:r>
      <w:r>
        <w:rPr/>
        <w:t>(ou</w:t>
      </w:r>
      <w:r>
        <w:rPr>
          <w:spacing w:val="-8"/>
        </w:rPr>
        <w:t> </w:t>
      </w:r>
      <w:r>
        <w:rPr/>
        <w:t>LDH-5)</w:t>
      </w:r>
      <w:r>
        <w:rPr>
          <w:spacing w:val="-10"/>
        </w:rPr>
        <w:t> </w:t>
      </w:r>
      <w:r>
        <w:rPr/>
        <w:t>et</w:t>
      </w:r>
      <w:r>
        <w:rPr>
          <w:spacing w:val="-7"/>
        </w:rPr>
        <w:t> </w:t>
      </w:r>
      <w:r>
        <w:rPr/>
        <w:t>LDH-B.</w:t>
      </w:r>
      <w:r>
        <w:rPr>
          <w:spacing w:val="-10"/>
        </w:rPr>
        <w:t> </w:t>
      </w:r>
      <w:r>
        <w:rPr/>
        <w:t>5</w:t>
      </w:r>
      <w:r>
        <w:rPr>
          <w:spacing w:val="-10"/>
        </w:rPr>
        <w:t> </w:t>
      </w:r>
      <w:r>
        <w:rPr/>
        <w:t>isoenzymes</w:t>
      </w:r>
      <w:r>
        <w:rPr>
          <w:spacing w:val="-9"/>
        </w:rPr>
        <w:t> </w:t>
      </w:r>
      <w:r>
        <w:rPr/>
        <w:t>peuvent</w:t>
      </w:r>
      <w:r>
        <w:rPr>
          <w:spacing w:val="-9"/>
        </w:rPr>
        <w:t> </w:t>
      </w:r>
      <w:r>
        <w:rPr/>
        <w:t>être formées (Figure 18). LDH-A favorise la réaction enzymatique dans le sens pyruvate vers lactate, alors que LDH-B réalise la réaction inverse (lactate en pyruvate), qui est ensuite disponible pour le cycle de</w:t>
      </w:r>
      <w:r>
        <w:rPr>
          <w:spacing w:val="-9"/>
        </w:rPr>
        <w:t> </w:t>
      </w:r>
      <w:r>
        <w:rPr/>
        <w:t>Krebs.</w:t>
      </w:r>
    </w:p>
    <w:p>
      <w:pPr>
        <w:pStyle w:val="BodyText"/>
        <w:spacing w:line="268" w:lineRule="auto" w:before="164"/>
        <w:ind w:left="116" w:right="113" w:firstLine="707"/>
        <w:jc w:val="both"/>
      </w:pPr>
      <w:r>
        <w:rPr/>
        <w:t>Le gène codant pour la LDH-A est activé par c-Myc et/ou HIF-1. En hypoxie, le pyruvate va alors être transformé en lactate et générant du NAD</w:t>
      </w:r>
      <w:r>
        <w:rPr>
          <w:position w:val="9"/>
          <w:sz w:val="16"/>
        </w:rPr>
        <w:t>+</w:t>
      </w:r>
      <w:r>
        <w:rPr/>
        <w:t>, crucial à la glycolyse. Cela permet à la cellule tumorale hypoxique de produire l’ATP nécessaire à sa survie.</w:t>
      </w:r>
    </w:p>
    <w:p>
      <w:pPr>
        <w:pStyle w:val="BodyText"/>
        <w:spacing w:before="10"/>
        <w:rPr>
          <w:sz w:val="11"/>
        </w:rPr>
      </w:pPr>
      <w:r>
        <w:rPr/>
        <w:drawing>
          <wp:anchor distT="0" distB="0" distL="0" distR="0" allowOverlap="1" layoutInCell="1" locked="0" behindDoc="0" simplePos="0" relativeHeight="1480">
            <wp:simplePos x="0" y="0"/>
            <wp:positionH relativeFrom="page">
              <wp:posOffset>1718691</wp:posOffset>
            </wp:positionH>
            <wp:positionV relativeFrom="paragraph">
              <wp:posOffset>111461</wp:posOffset>
            </wp:positionV>
            <wp:extent cx="4463734" cy="2693670"/>
            <wp:effectExtent l="0" t="0" r="0" b="0"/>
            <wp:wrapTopAndBottom/>
            <wp:docPr id="47" name="image22.jpeg" descr=""/>
            <wp:cNvGraphicFramePr>
              <a:graphicFrameLocks noChangeAspect="1"/>
            </wp:cNvGraphicFramePr>
            <a:graphic>
              <a:graphicData uri="http://schemas.openxmlformats.org/drawingml/2006/picture">
                <pic:pic>
                  <pic:nvPicPr>
                    <pic:cNvPr id="48" name="image22.jpeg"/>
                    <pic:cNvPicPr/>
                  </pic:nvPicPr>
                  <pic:blipFill>
                    <a:blip r:embed="rId28" cstate="print"/>
                    <a:stretch>
                      <a:fillRect/>
                    </a:stretch>
                  </pic:blipFill>
                  <pic:spPr>
                    <a:xfrm>
                      <a:off x="0" y="0"/>
                      <a:ext cx="4463734" cy="2693670"/>
                    </a:xfrm>
                    <a:prstGeom prst="rect">
                      <a:avLst/>
                    </a:prstGeom>
                  </pic:spPr>
                </pic:pic>
              </a:graphicData>
            </a:graphic>
          </wp:anchor>
        </w:drawing>
      </w:r>
    </w:p>
    <w:p>
      <w:pPr>
        <w:spacing w:line="508" w:lineRule="auto" w:before="186"/>
        <w:ind w:left="3322" w:right="3323" w:firstLine="0"/>
        <w:jc w:val="center"/>
        <w:rPr>
          <w:i/>
          <w:sz w:val="18"/>
        </w:rPr>
      </w:pPr>
      <w:bookmarkStart w:name="_bookmark60" w:id="95"/>
      <w:bookmarkEnd w:id="95"/>
      <w:r>
        <w:rPr/>
      </w:r>
      <w:r>
        <w:rPr>
          <w:i/>
          <w:color w:val="44536A"/>
          <w:sz w:val="18"/>
        </w:rPr>
        <w:t>Figure 18 : L’activité de la LDH. </w:t>
      </w:r>
      <w:r>
        <w:rPr>
          <w:i/>
          <w:color w:val="44536A"/>
          <w:sz w:val="18"/>
        </w:rPr>
        <w:t>D’après Porporato et al., 2011.</w:t>
      </w:r>
    </w:p>
    <w:p>
      <w:pPr>
        <w:pStyle w:val="BodyText"/>
        <w:spacing w:line="273" w:lineRule="auto" w:before="5"/>
        <w:ind w:left="116" w:right="115" w:firstLine="707"/>
        <w:jc w:val="both"/>
      </w:pPr>
      <w:r>
        <w:rPr/>
        <w:t>Une étude récente montre que le gène de la LDH-A est surexprimé dans des prélèvements histologiques de cancer du pancréas, et que plus l’expression était forte, plus faible était la survie (Mohammad et al., 2016). Le lactate ainsi produit est ensuite exporté avec un proton (H</w:t>
      </w:r>
      <w:r>
        <w:rPr>
          <w:position w:val="9"/>
          <w:sz w:val="16"/>
        </w:rPr>
        <w:t>+</w:t>
      </w:r>
      <w:r>
        <w:rPr/>
        <w:t>) dans le milieu extracellulaire par le transporteur MCT4, qui appartient à la famille</w:t>
      </w:r>
      <w:r>
        <w:rPr>
          <w:spacing w:val="-17"/>
        </w:rPr>
        <w:t> </w:t>
      </w:r>
      <w:r>
        <w:rPr/>
        <w:t>des</w:t>
      </w:r>
      <w:r>
        <w:rPr>
          <w:spacing w:val="-17"/>
        </w:rPr>
        <w:t> </w:t>
      </w:r>
      <w:r>
        <w:rPr/>
        <w:t>monocarboxylates</w:t>
      </w:r>
      <w:r>
        <w:rPr>
          <w:spacing w:val="-16"/>
        </w:rPr>
        <w:t> </w:t>
      </w:r>
      <w:r>
        <w:rPr/>
        <w:t>(MCTs).</w:t>
      </w:r>
      <w:r>
        <w:rPr>
          <w:spacing w:val="-17"/>
        </w:rPr>
        <w:t> </w:t>
      </w:r>
      <w:r>
        <w:rPr/>
        <w:t>Cela</w:t>
      </w:r>
      <w:r>
        <w:rPr>
          <w:spacing w:val="-17"/>
        </w:rPr>
        <w:t> </w:t>
      </w:r>
      <w:r>
        <w:rPr/>
        <w:t>contribue</w:t>
      </w:r>
      <w:r>
        <w:rPr>
          <w:spacing w:val="-18"/>
        </w:rPr>
        <w:t> </w:t>
      </w:r>
      <w:r>
        <w:rPr/>
        <w:t>à</w:t>
      </w:r>
      <w:r>
        <w:rPr>
          <w:spacing w:val="-18"/>
        </w:rPr>
        <w:t> </w:t>
      </w:r>
      <w:r>
        <w:rPr/>
        <w:t>l’acidification</w:t>
      </w:r>
      <w:r>
        <w:rPr>
          <w:spacing w:val="-17"/>
        </w:rPr>
        <w:t> </w:t>
      </w:r>
      <w:r>
        <w:rPr/>
        <w:t>du</w:t>
      </w:r>
      <w:r>
        <w:rPr>
          <w:spacing w:val="-17"/>
        </w:rPr>
        <w:t> </w:t>
      </w:r>
      <w:r>
        <w:rPr/>
        <w:t>milieu</w:t>
      </w:r>
      <w:r>
        <w:rPr>
          <w:spacing w:val="-14"/>
        </w:rPr>
        <w:t> </w:t>
      </w:r>
      <w:r>
        <w:rPr/>
        <w:t>extracellulaire (Halestrap, 2012). L’expression de MCT4 est induite par HIF-1 en conditions d’hypoxie. La LDH-A et le MCT4 contribuent alors à la survie des cellules tumorales (Fantin et al.,</w:t>
      </w:r>
      <w:r>
        <w:rPr>
          <w:spacing w:val="-13"/>
        </w:rPr>
        <w:t> </w:t>
      </w:r>
      <w:r>
        <w:rPr/>
        <w:t>2006).</w:t>
      </w:r>
    </w:p>
    <w:p>
      <w:pPr>
        <w:pStyle w:val="BodyText"/>
        <w:spacing w:line="276" w:lineRule="auto" w:before="167"/>
        <w:ind w:left="116" w:right="121" w:firstLine="707"/>
        <w:jc w:val="both"/>
      </w:pPr>
      <w:r>
        <w:rPr/>
        <w:t>Le transporteur MCT1 est également retrouvé dans certaines tumeurs. Contrairement à MCT4 qui exporte le lactate dans le microenvironnement, MCT1 provoque son entrée dans</w:t>
      </w:r>
      <w:r>
        <w:rPr>
          <w:spacing w:val="51"/>
        </w:rPr>
        <w:t> </w:t>
      </w:r>
      <w:r>
        <w:rPr/>
        <w:t>la</w:t>
      </w:r>
    </w:p>
    <w:p>
      <w:pPr>
        <w:spacing w:after="0" w:line="276" w:lineRule="auto"/>
        <w:jc w:val="both"/>
        <w:sectPr>
          <w:pgSz w:w="11910" w:h="16840"/>
          <w:pgMar w:header="0" w:footer="995" w:top="1320" w:bottom="1240" w:left="1300" w:right="1300"/>
        </w:sectPr>
      </w:pPr>
    </w:p>
    <w:p>
      <w:pPr>
        <w:pStyle w:val="BodyText"/>
        <w:spacing w:line="273" w:lineRule="auto" w:before="72"/>
        <w:ind w:left="116" w:right="113"/>
        <w:jc w:val="both"/>
      </w:pPr>
      <w:r>
        <w:rPr/>
        <w:t>cellule pouvant fonctionner sur un mode oxydatif. Le lactate est alors transformé par la LDH- </w:t>
      </w:r>
      <w:r>
        <w:rPr>
          <w:position w:val="2"/>
        </w:rPr>
        <w:t>B en pyruvate qui sera métabolisé en ATP et CO</w:t>
      </w:r>
      <w:r>
        <w:rPr>
          <w:sz w:val="16"/>
        </w:rPr>
        <w:t>2 </w:t>
      </w:r>
      <w:r>
        <w:rPr>
          <w:position w:val="2"/>
        </w:rPr>
        <w:t>par le cycle de Krebs. Il permet d’expliquer </w:t>
      </w:r>
      <w:r>
        <w:rPr/>
        <w:t>la</w:t>
      </w:r>
      <w:r>
        <w:rPr>
          <w:spacing w:val="-12"/>
        </w:rPr>
        <w:t> </w:t>
      </w:r>
      <w:r>
        <w:rPr/>
        <w:t>théorie</w:t>
      </w:r>
      <w:r>
        <w:rPr>
          <w:spacing w:val="-12"/>
        </w:rPr>
        <w:t> </w:t>
      </w:r>
      <w:r>
        <w:rPr/>
        <w:t>de</w:t>
      </w:r>
      <w:r>
        <w:rPr>
          <w:spacing w:val="-12"/>
        </w:rPr>
        <w:t> </w:t>
      </w:r>
      <w:r>
        <w:rPr/>
        <w:t>symbiose</w:t>
      </w:r>
      <w:r>
        <w:rPr>
          <w:spacing w:val="-12"/>
        </w:rPr>
        <w:t> </w:t>
      </w:r>
      <w:r>
        <w:rPr/>
        <w:t>métabolique</w:t>
      </w:r>
      <w:r>
        <w:rPr>
          <w:spacing w:val="-12"/>
        </w:rPr>
        <w:t> </w:t>
      </w:r>
      <w:r>
        <w:rPr/>
        <w:t>dans</w:t>
      </w:r>
      <w:r>
        <w:rPr>
          <w:spacing w:val="-11"/>
        </w:rPr>
        <w:t> </w:t>
      </w:r>
      <w:r>
        <w:rPr/>
        <w:t>les</w:t>
      </w:r>
      <w:r>
        <w:rPr>
          <w:spacing w:val="-11"/>
        </w:rPr>
        <w:t> </w:t>
      </w:r>
      <w:r>
        <w:rPr/>
        <w:t>tumeurs</w:t>
      </w:r>
      <w:r>
        <w:rPr>
          <w:spacing w:val="-10"/>
        </w:rPr>
        <w:t> </w:t>
      </w:r>
      <w:r>
        <w:rPr/>
        <w:t>(Feron,</w:t>
      </w:r>
      <w:r>
        <w:rPr>
          <w:spacing w:val="-11"/>
        </w:rPr>
        <w:t> </w:t>
      </w:r>
      <w:r>
        <w:rPr/>
        <w:t>2009</w:t>
      </w:r>
      <w:r>
        <w:rPr>
          <w:spacing w:val="-11"/>
        </w:rPr>
        <w:t> </w:t>
      </w:r>
      <w:r>
        <w:rPr/>
        <w:t>;</w:t>
      </w:r>
      <w:r>
        <w:rPr>
          <w:spacing w:val="-8"/>
        </w:rPr>
        <w:t> </w:t>
      </w:r>
      <w:r>
        <w:rPr/>
        <w:t>Icard</w:t>
      </w:r>
      <w:r>
        <w:rPr>
          <w:spacing w:val="-9"/>
        </w:rPr>
        <w:t> </w:t>
      </w:r>
      <w:r>
        <w:rPr/>
        <w:t>et</w:t>
      </w:r>
      <w:r>
        <w:rPr>
          <w:spacing w:val="-11"/>
        </w:rPr>
        <w:t> </w:t>
      </w:r>
      <w:r>
        <w:rPr/>
        <w:t>al.,</w:t>
      </w:r>
      <w:r>
        <w:rPr>
          <w:spacing w:val="-11"/>
        </w:rPr>
        <w:t> </w:t>
      </w:r>
      <w:r>
        <w:rPr/>
        <w:t>2014),</w:t>
      </w:r>
      <w:r>
        <w:rPr>
          <w:spacing w:val="-11"/>
        </w:rPr>
        <w:t> </w:t>
      </w:r>
      <w:r>
        <w:rPr/>
        <w:t>que</w:t>
      </w:r>
      <w:r>
        <w:rPr>
          <w:spacing w:val="-12"/>
        </w:rPr>
        <w:t> </w:t>
      </w:r>
      <w:r>
        <w:rPr/>
        <w:t>nous avions abordé au paragraphe</w:t>
      </w:r>
      <w:r>
        <w:rPr>
          <w:spacing w:val="-7"/>
        </w:rPr>
        <w:t> </w:t>
      </w:r>
      <w:r>
        <w:rPr/>
        <w:t>II.A.</w:t>
      </w:r>
    </w:p>
    <w:p>
      <w:pPr>
        <w:pStyle w:val="BodyText"/>
        <w:spacing w:line="273" w:lineRule="auto" w:before="166"/>
        <w:ind w:left="116" w:right="118" w:firstLine="707"/>
        <w:jc w:val="both"/>
      </w:pPr>
      <w:r>
        <w:rPr/>
        <w:t>Le schéma suivant (Figure 19) résume les enzymes et transporteurs impliqués dans le métabolisme du lactate.</w:t>
      </w:r>
    </w:p>
    <w:p>
      <w:pPr>
        <w:pStyle w:val="BodyText"/>
        <w:spacing w:before="6"/>
        <w:rPr>
          <w:sz w:val="11"/>
        </w:rPr>
      </w:pPr>
      <w:r>
        <w:rPr/>
        <w:drawing>
          <wp:anchor distT="0" distB="0" distL="0" distR="0" allowOverlap="1" layoutInCell="1" locked="0" behindDoc="0" simplePos="0" relativeHeight="1504">
            <wp:simplePos x="0" y="0"/>
            <wp:positionH relativeFrom="page">
              <wp:posOffset>1967864</wp:posOffset>
            </wp:positionH>
            <wp:positionV relativeFrom="paragraph">
              <wp:posOffset>109219</wp:posOffset>
            </wp:positionV>
            <wp:extent cx="4000327" cy="3739419"/>
            <wp:effectExtent l="0" t="0" r="0" b="0"/>
            <wp:wrapTopAndBottom/>
            <wp:docPr id="49" name="image23.jpeg" descr=""/>
            <wp:cNvGraphicFramePr>
              <a:graphicFrameLocks noChangeAspect="1"/>
            </wp:cNvGraphicFramePr>
            <a:graphic>
              <a:graphicData uri="http://schemas.openxmlformats.org/drawingml/2006/picture">
                <pic:pic>
                  <pic:nvPicPr>
                    <pic:cNvPr id="50" name="image23.jpeg"/>
                    <pic:cNvPicPr/>
                  </pic:nvPicPr>
                  <pic:blipFill>
                    <a:blip r:embed="rId29" cstate="print"/>
                    <a:stretch>
                      <a:fillRect/>
                    </a:stretch>
                  </pic:blipFill>
                  <pic:spPr>
                    <a:xfrm>
                      <a:off x="0" y="0"/>
                      <a:ext cx="4000327" cy="3739419"/>
                    </a:xfrm>
                    <a:prstGeom prst="rect">
                      <a:avLst/>
                    </a:prstGeom>
                  </pic:spPr>
                </pic:pic>
              </a:graphicData>
            </a:graphic>
          </wp:anchor>
        </w:drawing>
      </w:r>
    </w:p>
    <w:p>
      <w:pPr>
        <w:spacing w:before="145"/>
        <w:ind w:left="1479" w:right="1482" w:firstLine="0"/>
        <w:jc w:val="center"/>
        <w:rPr>
          <w:i/>
          <w:sz w:val="18"/>
        </w:rPr>
      </w:pPr>
      <w:bookmarkStart w:name="_bookmark61" w:id="96"/>
      <w:bookmarkEnd w:id="96"/>
      <w:r>
        <w:rPr/>
      </w:r>
      <w:r>
        <w:rPr>
          <w:i/>
          <w:color w:val="44536A"/>
          <w:sz w:val="18"/>
        </w:rPr>
        <w:t>Figure 19 : Les échanges de lactate au sein d'un tissu tumoral.</w:t>
      </w:r>
    </w:p>
    <w:p>
      <w:pPr>
        <w:pStyle w:val="BodyText"/>
        <w:spacing w:before="10"/>
        <w:rPr>
          <w:i/>
          <w:sz w:val="19"/>
        </w:rPr>
      </w:pPr>
    </w:p>
    <w:p>
      <w:pPr>
        <w:spacing w:before="1"/>
        <w:ind w:left="1479" w:right="1480" w:firstLine="0"/>
        <w:jc w:val="center"/>
        <w:rPr>
          <w:i/>
          <w:sz w:val="18"/>
        </w:rPr>
      </w:pPr>
      <w:r>
        <w:rPr>
          <w:i/>
          <w:color w:val="44536A"/>
          <w:sz w:val="18"/>
        </w:rPr>
        <w:t>D'après Spugnini et al., 2015</w:t>
      </w:r>
    </w:p>
    <w:p>
      <w:pPr>
        <w:pStyle w:val="BodyText"/>
        <w:rPr>
          <w:i/>
          <w:sz w:val="20"/>
        </w:rPr>
      </w:pPr>
    </w:p>
    <w:p>
      <w:pPr>
        <w:pStyle w:val="BodyText"/>
        <w:rPr>
          <w:i/>
          <w:sz w:val="20"/>
        </w:rPr>
      </w:pPr>
    </w:p>
    <w:p>
      <w:pPr>
        <w:pStyle w:val="BodyText"/>
        <w:spacing w:before="4"/>
        <w:rPr>
          <w:i/>
          <w:sz w:val="20"/>
        </w:rPr>
      </w:pPr>
    </w:p>
    <w:p>
      <w:pPr>
        <w:pStyle w:val="Heading5"/>
        <w:numPr>
          <w:ilvl w:val="1"/>
          <w:numId w:val="11"/>
        </w:numPr>
        <w:tabs>
          <w:tab w:pos="2252" w:val="left" w:leader="none"/>
          <w:tab w:pos="2253" w:val="left" w:leader="none"/>
        </w:tabs>
        <w:spacing w:line="240" w:lineRule="auto" w:before="1" w:after="0"/>
        <w:ind w:left="2252" w:right="0" w:hanging="720"/>
        <w:jc w:val="left"/>
        <w:rPr>
          <w:i/>
        </w:rPr>
      </w:pPr>
      <w:bookmarkStart w:name="_bookmark62" w:id="97"/>
      <w:bookmarkEnd w:id="97"/>
      <w:r>
        <w:rPr>
          <w:b w:val="0"/>
          <w:i w:val="0"/>
        </w:rPr>
      </w:r>
      <w:bookmarkStart w:name="_bookmark62" w:id="98"/>
      <w:bookmarkEnd w:id="98"/>
      <w:r>
        <w:rPr>
          <w:i/>
        </w:rPr>
        <w:t>Le</w:t>
      </w:r>
      <w:r>
        <w:rPr>
          <w:i/>
        </w:rPr>
        <w:t> rôle de l’ATP-citrate</w:t>
      </w:r>
      <w:r>
        <w:rPr>
          <w:i/>
          <w:spacing w:val="-8"/>
        </w:rPr>
        <w:t> </w:t>
      </w:r>
      <w:r>
        <w:rPr>
          <w:i/>
        </w:rPr>
        <w:t>lyase</w:t>
      </w:r>
    </w:p>
    <w:p>
      <w:pPr>
        <w:pStyle w:val="BodyText"/>
        <w:rPr>
          <w:b/>
          <w:i/>
          <w:sz w:val="26"/>
        </w:rPr>
      </w:pPr>
    </w:p>
    <w:p>
      <w:pPr>
        <w:pStyle w:val="BodyText"/>
        <w:spacing w:line="276" w:lineRule="auto" w:before="215"/>
        <w:ind w:left="116" w:right="112" w:firstLine="707"/>
        <w:jc w:val="both"/>
      </w:pPr>
      <w:r>
        <w:rPr/>
        <w:t>L’ATP-Citrate Lyase (ACLY) est une enzyme cytosolique (extra-mitochondriale) indispensable à la jonction du métabolisme glucidique et lipidique. L’activité de l’ACLY est plus importante dans un grand nombre de cancers. Cela a été démontré après analyse immunohistochimique</w:t>
      </w:r>
      <w:r>
        <w:rPr>
          <w:spacing w:val="-10"/>
        </w:rPr>
        <w:t> </w:t>
      </w:r>
      <w:r>
        <w:rPr/>
        <w:t>de</w:t>
      </w:r>
      <w:r>
        <w:rPr>
          <w:spacing w:val="-12"/>
        </w:rPr>
        <w:t> </w:t>
      </w:r>
      <w:r>
        <w:rPr/>
        <w:t>162</w:t>
      </w:r>
      <w:r>
        <w:rPr>
          <w:spacing w:val="-10"/>
        </w:rPr>
        <w:t> </w:t>
      </w:r>
      <w:r>
        <w:rPr/>
        <w:t>tumeurs</w:t>
      </w:r>
      <w:r>
        <w:rPr>
          <w:spacing w:val="-10"/>
        </w:rPr>
        <w:t> </w:t>
      </w:r>
      <w:r>
        <w:rPr/>
        <w:t>(adénocarcinome</w:t>
      </w:r>
      <w:r>
        <w:rPr>
          <w:spacing w:val="-10"/>
        </w:rPr>
        <w:t> </w:t>
      </w:r>
      <w:r>
        <w:rPr/>
        <w:t>du</w:t>
      </w:r>
      <w:r>
        <w:rPr>
          <w:spacing w:val="-10"/>
        </w:rPr>
        <w:t> </w:t>
      </w:r>
      <w:r>
        <w:rPr/>
        <w:t>poumon).</w:t>
      </w:r>
      <w:r>
        <w:rPr>
          <w:spacing w:val="-10"/>
        </w:rPr>
        <w:t> </w:t>
      </w:r>
      <w:r>
        <w:rPr/>
        <w:t>De</w:t>
      </w:r>
      <w:r>
        <w:rPr>
          <w:spacing w:val="-11"/>
        </w:rPr>
        <w:t> </w:t>
      </w:r>
      <w:r>
        <w:rPr/>
        <w:t>plus,</w:t>
      </w:r>
      <w:r>
        <w:rPr>
          <w:spacing w:val="-9"/>
        </w:rPr>
        <w:t> </w:t>
      </w:r>
      <w:r>
        <w:rPr/>
        <w:t>cette</w:t>
      </w:r>
      <w:r>
        <w:rPr>
          <w:spacing w:val="-11"/>
        </w:rPr>
        <w:t> </w:t>
      </w:r>
      <w:r>
        <w:rPr/>
        <w:t>activité</w:t>
      </w:r>
      <w:r>
        <w:rPr>
          <w:spacing w:val="-9"/>
        </w:rPr>
        <w:t> </w:t>
      </w:r>
      <w:r>
        <w:rPr/>
        <w:t>est corrélée au stade, au grade, et au pronostic (Migita et al., 2008). En présence d’ATP et de Coenzyme A, l’ACLY convertit le citrate en acétyl-CoA et en OAA (réaction inverse de la première réaction du cycle de Krebs). Cet acétyl-CoA peut ensuite être utilisé pour la synthèse </w:t>
      </w:r>
      <w:r>
        <w:rPr>
          <w:i/>
        </w:rPr>
        <w:t>de novo </w:t>
      </w:r>
      <w:r>
        <w:rPr/>
        <w:t>de lipides (cholestérol et acides gras à longue chaîne) essentielle à la prolifération cellulaire et/ou pour l’acétylation des histones (Figure</w:t>
      </w:r>
      <w:r>
        <w:rPr>
          <w:spacing w:val="-11"/>
        </w:rPr>
        <w:t> </w:t>
      </w:r>
      <w:r>
        <w:rPr/>
        <w:t>20).</w:t>
      </w:r>
    </w:p>
    <w:p>
      <w:pPr>
        <w:spacing w:after="0" w:line="276" w:lineRule="auto"/>
        <w:jc w:val="both"/>
        <w:sectPr>
          <w:pgSz w:w="11910" w:h="16840"/>
          <w:pgMar w:header="0" w:footer="995" w:top="1320" w:bottom="1240" w:left="1300" w:right="1300"/>
        </w:sectPr>
      </w:pPr>
    </w:p>
    <w:p>
      <w:pPr>
        <w:pStyle w:val="BodyText"/>
        <w:ind w:left="1291"/>
        <w:rPr>
          <w:sz w:val="20"/>
        </w:rPr>
      </w:pPr>
      <w:r>
        <w:rPr>
          <w:sz w:val="20"/>
        </w:rPr>
        <w:drawing>
          <wp:inline distT="0" distB="0" distL="0" distR="0">
            <wp:extent cx="4614825" cy="3176111"/>
            <wp:effectExtent l="0" t="0" r="0" b="0"/>
            <wp:docPr id="51" name="image24.jpeg" descr=""/>
            <wp:cNvGraphicFramePr>
              <a:graphicFrameLocks noChangeAspect="1"/>
            </wp:cNvGraphicFramePr>
            <a:graphic>
              <a:graphicData uri="http://schemas.openxmlformats.org/drawingml/2006/picture">
                <pic:pic>
                  <pic:nvPicPr>
                    <pic:cNvPr id="52" name="image24.jpeg"/>
                    <pic:cNvPicPr/>
                  </pic:nvPicPr>
                  <pic:blipFill>
                    <a:blip r:embed="rId30" cstate="print"/>
                    <a:stretch>
                      <a:fillRect/>
                    </a:stretch>
                  </pic:blipFill>
                  <pic:spPr>
                    <a:xfrm>
                      <a:off x="0" y="0"/>
                      <a:ext cx="4614825" cy="3176111"/>
                    </a:xfrm>
                    <a:prstGeom prst="rect">
                      <a:avLst/>
                    </a:prstGeom>
                  </pic:spPr>
                </pic:pic>
              </a:graphicData>
            </a:graphic>
          </wp:inline>
        </w:drawing>
      </w:r>
      <w:r>
        <w:rPr>
          <w:sz w:val="20"/>
        </w:rPr>
      </w:r>
    </w:p>
    <w:p>
      <w:pPr>
        <w:pStyle w:val="BodyText"/>
        <w:spacing w:before="4"/>
        <w:rPr>
          <w:sz w:val="10"/>
        </w:rPr>
      </w:pPr>
    </w:p>
    <w:p>
      <w:pPr>
        <w:spacing w:line="506" w:lineRule="auto" w:before="92"/>
        <w:ind w:left="3369" w:right="3367" w:hanging="3"/>
        <w:jc w:val="center"/>
        <w:rPr>
          <w:i/>
          <w:sz w:val="18"/>
        </w:rPr>
      </w:pPr>
      <w:bookmarkStart w:name="_bookmark63" w:id="99"/>
      <w:bookmarkEnd w:id="99"/>
      <w:r>
        <w:rPr/>
      </w:r>
      <w:r>
        <w:rPr>
          <w:i/>
          <w:color w:val="44536A"/>
          <w:sz w:val="18"/>
        </w:rPr>
        <w:t>Figure 20 : Le rôle de l'ACLY. </w:t>
      </w:r>
      <w:r>
        <w:rPr>
          <w:i/>
          <w:color w:val="44536A"/>
          <w:sz w:val="18"/>
        </w:rPr>
        <w:t>D’après Hatzivassiliou et al., 2005.</w:t>
      </w:r>
    </w:p>
    <w:p>
      <w:pPr>
        <w:pStyle w:val="BodyText"/>
        <w:spacing w:line="271" w:lineRule="auto" w:before="9"/>
        <w:ind w:left="116" w:right="115" w:firstLine="707"/>
        <w:jc w:val="both"/>
      </w:pPr>
      <w:r>
        <w:rPr/>
        <w:t>L’OAA, quant à lui, aboutit à la production d’acide lactique après deux réactions produisant du NAD</w:t>
      </w:r>
      <w:r>
        <w:rPr>
          <w:position w:val="9"/>
          <w:sz w:val="16"/>
        </w:rPr>
        <w:t>+ </w:t>
      </w:r>
      <w:r>
        <w:rPr/>
        <w:t>et NADPH, H</w:t>
      </w:r>
      <w:r>
        <w:rPr>
          <w:position w:val="9"/>
          <w:sz w:val="16"/>
        </w:rPr>
        <w:t>+</w:t>
      </w:r>
      <w:r>
        <w:rPr/>
        <w:t>. Dans une cellule saine, la plupart du lactate est exporté dans</w:t>
      </w:r>
      <w:r>
        <w:rPr>
          <w:spacing w:val="-11"/>
        </w:rPr>
        <w:t> </w:t>
      </w:r>
      <w:r>
        <w:rPr/>
        <w:t>le</w:t>
      </w:r>
      <w:r>
        <w:rPr>
          <w:spacing w:val="-11"/>
        </w:rPr>
        <w:t> </w:t>
      </w:r>
      <w:r>
        <w:rPr/>
        <w:t>sang</w:t>
      </w:r>
      <w:r>
        <w:rPr>
          <w:spacing w:val="-13"/>
        </w:rPr>
        <w:t> </w:t>
      </w:r>
      <w:r>
        <w:rPr/>
        <w:t>jusqu’au</w:t>
      </w:r>
      <w:r>
        <w:rPr>
          <w:spacing w:val="-11"/>
        </w:rPr>
        <w:t> </w:t>
      </w:r>
      <w:r>
        <w:rPr/>
        <w:t>foie,</w:t>
      </w:r>
      <w:r>
        <w:rPr>
          <w:spacing w:val="-11"/>
        </w:rPr>
        <w:t> </w:t>
      </w:r>
      <w:r>
        <w:rPr/>
        <w:t>où</w:t>
      </w:r>
      <w:r>
        <w:rPr>
          <w:spacing w:val="-11"/>
        </w:rPr>
        <w:t> </w:t>
      </w:r>
      <w:r>
        <w:rPr/>
        <w:t>il</w:t>
      </w:r>
      <w:r>
        <w:rPr>
          <w:spacing w:val="-10"/>
        </w:rPr>
        <w:t> </w:t>
      </w:r>
      <w:r>
        <w:rPr/>
        <w:t>est</w:t>
      </w:r>
      <w:r>
        <w:rPr>
          <w:spacing w:val="-10"/>
        </w:rPr>
        <w:t> </w:t>
      </w:r>
      <w:r>
        <w:rPr/>
        <w:t>utilisé</w:t>
      </w:r>
      <w:r>
        <w:rPr>
          <w:spacing w:val="-10"/>
        </w:rPr>
        <w:t> </w:t>
      </w:r>
      <w:r>
        <w:rPr>
          <w:i/>
        </w:rPr>
        <w:t>via</w:t>
      </w:r>
      <w:r>
        <w:rPr>
          <w:i/>
          <w:spacing w:val="-11"/>
        </w:rPr>
        <w:t> </w:t>
      </w:r>
      <w:r>
        <w:rPr/>
        <w:t>le</w:t>
      </w:r>
      <w:r>
        <w:rPr>
          <w:spacing w:val="-12"/>
        </w:rPr>
        <w:t> </w:t>
      </w:r>
      <w:r>
        <w:rPr/>
        <w:t>cycle</w:t>
      </w:r>
      <w:r>
        <w:rPr>
          <w:spacing w:val="-12"/>
        </w:rPr>
        <w:t> </w:t>
      </w:r>
      <w:r>
        <w:rPr/>
        <w:t>de</w:t>
      </w:r>
      <w:r>
        <w:rPr>
          <w:spacing w:val="-12"/>
        </w:rPr>
        <w:t> </w:t>
      </w:r>
      <w:r>
        <w:rPr/>
        <w:t>Cori</w:t>
      </w:r>
      <w:r>
        <w:rPr>
          <w:spacing w:val="-11"/>
        </w:rPr>
        <w:t> </w:t>
      </w:r>
      <w:r>
        <w:rPr/>
        <w:t>pour</w:t>
      </w:r>
      <w:r>
        <w:rPr>
          <w:spacing w:val="-12"/>
        </w:rPr>
        <w:t> </w:t>
      </w:r>
      <w:r>
        <w:rPr/>
        <w:t>la</w:t>
      </w:r>
      <w:r>
        <w:rPr>
          <w:spacing w:val="-12"/>
        </w:rPr>
        <w:t> </w:t>
      </w:r>
      <w:r>
        <w:rPr/>
        <w:t>synthèse</w:t>
      </w:r>
      <w:r>
        <w:rPr>
          <w:spacing w:val="-12"/>
        </w:rPr>
        <w:t> </w:t>
      </w:r>
      <w:r>
        <w:rPr/>
        <w:t>de</w:t>
      </w:r>
      <w:r>
        <w:rPr>
          <w:spacing w:val="-10"/>
        </w:rPr>
        <w:t> </w:t>
      </w:r>
      <w:r>
        <w:rPr/>
        <w:t>glucose.</w:t>
      </w:r>
      <w:r>
        <w:rPr>
          <w:spacing w:val="-11"/>
        </w:rPr>
        <w:t> </w:t>
      </w:r>
      <w:r>
        <w:rPr/>
        <w:t>Dans l’environnement tumoral, le lactate est utilisé par les cellules en normoxie (Figure</w:t>
      </w:r>
      <w:r>
        <w:rPr>
          <w:spacing w:val="-16"/>
        </w:rPr>
        <w:t> </w:t>
      </w:r>
      <w:r>
        <w:rPr/>
        <w:t>19).</w:t>
      </w:r>
    </w:p>
    <w:p>
      <w:pPr>
        <w:pStyle w:val="ListParagraph"/>
        <w:numPr>
          <w:ilvl w:val="0"/>
          <w:numId w:val="11"/>
        </w:numPr>
        <w:tabs>
          <w:tab w:pos="1043" w:val="left" w:leader="none"/>
        </w:tabs>
        <w:spacing w:line="240" w:lineRule="auto" w:before="169" w:after="0"/>
        <w:ind w:left="1042" w:right="0" w:hanging="360"/>
        <w:jc w:val="left"/>
        <w:rPr>
          <w:sz w:val="24"/>
        </w:rPr>
      </w:pPr>
      <w:bookmarkStart w:name="_bookmark64" w:id="100"/>
      <w:bookmarkEnd w:id="100"/>
      <w:r>
        <w:rPr/>
      </w:r>
      <w:bookmarkStart w:name="_bookmark64" w:id="101"/>
      <w:bookmarkEnd w:id="101"/>
      <w:r>
        <w:rPr>
          <w:sz w:val="24"/>
          <w:u w:val="single"/>
        </w:rPr>
        <w:t>L</w:t>
      </w:r>
      <w:r>
        <w:rPr>
          <w:sz w:val="24"/>
          <w:u w:val="single"/>
        </w:rPr>
        <w:t>’importance des efflux de</w:t>
      </w:r>
      <w:r>
        <w:rPr>
          <w:spacing w:val="-6"/>
          <w:sz w:val="24"/>
          <w:u w:val="single"/>
        </w:rPr>
        <w:t> </w:t>
      </w:r>
      <w:r>
        <w:rPr>
          <w:sz w:val="24"/>
          <w:u w:val="single"/>
        </w:rPr>
        <w:t>protons</w:t>
      </w:r>
    </w:p>
    <w:p>
      <w:pPr>
        <w:pStyle w:val="BodyText"/>
        <w:rPr>
          <w:sz w:val="20"/>
        </w:rPr>
      </w:pPr>
    </w:p>
    <w:p>
      <w:pPr>
        <w:pStyle w:val="BodyText"/>
        <w:spacing w:before="5"/>
        <w:rPr>
          <w:sz w:val="17"/>
        </w:rPr>
      </w:pPr>
    </w:p>
    <w:p>
      <w:pPr>
        <w:pStyle w:val="BodyText"/>
        <w:spacing w:line="271" w:lineRule="auto" w:before="90"/>
        <w:ind w:left="116" w:right="113" w:firstLine="707"/>
        <w:jc w:val="both"/>
      </w:pPr>
      <w:r>
        <w:rPr/>
        <w:t>Le</w:t>
      </w:r>
      <w:r>
        <w:rPr>
          <w:spacing w:val="-8"/>
        </w:rPr>
        <w:t> </w:t>
      </w:r>
      <w:r>
        <w:rPr/>
        <w:t>métabolisme</w:t>
      </w:r>
      <w:r>
        <w:rPr>
          <w:spacing w:val="-8"/>
        </w:rPr>
        <w:t> </w:t>
      </w:r>
      <w:r>
        <w:rPr/>
        <w:t>accru</w:t>
      </w:r>
      <w:r>
        <w:rPr>
          <w:spacing w:val="-8"/>
        </w:rPr>
        <w:t> </w:t>
      </w:r>
      <w:r>
        <w:rPr/>
        <w:t>du</w:t>
      </w:r>
      <w:r>
        <w:rPr>
          <w:spacing w:val="-5"/>
        </w:rPr>
        <w:t> </w:t>
      </w:r>
      <w:r>
        <w:rPr/>
        <w:t>glucose,</w:t>
      </w:r>
      <w:r>
        <w:rPr>
          <w:spacing w:val="-5"/>
        </w:rPr>
        <w:t> </w:t>
      </w:r>
      <w:r>
        <w:rPr/>
        <w:t>ainsi</w:t>
      </w:r>
      <w:r>
        <w:rPr>
          <w:spacing w:val="-6"/>
        </w:rPr>
        <w:t> </w:t>
      </w:r>
      <w:r>
        <w:rPr/>
        <w:t>que</w:t>
      </w:r>
      <w:r>
        <w:rPr>
          <w:spacing w:val="-8"/>
        </w:rPr>
        <w:t> </w:t>
      </w:r>
      <w:r>
        <w:rPr/>
        <w:t>celui</w:t>
      </w:r>
      <w:r>
        <w:rPr>
          <w:spacing w:val="-7"/>
        </w:rPr>
        <w:t> </w:t>
      </w:r>
      <w:r>
        <w:rPr/>
        <w:t>des</w:t>
      </w:r>
      <w:r>
        <w:rPr>
          <w:spacing w:val="-7"/>
        </w:rPr>
        <w:t> </w:t>
      </w:r>
      <w:r>
        <w:rPr/>
        <w:t>acides</w:t>
      </w:r>
      <w:r>
        <w:rPr>
          <w:spacing w:val="-7"/>
        </w:rPr>
        <w:t> </w:t>
      </w:r>
      <w:r>
        <w:rPr/>
        <w:t>aminés,</w:t>
      </w:r>
      <w:r>
        <w:rPr>
          <w:spacing w:val="-7"/>
        </w:rPr>
        <w:t> </w:t>
      </w:r>
      <w:r>
        <w:rPr/>
        <w:t>produit</w:t>
      </w:r>
      <w:r>
        <w:rPr>
          <w:spacing w:val="-4"/>
        </w:rPr>
        <w:t> </w:t>
      </w:r>
      <w:r>
        <w:rPr/>
        <w:t>une</w:t>
      </w:r>
      <w:r>
        <w:rPr>
          <w:spacing w:val="-8"/>
        </w:rPr>
        <w:t> </w:t>
      </w:r>
      <w:r>
        <w:rPr/>
        <w:t>grande quantité de protons, H</w:t>
      </w:r>
      <w:r>
        <w:rPr>
          <w:position w:val="9"/>
          <w:sz w:val="16"/>
        </w:rPr>
        <w:t>+</w:t>
      </w:r>
      <w:r>
        <w:rPr/>
        <w:t>. Une acidification trop importante du cytosol serait délétère, par exemple en entraînant une baisse de l’activité de PFK1 ; les H</w:t>
      </w:r>
      <w:r>
        <w:rPr>
          <w:position w:val="9"/>
          <w:sz w:val="16"/>
        </w:rPr>
        <w:t>+ </w:t>
      </w:r>
      <w:r>
        <w:rPr/>
        <w:t>sont alors exportés hors de la cellule cancéreuse et acidifient le milieu extracellulaire. Ils peuvent également être séquestrés à l’intérieur de vacuoles intracellulaires. Différentes pompes à protons et transporteurs permettent cette acidification caractéristique. Cela contribue à la formation du microenvironnement tumoral hostile (Spugnini et al.,</w:t>
      </w:r>
      <w:r>
        <w:rPr>
          <w:spacing w:val="-7"/>
        </w:rPr>
        <w:t> </w:t>
      </w:r>
      <w:r>
        <w:rPr/>
        <w:t>2015).</w:t>
      </w:r>
    </w:p>
    <w:p>
      <w:pPr>
        <w:pStyle w:val="BodyText"/>
        <w:rPr>
          <w:sz w:val="26"/>
        </w:rPr>
      </w:pPr>
    </w:p>
    <w:p>
      <w:pPr>
        <w:pStyle w:val="BodyText"/>
        <w:spacing w:before="7"/>
        <w:rPr>
          <w:sz w:val="30"/>
        </w:rPr>
      </w:pPr>
    </w:p>
    <w:p>
      <w:pPr>
        <w:pStyle w:val="Heading5"/>
        <w:numPr>
          <w:ilvl w:val="1"/>
          <w:numId w:val="11"/>
        </w:numPr>
        <w:tabs>
          <w:tab w:pos="2252" w:val="left" w:leader="none"/>
          <w:tab w:pos="2253" w:val="left" w:leader="none"/>
        </w:tabs>
        <w:spacing w:line="240" w:lineRule="auto" w:before="0" w:after="0"/>
        <w:ind w:left="2252" w:right="0" w:hanging="720"/>
        <w:jc w:val="left"/>
        <w:rPr>
          <w:i/>
        </w:rPr>
      </w:pPr>
      <w:bookmarkStart w:name="_bookmark65" w:id="102"/>
      <w:bookmarkEnd w:id="102"/>
      <w:r>
        <w:rPr>
          <w:b w:val="0"/>
          <w:i w:val="0"/>
        </w:rPr>
      </w:r>
      <w:bookmarkStart w:name="_bookmark65" w:id="103"/>
      <w:bookmarkEnd w:id="103"/>
      <w:r>
        <w:rPr>
          <w:i/>
        </w:rPr>
        <w:t>L</w:t>
      </w:r>
      <w:r>
        <w:rPr>
          <w:i/>
        </w:rPr>
        <w:t>’ATP-ase de type</w:t>
      </w:r>
      <w:r>
        <w:rPr>
          <w:i/>
          <w:spacing w:val="-3"/>
        </w:rPr>
        <w:t> </w:t>
      </w:r>
      <w:r>
        <w:rPr>
          <w:i/>
        </w:rPr>
        <w:t>V</w:t>
      </w:r>
    </w:p>
    <w:p>
      <w:pPr>
        <w:pStyle w:val="BodyText"/>
        <w:rPr>
          <w:b/>
          <w:i/>
          <w:sz w:val="26"/>
        </w:rPr>
      </w:pPr>
    </w:p>
    <w:p>
      <w:pPr>
        <w:pStyle w:val="BodyText"/>
        <w:spacing w:line="273" w:lineRule="auto" w:before="214"/>
        <w:ind w:left="116" w:right="116" w:firstLine="707"/>
        <w:jc w:val="both"/>
      </w:pPr>
      <w:r>
        <w:rPr/>
        <w:t>L’ATP-ase de type V est une enzyme présente dans les membranes de compartiments intracytoplasmiques et dans la membrane plasmique. Elle est capable d’hydrolyser des molécules d’ATP en transférant des H</w:t>
      </w:r>
      <w:r>
        <w:rPr>
          <w:position w:val="9"/>
          <w:sz w:val="16"/>
        </w:rPr>
        <w:t>+ </w:t>
      </w:r>
      <w:r>
        <w:rPr/>
        <w:t>de part et d’autre de la membrane dans laquelle ils se trouvent. Une augmentation de l’expression de cette enzyme est considérée comme une adaptation   de  la   cellule  cancéreuse   à  son   microenvironnement.   Son  activité  participe</w:t>
      </w:r>
    </w:p>
    <w:p>
      <w:pPr>
        <w:spacing w:after="0" w:line="273" w:lineRule="auto"/>
        <w:jc w:val="both"/>
        <w:sectPr>
          <w:pgSz w:w="11910" w:h="16840"/>
          <w:pgMar w:header="0" w:footer="995" w:top="1400" w:bottom="1240" w:left="1300" w:right="1300"/>
        </w:sectPr>
      </w:pPr>
    </w:p>
    <w:p>
      <w:pPr>
        <w:pStyle w:val="BodyText"/>
        <w:spacing w:line="276" w:lineRule="auto" w:before="72"/>
        <w:ind w:left="116"/>
      </w:pPr>
      <w:bookmarkStart w:name="_bookmark68" w:id="104"/>
      <w:bookmarkEnd w:id="104"/>
      <w:r>
        <w:rPr/>
      </w:r>
      <w:r>
        <w:rPr/>
        <w:t>notamment</w:t>
      </w:r>
      <w:r>
        <w:rPr>
          <w:spacing w:val="-10"/>
        </w:rPr>
        <w:t> </w:t>
      </w:r>
      <w:r>
        <w:rPr/>
        <w:t>à</w:t>
      </w:r>
      <w:r>
        <w:rPr>
          <w:spacing w:val="-11"/>
        </w:rPr>
        <w:t> </w:t>
      </w:r>
      <w:r>
        <w:rPr/>
        <w:t>l’invasion</w:t>
      </w:r>
      <w:r>
        <w:rPr>
          <w:spacing w:val="-9"/>
        </w:rPr>
        <w:t> </w:t>
      </w:r>
      <w:r>
        <w:rPr/>
        <w:t>tumorale</w:t>
      </w:r>
      <w:r>
        <w:rPr>
          <w:spacing w:val="-10"/>
        </w:rPr>
        <w:t> </w:t>
      </w:r>
      <w:r>
        <w:rPr/>
        <w:t>et</w:t>
      </w:r>
      <w:r>
        <w:rPr>
          <w:spacing w:val="-9"/>
        </w:rPr>
        <w:t> </w:t>
      </w:r>
      <w:r>
        <w:rPr/>
        <w:t>à</w:t>
      </w:r>
      <w:r>
        <w:rPr>
          <w:spacing w:val="-11"/>
        </w:rPr>
        <w:t> </w:t>
      </w:r>
      <w:r>
        <w:rPr/>
        <w:t>la</w:t>
      </w:r>
      <w:r>
        <w:rPr>
          <w:spacing w:val="-10"/>
        </w:rPr>
        <w:t> </w:t>
      </w:r>
      <w:r>
        <w:rPr/>
        <w:t>chimiorésistance</w:t>
      </w:r>
      <w:r>
        <w:rPr>
          <w:spacing w:val="-9"/>
        </w:rPr>
        <w:t> </w:t>
      </w:r>
      <w:r>
        <w:rPr/>
        <w:t>(les</w:t>
      </w:r>
      <w:r>
        <w:rPr>
          <w:spacing w:val="-9"/>
        </w:rPr>
        <w:t> </w:t>
      </w:r>
      <w:r>
        <w:rPr/>
        <w:t>molécules</w:t>
      </w:r>
      <w:r>
        <w:rPr>
          <w:spacing w:val="-10"/>
        </w:rPr>
        <w:t> </w:t>
      </w:r>
      <w:r>
        <w:rPr/>
        <w:t>de</w:t>
      </w:r>
      <w:r>
        <w:rPr>
          <w:spacing w:val="-11"/>
        </w:rPr>
        <w:t> </w:t>
      </w:r>
      <w:r>
        <w:rPr/>
        <w:t>chimiothérapie</w:t>
      </w:r>
      <w:r>
        <w:rPr>
          <w:spacing w:val="-8"/>
        </w:rPr>
        <w:t> </w:t>
      </w:r>
      <w:r>
        <w:rPr/>
        <w:t>sont des bases faibles, elles sont neutralisées lors de la protonation en milieu</w:t>
      </w:r>
      <w:r>
        <w:rPr>
          <w:spacing w:val="-14"/>
        </w:rPr>
        <w:t> </w:t>
      </w:r>
      <w:r>
        <w:rPr/>
        <w:t>acide).</w:t>
      </w:r>
    </w:p>
    <w:p>
      <w:pPr>
        <w:pStyle w:val="BodyText"/>
        <w:spacing w:line="273" w:lineRule="auto" w:before="164"/>
        <w:ind w:left="116" w:right="120" w:firstLine="707"/>
        <w:jc w:val="both"/>
      </w:pPr>
      <w:r>
        <w:rPr/>
        <w:t>De nombreux modèles cellulaires métastatiques agressifs sont caractérisés par une augmentation de l’activité de la V-ATPase, résultant en un phénomène d’autophagie accru (essentiel pour que la cellule cancéreuse survive) (De Milito et al., 2010).</w:t>
      </w:r>
    </w:p>
    <w:p>
      <w:pPr>
        <w:pStyle w:val="Heading5"/>
        <w:numPr>
          <w:ilvl w:val="1"/>
          <w:numId w:val="11"/>
        </w:numPr>
        <w:tabs>
          <w:tab w:pos="2252" w:val="left" w:leader="none"/>
          <w:tab w:pos="2253" w:val="left" w:leader="none"/>
        </w:tabs>
        <w:spacing w:line="240" w:lineRule="auto" w:before="171" w:after="0"/>
        <w:ind w:left="2252" w:right="0" w:hanging="720"/>
        <w:jc w:val="left"/>
        <w:rPr>
          <w:i/>
        </w:rPr>
      </w:pPr>
      <w:bookmarkStart w:name="_bookmark66" w:id="105"/>
      <w:bookmarkEnd w:id="105"/>
      <w:r>
        <w:rPr>
          <w:b w:val="0"/>
          <w:i w:val="0"/>
        </w:rPr>
      </w:r>
      <w:bookmarkStart w:name="_bookmark66" w:id="106"/>
      <w:bookmarkEnd w:id="106"/>
      <w:r>
        <w:rPr>
          <w:i/>
        </w:rPr>
        <w:t>L</w:t>
      </w:r>
      <w:r>
        <w:rPr>
          <w:i/>
        </w:rPr>
        <w:t>’échangeur Na+/H+</w:t>
      </w:r>
      <w:r>
        <w:rPr>
          <w:i/>
          <w:spacing w:val="-10"/>
        </w:rPr>
        <w:t> </w:t>
      </w:r>
      <w:r>
        <w:rPr>
          <w:i/>
        </w:rPr>
        <w:t>(NHE-1)</w:t>
      </w:r>
    </w:p>
    <w:p>
      <w:pPr>
        <w:pStyle w:val="BodyText"/>
        <w:rPr>
          <w:b/>
          <w:i/>
          <w:sz w:val="26"/>
        </w:rPr>
      </w:pPr>
    </w:p>
    <w:p>
      <w:pPr>
        <w:pStyle w:val="BodyText"/>
        <w:spacing w:line="276" w:lineRule="auto" w:before="214"/>
        <w:ind w:left="116" w:right="118" w:firstLine="707"/>
        <w:jc w:val="both"/>
      </w:pPr>
      <w:r>
        <w:rPr/>
        <w:t>Cet échangeur se trouve naturellement dans les cellules saines, il est activé lors d’acidification cytosolique. Son hyperactivité dans les cellules cancéreuses contribue au maintien d’un pH cytosolique basique, favorable au développement de mutations, à une prolifération non contrôlée, au développement de résistance et à la propagation tumorale (Reshkin et al., 2000).</w:t>
      </w:r>
    </w:p>
    <w:p>
      <w:pPr>
        <w:pStyle w:val="Heading5"/>
        <w:numPr>
          <w:ilvl w:val="1"/>
          <w:numId w:val="11"/>
        </w:numPr>
        <w:tabs>
          <w:tab w:pos="2252" w:val="left" w:leader="none"/>
          <w:tab w:pos="2253" w:val="left" w:leader="none"/>
        </w:tabs>
        <w:spacing w:line="240" w:lineRule="auto" w:before="169" w:after="0"/>
        <w:ind w:left="2252" w:right="0" w:hanging="720"/>
        <w:jc w:val="left"/>
        <w:rPr>
          <w:i/>
        </w:rPr>
      </w:pPr>
      <w:bookmarkStart w:name="_bookmark67" w:id="107"/>
      <w:bookmarkEnd w:id="107"/>
      <w:r>
        <w:rPr>
          <w:b w:val="0"/>
          <w:i w:val="0"/>
        </w:rPr>
      </w:r>
      <w:bookmarkStart w:name="_bookmark67" w:id="108"/>
      <w:bookmarkEnd w:id="108"/>
      <w:r>
        <w:rPr>
          <w:i/>
        </w:rPr>
        <w:t>L</w:t>
      </w:r>
      <w:r>
        <w:rPr>
          <w:i/>
        </w:rPr>
        <w:t>es anhydrases carboniques (CA, Carbonic</w:t>
      </w:r>
      <w:r>
        <w:rPr>
          <w:i/>
          <w:spacing w:val="-11"/>
        </w:rPr>
        <w:t> </w:t>
      </w:r>
      <w:r>
        <w:rPr>
          <w:i/>
        </w:rPr>
        <w:t>Anhydrases)</w:t>
      </w:r>
    </w:p>
    <w:p>
      <w:pPr>
        <w:pStyle w:val="BodyText"/>
        <w:rPr>
          <w:b/>
          <w:i/>
          <w:sz w:val="26"/>
        </w:rPr>
      </w:pPr>
    </w:p>
    <w:p>
      <w:pPr>
        <w:pStyle w:val="BodyText"/>
        <w:spacing w:line="273" w:lineRule="auto" w:before="214"/>
        <w:ind w:left="116" w:right="113" w:firstLine="707"/>
        <w:jc w:val="both"/>
      </w:pPr>
      <w:r>
        <w:rPr/>
        <w:t>Les anhydrases carboniques (CA) sont des métalloenzymes transmembranaires catalysant la réaction réversible d’addition d’1 molécule d’eau sur 1 molécule de gaz carbonique pour donner de l’acide carbonique. Ce dernier se dissocie au pH physiologique en un ion bicarbonate et un H</w:t>
      </w:r>
      <w:r>
        <w:rPr>
          <w:position w:val="9"/>
          <w:sz w:val="16"/>
        </w:rPr>
        <w:t>+</w:t>
      </w:r>
      <w:r>
        <w:rPr/>
        <w:t>. Les CA sont ainsi impliquées dans l’équilibre acide-base de la cellule.</w:t>
      </w:r>
      <w:r>
        <w:rPr>
          <w:spacing w:val="-3"/>
        </w:rPr>
        <w:t> </w:t>
      </w:r>
      <w:r>
        <w:rPr/>
        <w:t>Les</w:t>
      </w:r>
      <w:r>
        <w:rPr>
          <w:spacing w:val="-5"/>
        </w:rPr>
        <w:t> </w:t>
      </w:r>
      <w:r>
        <w:rPr/>
        <w:t>CAIX</w:t>
      </w:r>
      <w:r>
        <w:rPr>
          <w:spacing w:val="-3"/>
        </w:rPr>
        <w:t> </w:t>
      </w:r>
      <w:r>
        <w:rPr/>
        <w:t>et</w:t>
      </w:r>
      <w:r>
        <w:rPr>
          <w:spacing w:val="-4"/>
        </w:rPr>
        <w:t> </w:t>
      </w:r>
      <w:r>
        <w:rPr/>
        <w:t>CAXII</w:t>
      </w:r>
      <w:r>
        <w:rPr>
          <w:spacing w:val="-8"/>
        </w:rPr>
        <w:t> </w:t>
      </w:r>
      <w:r>
        <w:rPr/>
        <w:t>sont</w:t>
      </w:r>
      <w:r>
        <w:rPr>
          <w:spacing w:val="-4"/>
        </w:rPr>
        <w:t> </w:t>
      </w:r>
      <w:r>
        <w:rPr/>
        <w:t>retrouvées</w:t>
      </w:r>
      <w:r>
        <w:rPr>
          <w:spacing w:val="-5"/>
        </w:rPr>
        <w:t> </w:t>
      </w:r>
      <w:r>
        <w:rPr/>
        <w:t>majoritairement</w:t>
      </w:r>
      <w:r>
        <w:rPr>
          <w:spacing w:val="-5"/>
        </w:rPr>
        <w:t> </w:t>
      </w:r>
      <w:r>
        <w:rPr/>
        <w:t>au</w:t>
      </w:r>
      <w:r>
        <w:rPr>
          <w:spacing w:val="-5"/>
        </w:rPr>
        <w:t> </w:t>
      </w:r>
      <w:r>
        <w:rPr/>
        <w:t>niveau</w:t>
      </w:r>
      <w:r>
        <w:rPr>
          <w:spacing w:val="-5"/>
        </w:rPr>
        <w:t> </w:t>
      </w:r>
      <w:r>
        <w:rPr/>
        <w:t>de</w:t>
      </w:r>
      <w:r>
        <w:rPr>
          <w:spacing w:val="-4"/>
        </w:rPr>
        <w:t> </w:t>
      </w:r>
      <w:r>
        <w:rPr/>
        <w:t>tumeurs</w:t>
      </w:r>
      <w:r>
        <w:rPr>
          <w:spacing w:val="-5"/>
        </w:rPr>
        <w:t> </w:t>
      </w:r>
      <w:r>
        <w:rPr/>
        <w:t>hypoxiques (Tafreshi et al., 2016). Dans les tissus normaux, ces isoformes sont inactives. La CAIX</w:t>
      </w:r>
      <w:r>
        <w:rPr>
          <w:spacing w:val="-42"/>
        </w:rPr>
        <w:t> </w:t>
      </w:r>
      <w:r>
        <w:rPr/>
        <w:t>semble surexprimée dans un grand nombre de cancer (Spugnini et al., 2015). Elle participe à l’acidification du microenvironnement tumoral et est également impliquée dans la progression tumorale par sa capacité à réguler le pH et l’adhésion</w:t>
      </w:r>
      <w:r>
        <w:rPr>
          <w:spacing w:val="-14"/>
        </w:rPr>
        <w:t> </w:t>
      </w:r>
      <w:r>
        <w:rPr/>
        <w:t>cellulaire.</w:t>
      </w:r>
    </w:p>
    <w:p>
      <w:pPr>
        <w:spacing w:after="0" w:line="273" w:lineRule="auto"/>
        <w:jc w:val="both"/>
        <w:sectPr>
          <w:pgSz w:w="11910" w:h="16840"/>
          <w:pgMar w:header="0" w:footer="995" w:top="1320" w:bottom="1240" w:left="1300" w:right="1300"/>
        </w:sectPr>
      </w:pPr>
    </w:p>
    <w:p>
      <w:pPr>
        <w:pStyle w:val="Heading5"/>
        <w:numPr>
          <w:ilvl w:val="1"/>
          <w:numId w:val="11"/>
        </w:numPr>
        <w:tabs>
          <w:tab w:pos="2252" w:val="left" w:leader="none"/>
          <w:tab w:pos="2253" w:val="left" w:leader="none"/>
        </w:tabs>
        <w:spacing w:line="240" w:lineRule="auto" w:before="77" w:after="0"/>
        <w:ind w:left="2252" w:right="0" w:hanging="720"/>
        <w:jc w:val="left"/>
        <w:rPr>
          <w:i/>
        </w:rPr>
      </w:pPr>
      <w:r>
        <w:rPr>
          <w:i/>
        </w:rPr>
        <w:t>Bilan des transporteurs impliqués dans l’efflux de</w:t>
      </w:r>
      <w:r>
        <w:rPr>
          <w:i/>
          <w:spacing w:val="-21"/>
        </w:rPr>
        <w:t> </w:t>
      </w:r>
      <w:r>
        <w:rPr>
          <w:i/>
        </w:rPr>
        <w:t>protons</w:t>
      </w:r>
    </w:p>
    <w:p>
      <w:pPr>
        <w:pStyle w:val="BodyText"/>
        <w:rPr>
          <w:b/>
          <w:i/>
          <w:sz w:val="26"/>
        </w:rPr>
      </w:pPr>
    </w:p>
    <w:p>
      <w:pPr>
        <w:pStyle w:val="BodyText"/>
        <w:spacing w:line="268" w:lineRule="auto" w:before="195"/>
        <w:ind w:left="116" w:right="111" w:firstLine="707"/>
        <w:jc w:val="both"/>
      </w:pPr>
      <w:r>
        <w:rPr/>
        <w:t>Le schéma suivant (Figure 21) récapitule tous les acteurs participant à l’efflux de protons hors de la cellule. En plus des molécules décrites précédemment, on retrouve le </w:t>
      </w:r>
      <w:r>
        <w:rPr>
          <w:position w:val="2"/>
        </w:rPr>
        <w:t>cotransporteur du bicarbonate de sodium (NBC), qui permet la réabsorption de HCO</w:t>
      </w:r>
      <w:r>
        <w:rPr>
          <w:sz w:val="16"/>
        </w:rPr>
        <w:t>3</w:t>
      </w:r>
      <w:r>
        <w:rPr>
          <w:position w:val="11"/>
          <w:sz w:val="16"/>
        </w:rPr>
        <w:t>- </w:t>
      </w:r>
      <w:r>
        <w:rPr>
          <w:position w:val="2"/>
        </w:rPr>
        <w:t>qui </w:t>
      </w:r>
      <w:r>
        <w:rPr/>
        <w:t>pourra</w:t>
      </w:r>
      <w:r>
        <w:rPr>
          <w:spacing w:val="-7"/>
        </w:rPr>
        <w:t> </w:t>
      </w:r>
      <w:r>
        <w:rPr/>
        <w:t>réagir</w:t>
      </w:r>
      <w:r>
        <w:rPr>
          <w:spacing w:val="-9"/>
        </w:rPr>
        <w:t> </w:t>
      </w:r>
      <w:r>
        <w:rPr/>
        <w:t>dans</w:t>
      </w:r>
      <w:r>
        <w:rPr>
          <w:spacing w:val="-6"/>
        </w:rPr>
        <w:t> </w:t>
      </w:r>
      <w:r>
        <w:rPr/>
        <w:t>le</w:t>
      </w:r>
      <w:r>
        <w:rPr>
          <w:spacing w:val="-9"/>
        </w:rPr>
        <w:t> </w:t>
      </w:r>
      <w:r>
        <w:rPr/>
        <w:t>cytosol</w:t>
      </w:r>
      <w:r>
        <w:rPr>
          <w:spacing w:val="-8"/>
        </w:rPr>
        <w:t> </w:t>
      </w:r>
      <w:r>
        <w:rPr/>
        <w:t>avec</w:t>
      </w:r>
      <w:r>
        <w:rPr>
          <w:spacing w:val="-7"/>
        </w:rPr>
        <w:t> </w:t>
      </w:r>
      <w:r>
        <w:rPr/>
        <w:t>un</w:t>
      </w:r>
      <w:r>
        <w:rPr>
          <w:spacing w:val="-9"/>
        </w:rPr>
        <w:t> </w:t>
      </w:r>
      <w:r>
        <w:rPr/>
        <w:t>H</w:t>
      </w:r>
      <w:r>
        <w:rPr>
          <w:position w:val="9"/>
          <w:sz w:val="16"/>
        </w:rPr>
        <w:t>+</w:t>
      </w:r>
      <w:r>
        <w:rPr/>
        <w:t>.</w:t>
      </w:r>
      <w:r>
        <w:rPr>
          <w:spacing w:val="-6"/>
        </w:rPr>
        <w:t> </w:t>
      </w:r>
      <w:r>
        <w:rPr/>
        <w:t>La</w:t>
      </w:r>
      <w:r>
        <w:rPr>
          <w:spacing w:val="-7"/>
        </w:rPr>
        <w:t> </w:t>
      </w:r>
      <w:r>
        <w:rPr/>
        <w:t>pompe</w:t>
      </w:r>
      <w:r>
        <w:rPr>
          <w:spacing w:val="-10"/>
        </w:rPr>
        <w:t> </w:t>
      </w:r>
      <w:r>
        <w:rPr/>
        <w:t>Na/K</w:t>
      </w:r>
      <w:r>
        <w:rPr>
          <w:spacing w:val="-6"/>
        </w:rPr>
        <w:t> </w:t>
      </w:r>
      <w:r>
        <w:rPr/>
        <w:t>favorise</w:t>
      </w:r>
      <w:r>
        <w:rPr>
          <w:spacing w:val="-10"/>
        </w:rPr>
        <w:t> </w:t>
      </w:r>
      <w:r>
        <w:rPr/>
        <w:t>l’export</w:t>
      </w:r>
      <w:r>
        <w:rPr>
          <w:spacing w:val="-9"/>
        </w:rPr>
        <w:t> </w:t>
      </w:r>
      <w:r>
        <w:rPr/>
        <w:t>de</w:t>
      </w:r>
      <w:r>
        <w:rPr>
          <w:spacing w:val="-10"/>
        </w:rPr>
        <w:t> </w:t>
      </w:r>
      <w:r>
        <w:rPr/>
        <w:t>sodium</w:t>
      </w:r>
      <w:r>
        <w:rPr>
          <w:spacing w:val="-8"/>
        </w:rPr>
        <w:t> </w:t>
      </w:r>
      <w:r>
        <w:rPr/>
        <w:t>qui</w:t>
      </w:r>
      <w:r>
        <w:rPr>
          <w:spacing w:val="-8"/>
        </w:rPr>
        <w:t> </w:t>
      </w:r>
      <w:r>
        <w:rPr/>
        <w:t>sinon s’accumulerait dans la cellule de par l’activité de NHE et</w:t>
      </w:r>
      <w:r>
        <w:rPr>
          <w:spacing w:val="-12"/>
        </w:rPr>
        <w:t> </w:t>
      </w:r>
      <w:r>
        <w:rPr/>
        <w:t>NBC.</w:t>
      </w:r>
    </w:p>
    <w:p>
      <w:pPr>
        <w:pStyle w:val="BodyText"/>
        <w:rPr>
          <w:sz w:val="12"/>
        </w:rPr>
      </w:pPr>
      <w:r>
        <w:rPr/>
        <w:drawing>
          <wp:anchor distT="0" distB="0" distL="0" distR="0" allowOverlap="1" layoutInCell="1" locked="0" behindDoc="0" simplePos="0" relativeHeight="1528">
            <wp:simplePos x="0" y="0"/>
            <wp:positionH relativeFrom="page">
              <wp:posOffset>2218054</wp:posOffset>
            </wp:positionH>
            <wp:positionV relativeFrom="paragraph">
              <wp:posOffset>112827</wp:posOffset>
            </wp:positionV>
            <wp:extent cx="3107994" cy="2752344"/>
            <wp:effectExtent l="0" t="0" r="0" b="0"/>
            <wp:wrapTopAndBottom/>
            <wp:docPr id="53" name="image25.jpeg" descr=""/>
            <wp:cNvGraphicFramePr>
              <a:graphicFrameLocks noChangeAspect="1"/>
            </wp:cNvGraphicFramePr>
            <a:graphic>
              <a:graphicData uri="http://schemas.openxmlformats.org/drawingml/2006/picture">
                <pic:pic>
                  <pic:nvPicPr>
                    <pic:cNvPr id="54" name="image25.jpeg"/>
                    <pic:cNvPicPr/>
                  </pic:nvPicPr>
                  <pic:blipFill>
                    <a:blip r:embed="rId31" cstate="print"/>
                    <a:stretch>
                      <a:fillRect/>
                    </a:stretch>
                  </pic:blipFill>
                  <pic:spPr>
                    <a:xfrm>
                      <a:off x="0" y="0"/>
                      <a:ext cx="3107994" cy="2752344"/>
                    </a:xfrm>
                    <a:prstGeom prst="rect">
                      <a:avLst/>
                    </a:prstGeom>
                  </pic:spPr>
                </pic:pic>
              </a:graphicData>
            </a:graphic>
          </wp:anchor>
        </w:drawing>
      </w:r>
    </w:p>
    <w:p>
      <w:pPr>
        <w:spacing w:line="506" w:lineRule="auto" w:before="192"/>
        <w:ind w:left="3325" w:right="3323" w:firstLine="0"/>
        <w:jc w:val="center"/>
        <w:rPr>
          <w:i/>
          <w:sz w:val="18"/>
        </w:rPr>
      </w:pPr>
      <w:bookmarkStart w:name="_bookmark69" w:id="109"/>
      <w:bookmarkEnd w:id="109"/>
      <w:r>
        <w:rPr/>
      </w:r>
      <w:r>
        <w:rPr>
          <w:i/>
          <w:color w:val="44536A"/>
          <w:sz w:val="18"/>
        </w:rPr>
        <w:t>Figure 21 : Les efflux de protons. </w:t>
      </w:r>
      <w:r>
        <w:rPr>
          <w:i/>
          <w:color w:val="44536A"/>
          <w:sz w:val="18"/>
        </w:rPr>
        <w:t>D'après Porporato et al., 2011</w:t>
      </w:r>
    </w:p>
    <w:p>
      <w:pPr>
        <w:pStyle w:val="BodyText"/>
        <w:rPr>
          <w:i/>
          <w:sz w:val="20"/>
        </w:rPr>
      </w:pPr>
    </w:p>
    <w:p>
      <w:pPr>
        <w:pStyle w:val="BodyText"/>
        <w:spacing w:before="9"/>
        <w:rPr>
          <w:i/>
          <w:sz w:val="20"/>
        </w:rPr>
      </w:pPr>
    </w:p>
    <w:p>
      <w:pPr>
        <w:pStyle w:val="Heading3"/>
        <w:numPr>
          <w:ilvl w:val="1"/>
          <w:numId w:val="4"/>
        </w:numPr>
        <w:tabs>
          <w:tab w:pos="1610" w:val="left" w:leader="none"/>
          <w:tab w:pos="2251" w:val="left" w:leader="none"/>
          <w:tab w:pos="3515" w:val="left" w:leader="none"/>
          <w:tab w:pos="4355" w:val="left" w:leader="none"/>
          <w:tab w:pos="5791" w:val="left" w:leader="none"/>
          <w:tab w:pos="6230" w:val="left" w:leader="none"/>
          <w:tab w:pos="8029" w:val="left" w:leader="none"/>
          <w:tab w:pos="8751" w:val="left" w:leader="none"/>
        </w:tabs>
        <w:spacing w:line="278" w:lineRule="auto" w:before="0" w:after="0"/>
        <w:ind w:left="1609" w:right="116" w:hanging="360"/>
        <w:jc w:val="left"/>
      </w:pPr>
      <w:bookmarkStart w:name="_bookmark70" w:id="110"/>
      <w:bookmarkEnd w:id="110"/>
      <w:r>
        <w:rPr>
          <w:b w:val="0"/>
        </w:rPr>
      </w:r>
      <w:bookmarkStart w:name="_bookmark70" w:id="111"/>
      <w:bookmarkEnd w:id="111"/>
      <w:r>
        <w:rPr/>
        <w:t>Les</w:t>
      </w:r>
      <w:r>
        <w:rPr/>
        <w:tab/>
        <w:t>relations</w:t>
        <w:tab/>
        <w:t>entre</w:t>
        <w:tab/>
        <w:t>oncogènes</w:t>
        <w:tab/>
        <w:t>et</w:t>
        <w:tab/>
        <w:t>métabolisme,</w:t>
        <w:tab/>
        <w:t>vers</w:t>
        <w:tab/>
        <w:t>une explication de l’origine du cancer</w:t>
      </w:r>
      <w:r>
        <w:rPr>
          <w:spacing w:val="-13"/>
        </w:rPr>
        <w:t> </w:t>
      </w:r>
      <w:r>
        <w:rPr/>
        <w:t>?</w:t>
      </w:r>
    </w:p>
    <w:p>
      <w:pPr>
        <w:pStyle w:val="BodyText"/>
        <w:rPr>
          <w:b/>
          <w:sz w:val="41"/>
        </w:rPr>
      </w:pPr>
    </w:p>
    <w:p>
      <w:pPr>
        <w:pStyle w:val="ListParagraph"/>
        <w:numPr>
          <w:ilvl w:val="0"/>
          <w:numId w:val="12"/>
        </w:numPr>
        <w:tabs>
          <w:tab w:pos="1110" w:val="left" w:leader="none"/>
        </w:tabs>
        <w:spacing w:line="240" w:lineRule="auto" w:before="0" w:after="0"/>
        <w:ind w:left="1110" w:right="0" w:hanging="360"/>
        <w:jc w:val="left"/>
        <w:rPr>
          <w:sz w:val="24"/>
        </w:rPr>
      </w:pPr>
      <w:bookmarkStart w:name="_bookmark71" w:id="112"/>
      <w:bookmarkEnd w:id="112"/>
      <w:r>
        <w:rPr/>
      </w:r>
      <w:bookmarkStart w:name="_bookmark71" w:id="113"/>
      <w:bookmarkEnd w:id="113"/>
      <w:r>
        <w:rPr>
          <w:sz w:val="24"/>
          <w:u w:val="single"/>
        </w:rPr>
        <w:t>L</w:t>
      </w:r>
      <w:r>
        <w:rPr>
          <w:sz w:val="24"/>
          <w:u w:val="single"/>
        </w:rPr>
        <w:t>’importance de la</w:t>
      </w:r>
      <w:r>
        <w:rPr>
          <w:spacing w:val="-5"/>
          <w:sz w:val="24"/>
          <w:u w:val="single"/>
        </w:rPr>
        <w:t> </w:t>
      </w:r>
      <w:r>
        <w:rPr>
          <w:sz w:val="24"/>
          <w:u w:val="single"/>
        </w:rPr>
        <w:t>génétique</w:t>
      </w:r>
    </w:p>
    <w:p>
      <w:pPr>
        <w:pStyle w:val="BodyText"/>
        <w:rPr>
          <w:sz w:val="20"/>
        </w:rPr>
      </w:pPr>
    </w:p>
    <w:p>
      <w:pPr>
        <w:pStyle w:val="BodyText"/>
        <w:spacing w:before="3"/>
        <w:rPr>
          <w:sz w:val="17"/>
        </w:rPr>
      </w:pPr>
    </w:p>
    <w:p>
      <w:pPr>
        <w:pStyle w:val="BodyText"/>
        <w:spacing w:line="276" w:lineRule="auto" w:before="90"/>
        <w:ind w:left="116" w:right="115" w:firstLine="707"/>
        <w:jc w:val="both"/>
      </w:pPr>
      <w:r>
        <w:rPr/>
        <w:t>L’intensité de la glycolyse dans les cellules cancéreuses serait due à l’activation d’oncogènes</w:t>
      </w:r>
      <w:r>
        <w:rPr>
          <w:spacing w:val="-14"/>
        </w:rPr>
        <w:t> </w:t>
      </w:r>
      <w:r>
        <w:rPr/>
        <w:t>suite</w:t>
      </w:r>
      <w:r>
        <w:rPr>
          <w:spacing w:val="-15"/>
        </w:rPr>
        <w:t> </w:t>
      </w:r>
      <w:r>
        <w:rPr/>
        <w:t>à</w:t>
      </w:r>
      <w:r>
        <w:rPr>
          <w:spacing w:val="-15"/>
        </w:rPr>
        <w:t> </w:t>
      </w:r>
      <w:r>
        <w:rPr/>
        <w:t>des</w:t>
      </w:r>
      <w:r>
        <w:rPr>
          <w:spacing w:val="-12"/>
        </w:rPr>
        <w:t> </w:t>
      </w:r>
      <w:r>
        <w:rPr/>
        <w:t>mutations,</w:t>
      </w:r>
      <w:r>
        <w:rPr>
          <w:spacing w:val="-14"/>
        </w:rPr>
        <w:t> </w:t>
      </w:r>
      <w:r>
        <w:rPr/>
        <w:t>et</w:t>
      </w:r>
      <w:r>
        <w:rPr>
          <w:spacing w:val="-14"/>
        </w:rPr>
        <w:t> </w:t>
      </w:r>
      <w:r>
        <w:rPr/>
        <w:t>à</w:t>
      </w:r>
      <w:r>
        <w:rPr>
          <w:spacing w:val="-15"/>
        </w:rPr>
        <w:t> </w:t>
      </w:r>
      <w:r>
        <w:rPr/>
        <w:t>la</w:t>
      </w:r>
      <w:r>
        <w:rPr>
          <w:spacing w:val="-15"/>
        </w:rPr>
        <w:t> </w:t>
      </w:r>
      <w:r>
        <w:rPr/>
        <w:t>perte</w:t>
      </w:r>
      <w:r>
        <w:rPr>
          <w:spacing w:val="-16"/>
        </w:rPr>
        <w:t> </w:t>
      </w:r>
      <w:r>
        <w:rPr/>
        <w:t>d’expression</w:t>
      </w:r>
      <w:r>
        <w:rPr>
          <w:spacing w:val="-13"/>
        </w:rPr>
        <w:t> </w:t>
      </w:r>
      <w:r>
        <w:rPr/>
        <w:t>des</w:t>
      </w:r>
      <w:r>
        <w:rPr>
          <w:spacing w:val="-14"/>
        </w:rPr>
        <w:t> </w:t>
      </w:r>
      <w:r>
        <w:rPr/>
        <w:t>gènes</w:t>
      </w:r>
      <w:r>
        <w:rPr>
          <w:spacing w:val="-14"/>
        </w:rPr>
        <w:t> </w:t>
      </w:r>
      <w:r>
        <w:rPr/>
        <w:t>suppresseurs</w:t>
      </w:r>
      <w:r>
        <w:rPr>
          <w:spacing w:val="-14"/>
        </w:rPr>
        <w:t> </w:t>
      </w:r>
      <w:r>
        <w:rPr/>
        <w:t>de</w:t>
      </w:r>
      <w:r>
        <w:rPr>
          <w:spacing w:val="-15"/>
        </w:rPr>
        <w:t> </w:t>
      </w:r>
      <w:r>
        <w:rPr/>
        <w:t>tumeurs. Parmi ces mutations, la voie PI3K-Akt, c-Myc et p53 peuvent altérer le métabolisme biochimique (Chen et Russo,</w:t>
      </w:r>
      <w:r>
        <w:rPr>
          <w:spacing w:val="-5"/>
        </w:rPr>
        <w:t> </w:t>
      </w:r>
      <w:r>
        <w:rPr/>
        <w:t>2012).</w:t>
      </w:r>
    </w:p>
    <w:p>
      <w:pPr>
        <w:pStyle w:val="BodyText"/>
        <w:spacing w:line="276" w:lineRule="auto" w:before="1"/>
        <w:ind w:left="116" w:right="116" w:firstLine="707"/>
        <w:jc w:val="both"/>
      </w:pPr>
      <w:r>
        <w:rPr/>
        <w:t>Par exemple, le gène </w:t>
      </w:r>
      <w:r>
        <w:rPr>
          <w:i/>
        </w:rPr>
        <w:t>c-myc </w:t>
      </w:r>
      <w:r>
        <w:rPr/>
        <w:t>apparaît surexprimé dans de nombreux cancers, et régule l’expression</w:t>
      </w:r>
      <w:r>
        <w:rPr>
          <w:spacing w:val="-5"/>
        </w:rPr>
        <w:t> </w:t>
      </w:r>
      <w:r>
        <w:rPr/>
        <w:t>de</w:t>
      </w:r>
      <w:r>
        <w:rPr>
          <w:spacing w:val="-6"/>
        </w:rPr>
        <w:t> </w:t>
      </w:r>
      <w:r>
        <w:rPr/>
        <w:t>nombreux</w:t>
      </w:r>
      <w:r>
        <w:rPr>
          <w:spacing w:val="-3"/>
        </w:rPr>
        <w:t> </w:t>
      </w:r>
      <w:r>
        <w:rPr/>
        <w:t>gènes</w:t>
      </w:r>
      <w:r>
        <w:rPr>
          <w:spacing w:val="-3"/>
        </w:rPr>
        <w:t> </w:t>
      </w:r>
      <w:r>
        <w:rPr/>
        <w:t>en</w:t>
      </w:r>
      <w:r>
        <w:rPr>
          <w:spacing w:val="-5"/>
        </w:rPr>
        <w:t> </w:t>
      </w:r>
      <w:r>
        <w:rPr/>
        <w:t>lien</w:t>
      </w:r>
      <w:r>
        <w:rPr>
          <w:spacing w:val="-2"/>
        </w:rPr>
        <w:t> </w:t>
      </w:r>
      <w:r>
        <w:rPr/>
        <w:t>avec</w:t>
      </w:r>
      <w:r>
        <w:rPr>
          <w:spacing w:val="-4"/>
        </w:rPr>
        <w:t> </w:t>
      </w:r>
      <w:r>
        <w:rPr/>
        <w:t>le</w:t>
      </w:r>
      <w:r>
        <w:rPr>
          <w:spacing w:val="-5"/>
        </w:rPr>
        <w:t> </w:t>
      </w:r>
      <w:r>
        <w:rPr/>
        <w:t>métabolisme</w:t>
      </w:r>
      <w:r>
        <w:rPr>
          <w:spacing w:val="-5"/>
        </w:rPr>
        <w:t> </w:t>
      </w:r>
      <w:r>
        <w:rPr/>
        <w:t>énergétique</w:t>
      </w:r>
      <w:r>
        <w:rPr>
          <w:spacing w:val="-6"/>
        </w:rPr>
        <w:t> </w:t>
      </w:r>
      <w:r>
        <w:rPr/>
        <w:t>tels</w:t>
      </w:r>
      <w:r>
        <w:rPr>
          <w:spacing w:val="-4"/>
        </w:rPr>
        <w:t> </w:t>
      </w:r>
      <w:r>
        <w:rPr/>
        <w:t>ceux</w:t>
      </w:r>
      <w:r>
        <w:rPr>
          <w:spacing w:val="-3"/>
        </w:rPr>
        <w:t> </w:t>
      </w:r>
      <w:r>
        <w:rPr/>
        <w:t>de</w:t>
      </w:r>
      <w:r>
        <w:rPr>
          <w:spacing w:val="-1"/>
        </w:rPr>
        <w:t> </w:t>
      </w:r>
      <w:r>
        <w:rPr/>
        <w:t>l’HK,</w:t>
      </w:r>
      <w:r>
        <w:rPr>
          <w:spacing w:val="-5"/>
        </w:rPr>
        <w:t> </w:t>
      </w:r>
      <w:r>
        <w:rPr/>
        <w:t>de la GAPDH, de la PKM2, et de la LDH. Cette surexpression renforce l’effet Warburg. De plus, c-Myc</w:t>
      </w:r>
      <w:r>
        <w:rPr>
          <w:spacing w:val="-7"/>
        </w:rPr>
        <w:t> </w:t>
      </w:r>
      <w:r>
        <w:rPr/>
        <w:t>favoriserait</w:t>
      </w:r>
      <w:r>
        <w:rPr>
          <w:spacing w:val="-8"/>
        </w:rPr>
        <w:t> </w:t>
      </w:r>
      <w:r>
        <w:rPr/>
        <w:t>la</w:t>
      </w:r>
      <w:r>
        <w:rPr>
          <w:spacing w:val="-4"/>
        </w:rPr>
        <w:t> </w:t>
      </w:r>
      <w:r>
        <w:rPr/>
        <w:t>glutaminolyse</w:t>
      </w:r>
      <w:r>
        <w:rPr>
          <w:spacing w:val="-9"/>
        </w:rPr>
        <w:t> </w:t>
      </w:r>
      <w:r>
        <w:rPr/>
        <w:t>mitochondriale,</w:t>
      </w:r>
      <w:r>
        <w:rPr>
          <w:spacing w:val="-9"/>
        </w:rPr>
        <w:t> </w:t>
      </w:r>
      <w:r>
        <w:rPr/>
        <w:t>permettant</w:t>
      </w:r>
      <w:r>
        <w:rPr>
          <w:spacing w:val="-8"/>
        </w:rPr>
        <w:t> </w:t>
      </w:r>
      <w:r>
        <w:rPr/>
        <w:t>ainsi</w:t>
      </w:r>
      <w:r>
        <w:rPr>
          <w:spacing w:val="-7"/>
        </w:rPr>
        <w:t> </w:t>
      </w:r>
      <w:r>
        <w:rPr/>
        <w:t>l’apport</w:t>
      </w:r>
      <w:r>
        <w:rPr>
          <w:spacing w:val="-9"/>
        </w:rPr>
        <w:t> </w:t>
      </w:r>
      <w:r>
        <w:rPr/>
        <w:t>suffisant</w:t>
      </w:r>
      <w:r>
        <w:rPr>
          <w:spacing w:val="-6"/>
        </w:rPr>
        <w:t> </w:t>
      </w:r>
      <w:r>
        <w:rPr/>
        <w:t>en</w:t>
      </w:r>
      <w:r>
        <w:rPr>
          <w:spacing w:val="-8"/>
        </w:rPr>
        <w:t> </w:t>
      </w:r>
      <w:r>
        <w:rPr/>
        <w:t>ATP pour la cellule cancéreuse (Wise et al.,</w:t>
      </w:r>
      <w:r>
        <w:rPr>
          <w:spacing w:val="-9"/>
        </w:rPr>
        <w:t> </w:t>
      </w:r>
      <w:r>
        <w:rPr/>
        <w:t>2008).</w:t>
      </w:r>
    </w:p>
    <w:p>
      <w:pPr>
        <w:spacing w:after="0" w:line="276" w:lineRule="auto"/>
        <w:jc w:val="both"/>
        <w:sectPr>
          <w:pgSz w:w="11910" w:h="16840"/>
          <w:pgMar w:header="0" w:footer="995" w:top="1320" w:bottom="1240" w:left="1300" w:right="1300"/>
        </w:sectPr>
      </w:pPr>
    </w:p>
    <w:p>
      <w:pPr>
        <w:pStyle w:val="BodyText"/>
        <w:spacing w:line="278" w:lineRule="auto" w:before="72"/>
        <w:ind w:left="116" w:right="113" w:firstLine="707"/>
        <w:jc w:val="both"/>
      </w:pPr>
      <w:r>
        <w:rPr/>
        <w:t>Nous avons développé l’implication de la protéine Akt précédemment (II.D), ainsi que l’importance de la voie PI3K-Akt.</w:t>
      </w:r>
    </w:p>
    <w:p>
      <w:pPr>
        <w:pStyle w:val="BodyText"/>
        <w:spacing w:before="4"/>
        <w:rPr>
          <w:sz w:val="27"/>
        </w:rPr>
      </w:pPr>
    </w:p>
    <w:p>
      <w:pPr>
        <w:pStyle w:val="BodyText"/>
        <w:spacing w:line="276" w:lineRule="auto"/>
        <w:ind w:left="116" w:right="113" w:firstLine="707"/>
        <w:jc w:val="both"/>
      </w:pPr>
      <w:r>
        <w:rPr/>
        <w:t>Enfin, la protéine p53, dont le gène est un des plus fréquemment mutés quel que soit le type de cancer, agit comme inhibiteur de la glycolyse (Vousden et Ryan, 2009), </w:t>
      </w:r>
      <w:r>
        <w:rPr>
          <w:i/>
        </w:rPr>
        <w:t>via </w:t>
      </w:r>
      <w:r>
        <w:rPr/>
        <w:t>une augmentation de l’expression de l’enzyme fructose-2,6-biphosphatase TIGAR (TP53-induced glycolysis and apoptosis regulator) (Figure 22). La perte d’activité de la protéine p53 participe à la spécificité de la glycolyse anaérobie des cellules cancéreuses et à la diminution des phosphorylations oxydatives (Bensinger et Christofk, 2012) car p53 active la synthèse de la cytochrome c oxydase 2 (enzyme impliquée dans la chaîne de transporteur d’électrons).</w:t>
      </w:r>
    </w:p>
    <w:p>
      <w:pPr>
        <w:pStyle w:val="BodyText"/>
        <w:spacing w:before="7"/>
      </w:pPr>
      <w:r>
        <w:rPr/>
        <w:drawing>
          <wp:anchor distT="0" distB="0" distL="0" distR="0" allowOverlap="1" layoutInCell="1" locked="0" behindDoc="0" simplePos="0" relativeHeight="1552">
            <wp:simplePos x="0" y="0"/>
            <wp:positionH relativeFrom="page">
              <wp:posOffset>1480819</wp:posOffset>
            </wp:positionH>
            <wp:positionV relativeFrom="paragraph">
              <wp:posOffset>205061</wp:posOffset>
            </wp:positionV>
            <wp:extent cx="5059671" cy="2920365"/>
            <wp:effectExtent l="0" t="0" r="0" b="0"/>
            <wp:wrapTopAndBottom/>
            <wp:docPr id="55" name="image26.jpeg" descr=""/>
            <wp:cNvGraphicFramePr>
              <a:graphicFrameLocks noChangeAspect="1"/>
            </wp:cNvGraphicFramePr>
            <a:graphic>
              <a:graphicData uri="http://schemas.openxmlformats.org/drawingml/2006/picture">
                <pic:pic>
                  <pic:nvPicPr>
                    <pic:cNvPr id="56" name="image26.jpeg"/>
                    <pic:cNvPicPr/>
                  </pic:nvPicPr>
                  <pic:blipFill>
                    <a:blip r:embed="rId32" cstate="print"/>
                    <a:stretch>
                      <a:fillRect/>
                    </a:stretch>
                  </pic:blipFill>
                  <pic:spPr>
                    <a:xfrm>
                      <a:off x="0" y="0"/>
                      <a:ext cx="5059671" cy="2920365"/>
                    </a:xfrm>
                    <a:prstGeom prst="rect">
                      <a:avLst/>
                    </a:prstGeom>
                  </pic:spPr>
                </pic:pic>
              </a:graphicData>
            </a:graphic>
          </wp:anchor>
        </w:drawing>
      </w:r>
    </w:p>
    <w:p>
      <w:pPr>
        <w:spacing w:before="158"/>
        <w:ind w:left="2439" w:right="0" w:firstLine="0"/>
        <w:jc w:val="left"/>
        <w:rPr>
          <w:i/>
          <w:sz w:val="18"/>
        </w:rPr>
      </w:pPr>
      <w:bookmarkStart w:name="_bookmark72" w:id="114"/>
      <w:bookmarkEnd w:id="114"/>
      <w:r>
        <w:rPr/>
      </w:r>
      <w:r>
        <w:rPr>
          <w:i/>
          <w:color w:val="44536A"/>
          <w:sz w:val="18"/>
        </w:rPr>
        <w:t>Figure 22 : La régulation du métabolisme par les oncogènes.  D’après Jang et al., 2013.</w:t>
      </w:r>
    </w:p>
    <w:p>
      <w:pPr>
        <w:pStyle w:val="BodyText"/>
        <w:spacing w:before="2"/>
        <w:rPr>
          <w:i/>
          <w:sz w:val="12"/>
        </w:rPr>
      </w:pPr>
    </w:p>
    <w:p>
      <w:pPr>
        <w:pStyle w:val="BodyText"/>
        <w:spacing w:line="276" w:lineRule="auto" w:before="90"/>
        <w:ind w:left="116" w:right="115" w:firstLine="707"/>
        <w:jc w:val="both"/>
      </w:pPr>
      <w:r>
        <w:rPr/>
        <w:t>D’autres théories soutiennent que les particularités du métabolisme énergétique sont à l’origine même du cancer, et que les mutations génétiques ne sont qu’une conséquence. Détaillons un instant ces arguments, qui apportent des précisions sur le métabolisme de la cellule tumorale.</w:t>
      </w:r>
    </w:p>
    <w:p>
      <w:pPr>
        <w:pStyle w:val="BodyText"/>
        <w:rPr>
          <w:sz w:val="26"/>
        </w:rPr>
      </w:pPr>
    </w:p>
    <w:p>
      <w:pPr>
        <w:pStyle w:val="BodyText"/>
        <w:spacing w:before="6"/>
        <w:rPr>
          <w:sz w:val="29"/>
        </w:rPr>
      </w:pPr>
    </w:p>
    <w:p>
      <w:pPr>
        <w:pStyle w:val="ListParagraph"/>
        <w:numPr>
          <w:ilvl w:val="0"/>
          <w:numId w:val="12"/>
        </w:numPr>
        <w:tabs>
          <w:tab w:pos="1110" w:val="left" w:leader="none"/>
        </w:tabs>
        <w:spacing w:line="240" w:lineRule="auto" w:before="0" w:after="0"/>
        <w:ind w:left="1110" w:right="0" w:hanging="360"/>
        <w:jc w:val="left"/>
        <w:rPr>
          <w:sz w:val="24"/>
        </w:rPr>
      </w:pPr>
      <w:bookmarkStart w:name="_bookmark73" w:id="115"/>
      <w:bookmarkEnd w:id="115"/>
      <w:r>
        <w:rPr/>
      </w:r>
      <w:bookmarkStart w:name="_bookmark73" w:id="116"/>
      <w:bookmarkEnd w:id="116"/>
      <w:r>
        <w:rPr>
          <w:sz w:val="24"/>
          <w:u w:val="single"/>
        </w:rPr>
        <w:t>L</w:t>
      </w:r>
      <w:r>
        <w:rPr>
          <w:sz w:val="24"/>
          <w:u w:val="single"/>
        </w:rPr>
        <w:t>’importance des aspects</w:t>
      </w:r>
      <w:r>
        <w:rPr>
          <w:spacing w:val="-8"/>
          <w:sz w:val="24"/>
          <w:u w:val="single"/>
        </w:rPr>
        <w:t> </w:t>
      </w:r>
      <w:r>
        <w:rPr>
          <w:sz w:val="24"/>
          <w:u w:val="single"/>
        </w:rPr>
        <w:t>métaboliques</w:t>
      </w:r>
    </w:p>
    <w:p>
      <w:pPr>
        <w:pStyle w:val="BodyText"/>
        <w:rPr>
          <w:sz w:val="20"/>
        </w:rPr>
      </w:pPr>
    </w:p>
    <w:p>
      <w:pPr>
        <w:pStyle w:val="BodyText"/>
        <w:spacing w:before="5"/>
        <w:rPr>
          <w:sz w:val="17"/>
        </w:rPr>
      </w:pPr>
    </w:p>
    <w:p>
      <w:pPr>
        <w:pStyle w:val="BodyText"/>
        <w:spacing w:line="276" w:lineRule="auto" w:before="90"/>
        <w:ind w:left="116" w:right="113" w:firstLine="707"/>
        <w:jc w:val="both"/>
      </w:pPr>
      <w:r>
        <w:rPr/>
        <w:t>D’après Seyfried (2012), les perturbations mitochondriales sont trop importantes pour permettre</w:t>
      </w:r>
      <w:r>
        <w:rPr>
          <w:spacing w:val="-11"/>
        </w:rPr>
        <w:t> </w:t>
      </w:r>
      <w:r>
        <w:rPr/>
        <w:t>le</w:t>
      </w:r>
      <w:r>
        <w:rPr>
          <w:spacing w:val="-8"/>
        </w:rPr>
        <w:t> </w:t>
      </w:r>
      <w:r>
        <w:rPr/>
        <w:t>fonctionnement</w:t>
      </w:r>
      <w:r>
        <w:rPr>
          <w:spacing w:val="-9"/>
        </w:rPr>
        <w:t> </w:t>
      </w:r>
      <w:r>
        <w:rPr/>
        <w:t>correct</w:t>
      </w:r>
      <w:r>
        <w:rPr>
          <w:spacing w:val="-9"/>
        </w:rPr>
        <w:t> </w:t>
      </w:r>
      <w:r>
        <w:rPr/>
        <w:t>des</w:t>
      </w:r>
      <w:r>
        <w:rPr>
          <w:spacing w:val="-9"/>
        </w:rPr>
        <w:t> </w:t>
      </w:r>
      <w:r>
        <w:rPr/>
        <w:t>phosphorylations</w:t>
      </w:r>
      <w:r>
        <w:rPr>
          <w:spacing w:val="-9"/>
        </w:rPr>
        <w:t> </w:t>
      </w:r>
      <w:r>
        <w:rPr/>
        <w:t>oxydatives</w:t>
      </w:r>
      <w:r>
        <w:rPr>
          <w:spacing w:val="-6"/>
        </w:rPr>
        <w:t> </w:t>
      </w:r>
      <w:r>
        <w:rPr/>
        <w:t>(Seyfried,</w:t>
      </w:r>
      <w:r>
        <w:rPr>
          <w:spacing w:val="-10"/>
        </w:rPr>
        <w:t> </w:t>
      </w:r>
      <w:r>
        <w:rPr/>
        <w:t>2012.</w:t>
      </w:r>
      <w:r>
        <w:rPr>
          <w:spacing w:val="-8"/>
        </w:rPr>
        <w:t> </w:t>
      </w:r>
      <w:r>
        <w:rPr/>
        <w:t>Chapitre 5 : « Respiratory Dysfunction in Cancer Cells </w:t>
      </w:r>
      <w:r>
        <w:rPr>
          <w:spacing w:val="-3"/>
        </w:rPr>
        <w:t>»). </w:t>
      </w:r>
      <w:r>
        <w:rPr/>
        <w:t>En effet, comme le détaille Pedersen, les modifications de structure, de forme et de composition des mitochondries ne permettraient pas leur fonctionnement normal. Les mitochondries des cellules cancéreuses sont en effet moins nombreuses, avec moins de crêtes mitochondriales indispensables au bon fonctionnement des phosphorylations oxydatives. Plus les mitochondries apparaissent modifiées, plus la tumeur étudiée semble agressive (Pedersen,</w:t>
      </w:r>
      <w:r>
        <w:rPr>
          <w:spacing w:val="-7"/>
        </w:rPr>
        <w:t> </w:t>
      </w:r>
      <w:r>
        <w:rPr/>
        <w:t>2007).</w:t>
      </w:r>
    </w:p>
    <w:p>
      <w:pPr>
        <w:spacing w:after="0" w:line="276" w:lineRule="auto"/>
        <w:jc w:val="both"/>
        <w:sectPr>
          <w:pgSz w:w="11910" w:h="16840"/>
          <w:pgMar w:header="0" w:footer="995" w:top="1320" w:bottom="1240" w:left="1300" w:right="1300"/>
        </w:sectPr>
      </w:pPr>
    </w:p>
    <w:p>
      <w:pPr>
        <w:pStyle w:val="BodyText"/>
        <w:spacing w:line="276" w:lineRule="auto" w:before="72"/>
        <w:ind w:left="116" w:right="118" w:firstLine="707"/>
        <w:jc w:val="both"/>
      </w:pPr>
      <w:r>
        <w:rPr/>
        <w:t>Selon Seyfried et al., l’insuffisance respiratoire conduit à une dépendance de la cellule envers les phosphorylations non oxydatives pour l’approvisionnement en énergie et pour la survie. Elle est due à l’effet cumulatif de facteurs environnementaux et génétiques qui altèrent la fonction mitochondriale (Seyfried et al., 2014).</w:t>
      </w:r>
    </w:p>
    <w:p>
      <w:pPr>
        <w:pStyle w:val="BodyText"/>
        <w:spacing w:line="276" w:lineRule="auto"/>
        <w:ind w:left="116" w:right="115" w:firstLine="707"/>
        <w:jc w:val="both"/>
      </w:pPr>
      <w:r>
        <w:rPr/>
        <w:t>Les mutations génétiques étant trop disparates, les perturbations mitochondriales seraient à l’origine des mutations, </w:t>
      </w:r>
      <w:r>
        <w:rPr>
          <w:i/>
        </w:rPr>
        <w:t>via </w:t>
      </w:r>
      <w:r>
        <w:rPr/>
        <w:t>le phénomène de réponse rétrograde (signaux épigénétiques émis de la mitochondrie vers le noyau). Seyfried s’appuie sur l’expérience suivante pour démontrer sa thèse, où le transfert d’un noyau issu d’une cellule tumorale dans un</w:t>
      </w:r>
      <w:r>
        <w:rPr>
          <w:spacing w:val="-7"/>
        </w:rPr>
        <w:t> </w:t>
      </w:r>
      <w:r>
        <w:rPr/>
        <w:t>cytoplasme</w:t>
      </w:r>
      <w:r>
        <w:rPr>
          <w:spacing w:val="-8"/>
        </w:rPr>
        <w:t> </w:t>
      </w:r>
      <w:r>
        <w:rPr/>
        <w:t>de</w:t>
      </w:r>
      <w:r>
        <w:rPr>
          <w:spacing w:val="-8"/>
        </w:rPr>
        <w:t> </w:t>
      </w:r>
      <w:r>
        <w:rPr/>
        <w:t>cellule</w:t>
      </w:r>
      <w:r>
        <w:rPr>
          <w:spacing w:val="-8"/>
        </w:rPr>
        <w:t> </w:t>
      </w:r>
      <w:r>
        <w:rPr/>
        <w:t>saine</w:t>
      </w:r>
      <w:r>
        <w:rPr>
          <w:spacing w:val="-8"/>
        </w:rPr>
        <w:t> </w:t>
      </w:r>
      <w:r>
        <w:rPr/>
        <w:t>conduit</w:t>
      </w:r>
      <w:r>
        <w:rPr>
          <w:spacing w:val="-7"/>
        </w:rPr>
        <w:t> </w:t>
      </w:r>
      <w:r>
        <w:rPr/>
        <w:t>à</w:t>
      </w:r>
      <w:r>
        <w:rPr>
          <w:spacing w:val="-8"/>
        </w:rPr>
        <w:t> </w:t>
      </w:r>
      <w:r>
        <w:rPr/>
        <w:t>l’obtention</w:t>
      </w:r>
      <w:r>
        <w:rPr>
          <w:spacing w:val="-7"/>
        </w:rPr>
        <w:t> </w:t>
      </w:r>
      <w:r>
        <w:rPr/>
        <w:t>de</w:t>
      </w:r>
      <w:r>
        <w:rPr>
          <w:spacing w:val="-8"/>
        </w:rPr>
        <w:t> </w:t>
      </w:r>
      <w:r>
        <w:rPr/>
        <w:t>cellules</w:t>
      </w:r>
      <w:r>
        <w:rPr>
          <w:spacing w:val="-8"/>
        </w:rPr>
        <w:t> </w:t>
      </w:r>
      <w:r>
        <w:rPr/>
        <w:t>saines</w:t>
      </w:r>
      <w:r>
        <w:rPr>
          <w:spacing w:val="-5"/>
        </w:rPr>
        <w:t> </w:t>
      </w:r>
      <w:r>
        <w:rPr/>
        <w:t>(expérience</w:t>
      </w:r>
      <w:r>
        <w:rPr>
          <w:spacing w:val="-8"/>
        </w:rPr>
        <w:t> </w:t>
      </w:r>
      <w:r>
        <w:rPr/>
        <w:t>3),</w:t>
      </w:r>
      <w:r>
        <w:rPr>
          <w:spacing w:val="-7"/>
        </w:rPr>
        <w:t> </w:t>
      </w:r>
      <w:r>
        <w:rPr/>
        <w:t>alors</w:t>
      </w:r>
      <w:r>
        <w:rPr>
          <w:spacing w:val="-7"/>
        </w:rPr>
        <w:t> </w:t>
      </w:r>
      <w:r>
        <w:rPr/>
        <w:t>que le</w:t>
      </w:r>
      <w:r>
        <w:rPr>
          <w:spacing w:val="-5"/>
        </w:rPr>
        <w:t> </w:t>
      </w:r>
      <w:r>
        <w:rPr/>
        <w:t>transfert</w:t>
      </w:r>
      <w:r>
        <w:rPr>
          <w:spacing w:val="-5"/>
        </w:rPr>
        <w:t> </w:t>
      </w:r>
      <w:r>
        <w:rPr/>
        <w:t>d’un</w:t>
      </w:r>
      <w:r>
        <w:rPr>
          <w:spacing w:val="-5"/>
        </w:rPr>
        <w:t> </w:t>
      </w:r>
      <w:r>
        <w:rPr/>
        <w:t>noyau</w:t>
      </w:r>
      <w:r>
        <w:rPr>
          <w:spacing w:val="-5"/>
        </w:rPr>
        <w:t> </w:t>
      </w:r>
      <w:r>
        <w:rPr/>
        <w:t>normal</w:t>
      </w:r>
      <w:r>
        <w:rPr>
          <w:spacing w:val="-4"/>
        </w:rPr>
        <w:t> </w:t>
      </w:r>
      <w:r>
        <w:rPr/>
        <w:t>dans</w:t>
      </w:r>
      <w:r>
        <w:rPr>
          <w:spacing w:val="-5"/>
        </w:rPr>
        <w:t> </w:t>
      </w:r>
      <w:r>
        <w:rPr/>
        <w:t>un</w:t>
      </w:r>
      <w:r>
        <w:rPr>
          <w:spacing w:val="-5"/>
        </w:rPr>
        <w:t> </w:t>
      </w:r>
      <w:r>
        <w:rPr/>
        <w:t>cytoplasme</w:t>
      </w:r>
      <w:r>
        <w:rPr>
          <w:spacing w:val="-6"/>
        </w:rPr>
        <w:t> </w:t>
      </w:r>
      <w:r>
        <w:rPr/>
        <w:t>de</w:t>
      </w:r>
      <w:r>
        <w:rPr>
          <w:spacing w:val="-6"/>
        </w:rPr>
        <w:t> </w:t>
      </w:r>
      <w:r>
        <w:rPr/>
        <w:t>cellule</w:t>
      </w:r>
      <w:r>
        <w:rPr>
          <w:spacing w:val="-5"/>
        </w:rPr>
        <w:t> </w:t>
      </w:r>
      <w:r>
        <w:rPr/>
        <w:t>tumorale</w:t>
      </w:r>
      <w:r>
        <w:rPr>
          <w:spacing w:val="-5"/>
        </w:rPr>
        <w:t> </w:t>
      </w:r>
      <w:r>
        <w:rPr/>
        <w:t>conduit</w:t>
      </w:r>
      <w:r>
        <w:rPr>
          <w:spacing w:val="-4"/>
        </w:rPr>
        <w:t> </w:t>
      </w:r>
      <w:r>
        <w:rPr/>
        <w:t>à</w:t>
      </w:r>
      <w:r>
        <w:rPr>
          <w:spacing w:val="-6"/>
        </w:rPr>
        <w:t> </w:t>
      </w:r>
      <w:r>
        <w:rPr/>
        <w:t>l’obtention</w:t>
      </w:r>
      <w:r>
        <w:rPr>
          <w:spacing w:val="-5"/>
        </w:rPr>
        <w:t> </w:t>
      </w:r>
      <w:r>
        <w:rPr/>
        <w:t>de cellules tumorales (expérience 4) (Figure</w:t>
      </w:r>
      <w:r>
        <w:rPr>
          <w:spacing w:val="-10"/>
        </w:rPr>
        <w:t> </w:t>
      </w:r>
      <w:r>
        <w:rPr/>
        <w:t>23).</w:t>
      </w:r>
    </w:p>
    <w:p>
      <w:pPr>
        <w:pStyle w:val="BodyText"/>
        <w:spacing w:before="8"/>
      </w:pPr>
      <w:r>
        <w:rPr/>
        <w:drawing>
          <wp:anchor distT="0" distB="0" distL="0" distR="0" allowOverlap="1" layoutInCell="1" locked="0" behindDoc="0" simplePos="0" relativeHeight="1576">
            <wp:simplePos x="0" y="0"/>
            <wp:positionH relativeFrom="page">
              <wp:posOffset>1365630</wp:posOffset>
            </wp:positionH>
            <wp:positionV relativeFrom="paragraph">
              <wp:posOffset>205105</wp:posOffset>
            </wp:positionV>
            <wp:extent cx="4835116" cy="1946433"/>
            <wp:effectExtent l="0" t="0" r="0" b="0"/>
            <wp:wrapTopAndBottom/>
            <wp:docPr id="57" name="image27.jpeg" descr=""/>
            <wp:cNvGraphicFramePr>
              <a:graphicFrameLocks noChangeAspect="1"/>
            </wp:cNvGraphicFramePr>
            <a:graphic>
              <a:graphicData uri="http://schemas.openxmlformats.org/drawingml/2006/picture">
                <pic:pic>
                  <pic:nvPicPr>
                    <pic:cNvPr id="58" name="image27.jpeg"/>
                    <pic:cNvPicPr/>
                  </pic:nvPicPr>
                  <pic:blipFill>
                    <a:blip r:embed="rId33" cstate="print"/>
                    <a:stretch>
                      <a:fillRect/>
                    </a:stretch>
                  </pic:blipFill>
                  <pic:spPr>
                    <a:xfrm>
                      <a:off x="0" y="0"/>
                      <a:ext cx="4835116" cy="1946433"/>
                    </a:xfrm>
                    <a:prstGeom prst="rect">
                      <a:avLst/>
                    </a:prstGeom>
                  </pic:spPr>
                </pic:pic>
              </a:graphicData>
            </a:graphic>
          </wp:anchor>
        </w:drawing>
      </w:r>
    </w:p>
    <w:p>
      <w:pPr>
        <w:spacing w:before="165"/>
        <w:ind w:left="1076" w:right="0" w:firstLine="0"/>
        <w:jc w:val="left"/>
        <w:rPr>
          <w:i/>
          <w:sz w:val="18"/>
        </w:rPr>
      </w:pPr>
      <w:bookmarkStart w:name="_bookmark74" w:id="117"/>
      <w:bookmarkEnd w:id="117"/>
      <w:r>
        <w:rPr/>
      </w:r>
      <w:r>
        <w:rPr>
          <w:i/>
          <w:color w:val="44536A"/>
          <w:sz w:val="18"/>
        </w:rPr>
        <w:t>Figure 23 : Récapitulatif des expériences d’après Kaipparettu et al., (2013) et Elliott et al., (2012).</w:t>
      </w:r>
    </w:p>
    <w:p>
      <w:pPr>
        <w:pStyle w:val="BodyText"/>
        <w:spacing w:before="9"/>
        <w:rPr>
          <w:i/>
          <w:sz w:val="19"/>
        </w:rPr>
      </w:pPr>
    </w:p>
    <w:p>
      <w:pPr>
        <w:pStyle w:val="BodyText"/>
        <w:spacing w:line="276" w:lineRule="auto" w:before="1"/>
        <w:ind w:left="116" w:right="114" w:firstLine="707"/>
        <w:jc w:val="both"/>
      </w:pPr>
      <w:r>
        <w:rPr/>
        <w:t>Ceci rejoint la théorie initiale de Warburg (1956b) selon laquelle le dysfonctionnement métabolique de la cellule était à l’origine de la cancérogenèse. Cette théorie (Warburg 1956a) fut discréditée par Weinhouse car de nombreuses cellules tumorales en culture apparaissent respirer</w:t>
      </w:r>
      <w:r>
        <w:rPr>
          <w:spacing w:val="-9"/>
        </w:rPr>
        <w:t> </w:t>
      </w:r>
      <w:r>
        <w:rPr/>
        <w:t>(Weinhouse</w:t>
      </w:r>
      <w:r>
        <w:rPr>
          <w:spacing w:val="-12"/>
        </w:rPr>
        <w:t> </w:t>
      </w:r>
      <w:r>
        <w:rPr/>
        <w:t>et</w:t>
      </w:r>
      <w:r>
        <w:rPr>
          <w:spacing w:val="-11"/>
        </w:rPr>
        <w:t> </w:t>
      </w:r>
      <w:r>
        <w:rPr/>
        <w:t>al.</w:t>
      </w:r>
      <w:r>
        <w:rPr>
          <w:spacing w:val="-8"/>
        </w:rPr>
        <w:t> </w:t>
      </w:r>
      <w:r>
        <w:rPr/>
        <w:t>1956).</w:t>
      </w:r>
      <w:r>
        <w:rPr>
          <w:spacing w:val="-11"/>
        </w:rPr>
        <w:t> </w:t>
      </w:r>
      <w:r>
        <w:rPr/>
        <w:t>Si</w:t>
      </w:r>
      <w:r>
        <w:rPr>
          <w:spacing w:val="-11"/>
        </w:rPr>
        <w:t> </w:t>
      </w:r>
      <w:r>
        <w:rPr/>
        <w:t>ce</w:t>
      </w:r>
      <w:r>
        <w:rPr>
          <w:spacing w:val="-12"/>
        </w:rPr>
        <w:t> </w:t>
      </w:r>
      <w:r>
        <w:rPr/>
        <w:t>phénomène</w:t>
      </w:r>
      <w:r>
        <w:rPr>
          <w:spacing w:val="-10"/>
        </w:rPr>
        <w:t> </w:t>
      </w:r>
      <w:r>
        <w:rPr/>
        <w:t>peut</w:t>
      </w:r>
      <w:r>
        <w:rPr>
          <w:spacing w:val="-11"/>
        </w:rPr>
        <w:t> </w:t>
      </w:r>
      <w:r>
        <w:rPr/>
        <w:t>être</w:t>
      </w:r>
      <w:r>
        <w:rPr>
          <w:spacing w:val="-11"/>
        </w:rPr>
        <w:t> </w:t>
      </w:r>
      <w:r>
        <w:rPr/>
        <w:t>expliqué</w:t>
      </w:r>
      <w:r>
        <w:rPr>
          <w:spacing w:val="-12"/>
        </w:rPr>
        <w:t> </w:t>
      </w:r>
      <w:r>
        <w:rPr/>
        <w:t>par</w:t>
      </w:r>
      <w:r>
        <w:rPr>
          <w:spacing w:val="-12"/>
        </w:rPr>
        <w:t> </w:t>
      </w:r>
      <w:r>
        <w:rPr/>
        <w:t>la</w:t>
      </w:r>
      <w:r>
        <w:rPr>
          <w:spacing w:val="-12"/>
        </w:rPr>
        <w:t> </w:t>
      </w:r>
      <w:r>
        <w:rPr/>
        <w:t>théorie</w:t>
      </w:r>
      <w:r>
        <w:rPr>
          <w:spacing w:val="-12"/>
        </w:rPr>
        <w:t> </w:t>
      </w:r>
      <w:r>
        <w:rPr/>
        <w:t>de</w:t>
      </w:r>
      <w:r>
        <w:rPr>
          <w:spacing w:val="-12"/>
        </w:rPr>
        <w:t> </w:t>
      </w:r>
      <w:r>
        <w:rPr/>
        <w:t>symbiose métabolique</w:t>
      </w:r>
      <w:r>
        <w:rPr>
          <w:spacing w:val="-7"/>
        </w:rPr>
        <w:t> </w:t>
      </w:r>
      <w:r>
        <w:rPr/>
        <w:t>et</w:t>
      </w:r>
      <w:r>
        <w:rPr>
          <w:spacing w:val="-6"/>
        </w:rPr>
        <w:t> </w:t>
      </w:r>
      <w:r>
        <w:rPr/>
        <w:t>l’effet</w:t>
      </w:r>
      <w:r>
        <w:rPr>
          <w:spacing w:val="-6"/>
        </w:rPr>
        <w:t> </w:t>
      </w:r>
      <w:r>
        <w:rPr/>
        <w:t>Warburg</w:t>
      </w:r>
      <w:r>
        <w:rPr>
          <w:spacing w:val="-7"/>
        </w:rPr>
        <w:t> </w:t>
      </w:r>
      <w:r>
        <w:rPr/>
        <w:t>inversé</w:t>
      </w:r>
      <w:r>
        <w:rPr>
          <w:spacing w:val="-7"/>
        </w:rPr>
        <w:t> </w:t>
      </w:r>
      <w:r>
        <w:rPr/>
        <w:t>(«</w:t>
      </w:r>
      <w:r>
        <w:rPr>
          <w:spacing w:val="-6"/>
        </w:rPr>
        <w:t> </w:t>
      </w:r>
      <w:r>
        <w:rPr/>
        <w:t>reverse</w:t>
      </w:r>
      <w:r>
        <w:rPr>
          <w:spacing w:val="1"/>
        </w:rPr>
        <w:t> </w:t>
      </w:r>
      <w:r>
        <w:rPr/>
        <w:t>»</w:t>
      </w:r>
      <w:r>
        <w:rPr>
          <w:spacing w:val="-9"/>
        </w:rPr>
        <w:t> </w:t>
      </w:r>
      <w:r>
        <w:rPr/>
        <w:t>effet</w:t>
      </w:r>
      <w:r>
        <w:rPr>
          <w:spacing w:val="-6"/>
        </w:rPr>
        <w:t> </w:t>
      </w:r>
      <w:r>
        <w:rPr/>
        <w:t>Warburg),</w:t>
      </w:r>
      <w:r>
        <w:rPr>
          <w:spacing w:val="-6"/>
        </w:rPr>
        <w:t> </w:t>
      </w:r>
      <w:r>
        <w:rPr/>
        <w:t>ce</w:t>
      </w:r>
      <w:r>
        <w:rPr>
          <w:spacing w:val="-7"/>
        </w:rPr>
        <w:t> </w:t>
      </w:r>
      <w:r>
        <w:rPr/>
        <w:t>phénomène</w:t>
      </w:r>
      <w:r>
        <w:rPr>
          <w:spacing w:val="-7"/>
        </w:rPr>
        <w:t> </w:t>
      </w:r>
      <w:r>
        <w:rPr/>
        <w:t>est</w:t>
      </w:r>
      <w:r>
        <w:rPr>
          <w:spacing w:val="-6"/>
        </w:rPr>
        <w:t> </w:t>
      </w:r>
      <w:r>
        <w:rPr/>
        <w:t>expliqué d’après Seyfried par les phosphorylations du substrat (Seyfried, 2012. Chapitre 7 : « Is respiration normal in cancer cells ?</w:t>
      </w:r>
      <w:r>
        <w:rPr>
          <w:spacing w:val="1"/>
        </w:rPr>
        <w:t> </w:t>
      </w:r>
      <w:r>
        <w:rPr>
          <w:spacing w:val="-3"/>
        </w:rPr>
        <w:t>»).</w:t>
      </w:r>
    </w:p>
    <w:p>
      <w:pPr>
        <w:pStyle w:val="BodyText"/>
        <w:spacing w:line="276" w:lineRule="auto" w:before="162"/>
        <w:ind w:left="116" w:right="116" w:firstLine="707"/>
        <w:jc w:val="both"/>
      </w:pPr>
      <w:r>
        <w:rPr/>
        <w:t>Les</w:t>
      </w:r>
      <w:r>
        <w:rPr>
          <w:spacing w:val="-17"/>
        </w:rPr>
        <w:t> </w:t>
      </w:r>
      <w:r>
        <w:rPr/>
        <w:t>phosphorylations</w:t>
      </w:r>
      <w:r>
        <w:rPr>
          <w:spacing w:val="-17"/>
        </w:rPr>
        <w:t> </w:t>
      </w:r>
      <w:r>
        <w:rPr/>
        <w:t>du</w:t>
      </w:r>
      <w:r>
        <w:rPr>
          <w:spacing w:val="-17"/>
        </w:rPr>
        <w:t> </w:t>
      </w:r>
      <w:r>
        <w:rPr/>
        <w:t>substrat</w:t>
      </w:r>
      <w:r>
        <w:rPr>
          <w:spacing w:val="-16"/>
        </w:rPr>
        <w:t> </w:t>
      </w:r>
      <w:r>
        <w:rPr/>
        <w:t>(glycolyse,</w:t>
      </w:r>
      <w:r>
        <w:rPr>
          <w:spacing w:val="-17"/>
        </w:rPr>
        <w:t> </w:t>
      </w:r>
      <w:r>
        <w:rPr/>
        <w:t>réaction</w:t>
      </w:r>
      <w:r>
        <w:rPr>
          <w:spacing w:val="-17"/>
        </w:rPr>
        <w:t> </w:t>
      </w:r>
      <w:r>
        <w:rPr/>
        <w:t>de</w:t>
      </w:r>
      <w:r>
        <w:rPr>
          <w:spacing w:val="-18"/>
        </w:rPr>
        <w:t> </w:t>
      </w:r>
      <w:r>
        <w:rPr/>
        <w:t>la</w:t>
      </w:r>
      <w:r>
        <w:rPr>
          <w:spacing w:val="-17"/>
        </w:rPr>
        <w:t> </w:t>
      </w:r>
      <w:r>
        <w:rPr/>
        <w:t>succinyl-CoA</w:t>
      </w:r>
      <w:r>
        <w:rPr>
          <w:spacing w:val="-17"/>
        </w:rPr>
        <w:t> </w:t>
      </w:r>
      <w:r>
        <w:rPr/>
        <w:t>synthétase</w:t>
      </w:r>
      <w:r>
        <w:rPr>
          <w:spacing w:val="-17"/>
        </w:rPr>
        <w:t> </w:t>
      </w:r>
      <w:r>
        <w:rPr/>
        <w:t>lors du</w:t>
      </w:r>
      <w:r>
        <w:rPr>
          <w:spacing w:val="-9"/>
        </w:rPr>
        <w:t> </w:t>
      </w:r>
      <w:r>
        <w:rPr/>
        <w:t>cycle</w:t>
      </w:r>
      <w:r>
        <w:rPr>
          <w:spacing w:val="-10"/>
        </w:rPr>
        <w:t> </w:t>
      </w:r>
      <w:r>
        <w:rPr/>
        <w:t>de</w:t>
      </w:r>
      <w:r>
        <w:rPr>
          <w:spacing w:val="-10"/>
        </w:rPr>
        <w:t> </w:t>
      </w:r>
      <w:r>
        <w:rPr/>
        <w:t>Krebs)</w:t>
      </w:r>
      <w:r>
        <w:rPr>
          <w:spacing w:val="-9"/>
        </w:rPr>
        <w:t> </w:t>
      </w:r>
      <w:r>
        <w:rPr/>
        <w:t>fournissent</w:t>
      </w:r>
      <w:r>
        <w:rPr>
          <w:spacing w:val="-8"/>
        </w:rPr>
        <w:t> </w:t>
      </w:r>
      <w:r>
        <w:rPr/>
        <w:t>un</w:t>
      </w:r>
      <w:r>
        <w:rPr>
          <w:spacing w:val="-9"/>
        </w:rPr>
        <w:t> </w:t>
      </w:r>
      <w:r>
        <w:rPr/>
        <w:t>apport</w:t>
      </w:r>
      <w:r>
        <w:rPr>
          <w:spacing w:val="-9"/>
        </w:rPr>
        <w:t> </w:t>
      </w:r>
      <w:r>
        <w:rPr/>
        <w:t>en</w:t>
      </w:r>
      <w:r>
        <w:rPr>
          <w:spacing w:val="-9"/>
        </w:rPr>
        <w:t> </w:t>
      </w:r>
      <w:r>
        <w:rPr/>
        <w:t>ATP</w:t>
      </w:r>
      <w:r>
        <w:rPr>
          <w:spacing w:val="-8"/>
        </w:rPr>
        <w:t> </w:t>
      </w:r>
      <w:r>
        <w:rPr/>
        <w:t>qui</w:t>
      </w:r>
      <w:r>
        <w:rPr>
          <w:spacing w:val="-8"/>
        </w:rPr>
        <w:t> </w:t>
      </w:r>
      <w:r>
        <w:rPr/>
        <w:t>ne</w:t>
      </w:r>
      <w:r>
        <w:rPr>
          <w:spacing w:val="-10"/>
        </w:rPr>
        <w:t> </w:t>
      </w:r>
      <w:r>
        <w:rPr/>
        <w:t>nécessite</w:t>
      </w:r>
      <w:r>
        <w:rPr>
          <w:spacing w:val="-9"/>
        </w:rPr>
        <w:t> </w:t>
      </w:r>
      <w:r>
        <w:rPr/>
        <w:t>pas</w:t>
      </w:r>
      <w:r>
        <w:rPr>
          <w:spacing w:val="-6"/>
        </w:rPr>
        <w:t> </w:t>
      </w:r>
      <w:r>
        <w:rPr/>
        <w:t>forcément</w:t>
      </w:r>
      <w:r>
        <w:rPr>
          <w:spacing w:val="-8"/>
        </w:rPr>
        <w:t> </w:t>
      </w:r>
      <w:r>
        <w:rPr/>
        <w:t>d’oxygène.</w:t>
      </w:r>
      <w:r>
        <w:rPr>
          <w:spacing w:val="-9"/>
        </w:rPr>
        <w:t> </w:t>
      </w:r>
      <w:r>
        <w:rPr/>
        <w:t>Un gradient moteur de protons pourrait toujours opérer grâce à une action à l’envers de la </w:t>
      </w:r>
      <w:r>
        <w:rPr>
          <w:position w:val="2"/>
        </w:rPr>
        <w:t>F</w:t>
      </w:r>
      <w:r>
        <w:rPr>
          <w:sz w:val="16"/>
        </w:rPr>
        <w:t>1</w:t>
      </w:r>
      <w:r>
        <w:rPr>
          <w:position w:val="2"/>
        </w:rPr>
        <w:t>F</w:t>
      </w:r>
      <w:r>
        <w:rPr>
          <w:sz w:val="16"/>
        </w:rPr>
        <w:t>0</w:t>
      </w:r>
      <w:r>
        <w:rPr>
          <w:position w:val="2"/>
        </w:rPr>
        <w:t>ATPase. L’isoforme HK II fournirait l’ATP issu de la glycolyse à la mitochondrie pour </w:t>
      </w:r>
      <w:r>
        <w:rPr/>
        <w:t>maintenir ce gradient de protons. Cela expliquerait en partie comment les cellules tumorales peuvent survivre en milieu hypoxique malgré les dommages de leurs</w:t>
      </w:r>
      <w:r>
        <w:rPr>
          <w:spacing w:val="-14"/>
        </w:rPr>
        <w:t> </w:t>
      </w:r>
      <w:r>
        <w:rPr/>
        <w:t>mitochondries.</w:t>
      </w:r>
    </w:p>
    <w:p>
      <w:pPr>
        <w:pStyle w:val="BodyText"/>
        <w:spacing w:line="276" w:lineRule="auto" w:before="163"/>
        <w:ind w:left="116" w:right="111" w:firstLine="707"/>
        <w:jc w:val="both"/>
      </w:pPr>
      <w:r>
        <w:rPr/>
        <w:t>De plus, si les phosphorylations oxydatives étaient normales dans les cellules cancéreuses,</w:t>
      </w:r>
      <w:r>
        <w:rPr>
          <w:spacing w:val="-14"/>
        </w:rPr>
        <w:t> </w:t>
      </w:r>
      <w:r>
        <w:rPr/>
        <w:t>en</w:t>
      </w:r>
      <w:r>
        <w:rPr>
          <w:spacing w:val="-14"/>
        </w:rPr>
        <w:t> </w:t>
      </w:r>
      <w:r>
        <w:rPr/>
        <w:t>présence</w:t>
      </w:r>
      <w:r>
        <w:rPr>
          <w:spacing w:val="-13"/>
        </w:rPr>
        <w:t> </w:t>
      </w:r>
      <w:r>
        <w:rPr/>
        <w:t>d’O</w:t>
      </w:r>
      <w:r>
        <w:rPr>
          <w:position w:val="-1"/>
          <w:sz w:val="16"/>
        </w:rPr>
        <w:t>2</w:t>
      </w:r>
      <w:r>
        <w:rPr/>
        <w:t>,</w:t>
      </w:r>
      <w:r>
        <w:rPr>
          <w:spacing w:val="-14"/>
        </w:rPr>
        <w:t> </w:t>
      </w:r>
      <w:r>
        <w:rPr/>
        <w:t>la</w:t>
      </w:r>
      <w:r>
        <w:rPr>
          <w:spacing w:val="-14"/>
        </w:rPr>
        <w:t> </w:t>
      </w:r>
      <w:r>
        <w:rPr/>
        <w:t>production</w:t>
      </w:r>
      <w:r>
        <w:rPr>
          <w:spacing w:val="-14"/>
        </w:rPr>
        <w:t> </w:t>
      </w:r>
      <w:r>
        <w:rPr/>
        <w:t>de</w:t>
      </w:r>
      <w:r>
        <w:rPr>
          <w:spacing w:val="-14"/>
        </w:rPr>
        <w:t> </w:t>
      </w:r>
      <w:r>
        <w:rPr/>
        <w:t>lactate</w:t>
      </w:r>
      <w:r>
        <w:rPr>
          <w:spacing w:val="-14"/>
        </w:rPr>
        <w:t> </w:t>
      </w:r>
      <w:r>
        <w:rPr/>
        <w:t>diminuerait</w:t>
      </w:r>
      <w:r>
        <w:rPr>
          <w:spacing w:val="-14"/>
        </w:rPr>
        <w:t> </w:t>
      </w:r>
      <w:r>
        <w:rPr/>
        <w:t>(car</w:t>
      </w:r>
      <w:r>
        <w:rPr>
          <w:spacing w:val="-14"/>
        </w:rPr>
        <w:t> </w:t>
      </w:r>
      <w:r>
        <w:rPr/>
        <w:t>le</w:t>
      </w:r>
      <w:r>
        <w:rPr>
          <w:spacing w:val="-14"/>
        </w:rPr>
        <w:t> </w:t>
      </w:r>
      <w:r>
        <w:rPr/>
        <w:t>pyruvate</w:t>
      </w:r>
      <w:r>
        <w:rPr>
          <w:spacing w:val="-14"/>
        </w:rPr>
        <w:t> </w:t>
      </w:r>
      <w:r>
        <w:rPr/>
        <w:t>serait</w:t>
      </w:r>
      <w:r>
        <w:rPr>
          <w:spacing w:val="-14"/>
        </w:rPr>
        <w:t> </w:t>
      </w:r>
      <w:r>
        <w:rPr/>
        <w:t>oxydé dans le cycle de Krebs et ne serait pas disponible pour la réaction catalysée par la LDH). Il aborde alors la notion de pseudo respiration, où la cellule consomme de l’O</w:t>
      </w:r>
      <w:r>
        <w:rPr>
          <w:position w:val="-1"/>
          <w:sz w:val="16"/>
        </w:rPr>
        <w:t>2 </w:t>
      </w:r>
      <w:r>
        <w:rPr/>
        <w:t>et produit de l’ATP, non pas par les phosphorylations oxydatives mais par les phosphorylations du substrat. Il  faut  néanmoins faire  attention, en culture,  à l’effet  Crabtree,  qui  se produit  lorsque </w:t>
      </w:r>
      <w:r>
        <w:rPr>
          <w:spacing w:val="15"/>
        </w:rPr>
        <w:t> </w:t>
      </w:r>
      <w:r>
        <w:rPr/>
        <w:t>des</w:t>
      </w:r>
    </w:p>
    <w:p>
      <w:pPr>
        <w:spacing w:after="0" w:line="276" w:lineRule="auto"/>
        <w:jc w:val="both"/>
        <w:sectPr>
          <w:pgSz w:w="11910" w:h="16840"/>
          <w:pgMar w:header="0" w:footer="995" w:top="1320" w:bottom="1240" w:left="1300" w:right="1300"/>
        </w:sectPr>
      </w:pPr>
    </w:p>
    <w:p>
      <w:pPr>
        <w:pStyle w:val="BodyText"/>
        <w:spacing w:line="276" w:lineRule="auto" w:before="72"/>
        <w:ind w:left="116"/>
      </w:pPr>
      <w:r>
        <w:rPr/>
        <w:t>niveaux élevés en glucose et autres métabolites dans le milieu de culture augmentent la glycolyse et inhibent les oxydations phosphorylatives (Diaz-Ruiz et al., 2011).</w:t>
      </w:r>
    </w:p>
    <w:p>
      <w:pPr>
        <w:pStyle w:val="BodyText"/>
        <w:spacing w:line="276" w:lineRule="auto" w:before="164"/>
        <w:ind w:left="116" w:right="114" w:firstLine="707"/>
        <w:jc w:val="both"/>
      </w:pPr>
      <w:r>
        <w:rPr/>
        <w:t>Un autre argument soutenant cette théorie se retrouve dans l’analyse du lipidome (contenu et composition lipidique d’une cellule ou d’un de ses organites). Ce lipidome est essentiel pour l’intégrité des biomembranes, car le fonctionnement des protéines de la chaîne de</w:t>
      </w:r>
      <w:r>
        <w:rPr>
          <w:spacing w:val="-13"/>
        </w:rPr>
        <w:t> </w:t>
      </w:r>
      <w:r>
        <w:rPr/>
        <w:t>transporteurs</w:t>
      </w:r>
      <w:r>
        <w:rPr>
          <w:spacing w:val="-12"/>
        </w:rPr>
        <w:t> </w:t>
      </w:r>
      <w:r>
        <w:rPr/>
        <w:t>d’électrons</w:t>
      </w:r>
      <w:r>
        <w:rPr>
          <w:spacing w:val="-12"/>
        </w:rPr>
        <w:t> </w:t>
      </w:r>
      <w:r>
        <w:rPr/>
        <w:t>est</w:t>
      </w:r>
      <w:r>
        <w:rPr>
          <w:spacing w:val="-11"/>
        </w:rPr>
        <w:t> </w:t>
      </w:r>
      <w:r>
        <w:rPr/>
        <w:t>dépendant</w:t>
      </w:r>
      <w:r>
        <w:rPr>
          <w:spacing w:val="-10"/>
        </w:rPr>
        <w:t> </w:t>
      </w:r>
      <w:r>
        <w:rPr/>
        <w:t>en</w:t>
      </w:r>
      <w:r>
        <w:rPr>
          <w:spacing w:val="-12"/>
        </w:rPr>
        <w:t> </w:t>
      </w:r>
      <w:r>
        <w:rPr/>
        <w:t>partie</w:t>
      </w:r>
      <w:r>
        <w:rPr>
          <w:spacing w:val="-11"/>
        </w:rPr>
        <w:t> </w:t>
      </w:r>
      <w:r>
        <w:rPr/>
        <w:t>de</w:t>
      </w:r>
      <w:r>
        <w:rPr>
          <w:spacing w:val="-13"/>
        </w:rPr>
        <w:t> </w:t>
      </w:r>
      <w:r>
        <w:rPr/>
        <w:t>la</w:t>
      </w:r>
      <w:r>
        <w:rPr>
          <w:spacing w:val="-12"/>
        </w:rPr>
        <w:t> </w:t>
      </w:r>
      <w:r>
        <w:rPr/>
        <w:t>composition</w:t>
      </w:r>
      <w:r>
        <w:rPr>
          <w:spacing w:val="-12"/>
        </w:rPr>
        <w:t> </w:t>
      </w:r>
      <w:r>
        <w:rPr/>
        <w:t>lipidique</w:t>
      </w:r>
      <w:r>
        <w:rPr>
          <w:spacing w:val="-13"/>
        </w:rPr>
        <w:t> </w:t>
      </w:r>
      <w:r>
        <w:rPr/>
        <w:t>de</w:t>
      </w:r>
      <w:r>
        <w:rPr>
          <w:spacing w:val="-13"/>
        </w:rPr>
        <w:t> </w:t>
      </w:r>
      <w:r>
        <w:rPr/>
        <w:t>la</w:t>
      </w:r>
      <w:r>
        <w:rPr>
          <w:spacing w:val="-13"/>
        </w:rPr>
        <w:t> </w:t>
      </w:r>
      <w:r>
        <w:rPr/>
        <w:t>membrane mitochondriale interne. La cardiolipine (1,3-diphosphatidyl-sn-glycérol) est le lipide le plus important de la membrane mitochondriale interne. L’étude de Kiebish et al. met en évidence des anomalies de composition de la cardiolipine au sein de lignées tumorales (astrocytome, gliome), ce qui entraîne un mauvais fonctionnement de la chaîne de transport d’électrons (Kiebish et al.,</w:t>
      </w:r>
      <w:r>
        <w:rPr>
          <w:spacing w:val="-5"/>
        </w:rPr>
        <w:t> </w:t>
      </w:r>
      <w:r>
        <w:rPr/>
        <w:t>2008).</w:t>
      </w:r>
    </w:p>
    <w:p>
      <w:pPr>
        <w:pStyle w:val="BodyText"/>
        <w:rPr>
          <w:sz w:val="26"/>
        </w:rPr>
      </w:pPr>
    </w:p>
    <w:p>
      <w:pPr>
        <w:pStyle w:val="BodyText"/>
        <w:spacing w:before="10"/>
        <w:rPr>
          <w:sz w:val="29"/>
        </w:rPr>
      </w:pPr>
    </w:p>
    <w:p>
      <w:pPr>
        <w:pStyle w:val="Heading3"/>
        <w:numPr>
          <w:ilvl w:val="1"/>
          <w:numId w:val="4"/>
        </w:numPr>
        <w:tabs>
          <w:tab w:pos="1610" w:val="left" w:leader="none"/>
        </w:tabs>
        <w:spacing w:line="240" w:lineRule="auto" w:before="0" w:after="0"/>
        <w:ind w:left="1609" w:right="0" w:hanging="360"/>
        <w:jc w:val="left"/>
      </w:pPr>
      <w:bookmarkStart w:name="_bookmark75" w:id="118"/>
      <w:bookmarkEnd w:id="118"/>
      <w:r>
        <w:rPr>
          <w:b w:val="0"/>
        </w:rPr>
      </w:r>
      <w:bookmarkStart w:name="_bookmark75" w:id="119"/>
      <w:bookmarkEnd w:id="119"/>
      <w:r>
        <w:rPr/>
        <w:t>C</w:t>
      </w:r>
      <w:r>
        <w:rPr/>
        <w:t>onclusion</w:t>
      </w:r>
      <w:r>
        <w:rPr>
          <w:spacing w:val="-13"/>
        </w:rPr>
        <w:t> </w:t>
      </w:r>
      <w:r>
        <w:rPr/>
        <w:t>partielle</w:t>
      </w:r>
    </w:p>
    <w:p>
      <w:pPr>
        <w:pStyle w:val="BodyText"/>
        <w:spacing w:before="11"/>
        <w:rPr>
          <w:b/>
          <w:sz w:val="41"/>
        </w:rPr>
      </w:pPr>
    </w:p>
    <w:p>
      <w:pPr>
        <w:pStyle w:val="BodyText"/>
        <w:spacing w:line="259" w:lineRule="auto"/>
        <w:ind w:left="116" w:right="116" w:firstLine="707"/>
        <w:jc w:val="both"/>
      </w:pPr>
      <w:r>
        <w:rPr/>
        <w:t>Les cellules cancéreuses ont des besoins en énergie très important (biosynthèse de molécules nécessaire à la division cellulaire, phénomène d’angiogenèse). Dans un environnement hypoxique défavorable, la survie cellulaire est possible par un fonctionnement accéléré de la glycolyse (</w:t>
      </w:r>
      <w:r>
        <w:rPr>
          <w:i/>
        </w:rPr>
        <w:t>via </w:t>
      </w:r>
      <w:r>
        <w:rPr/>
        <w:t>des transporteurs au glucose plus nombreux et des enzymes glycolytiques activées). Cette dernière apparaît déconnectée du cycle de Krebs, qui fonctionne en partie « à l’envers » afin de synthétiser de l’acétyl-CoA, molécule au carrefour des voies de synthèse cellulaire, suite à la glutaminolyse. Ce fonctionnement accéléré de la glycolyse est également possible en présence d’O</w:t>
      </w:r>
      <w:r>
        <w:rPr>
          <w:position w:val="-1"/>
          <w:sz w:val="16"/>
        </w:rPr>
        <w:t>2</w:t>
      </w:r>
      <w:r>
        <w:rPr/>
        <w:t>, ce qui définit l’effet Warburg.</w:t>
      </w:r>
    </w:p>
    <w:p>
      <w:pPr>
        <w:pStyle w:val="BodyText"/>
        <w:spacing w:line="259" w:lineRule="auto" w:before="160"/>
        <w:ind w:left="116" w:right="115" w:firstLine="707"/>
        <w:jc w:val="both"/>
      </w:pPr>
      <w:r>
        <w:rPr/>
        <w:t>Le facteur de transcription induit par l’hypoxie HIF-1 est essentiel à la régulation de la réponse tumorale à l’hypoxie (angiogenèse, glycolyse accrue, résistance à l’apoptose). L’effet Warburg</w:t>
      </w:r>
      <w:r>
        <w:rPr>
          <w:spacing w:val="-7"/>
        </w:rPr>
        <w:t> </w:t>
      </w:r>
      <w:r>
        <w:rPr/>
        <w:t>dans</w:t>
      </w:r>
      <w:r>
        <w:rPr>
          <w:spacing w:val="-5"/>
        </w:rPr>
        <w:t> </w:t>
      </w:r>
      <w:r>
        <w:rPr/>
        <w:t>les</w:t>
      </w:r>
      <w:r>
        <w:rPr>
          <w:spacing w:val="-5"/>
        </w:rPr>
        <w:t> </w:t>
      </w:r>
      <w:r>
        <w:rPr/>
        <w:t>cellules</w:t>
      </w:r>
      <w:r>
        <w:rPr>
          <w:spacing w:val="-5"/>
        </w:rPr>
        <w:t> </w:t>
      </w:r>
      <w:r>
        <w:rPr/>
        <w:t>cancéreuses</w:t>
      </w:r>
      <w:r>
        <w:rPr>
          <w:spacing w:val="-3"/>
        </w:rPr>
        <w:t> </w:t>
      </w:r>
      <w:r>
        <w:rPr/>
        <w:t>s’explique</w:t>
      </w:r>
      <w:r>
        <w:rPr>
          <w:spacing w:val="-6"/>
        </w:rPr>
        <w:t> </w:t>
      </w:r>
      <w:r>
        <w:rPr/>
        <w:t>en</w:t>
      </w:r>
      <w:r>
        <w:rPr>
          <w:spacing w:val="-5"/>
        </w:rPr>
        <w:t> </w:t>
      </w:r>
      <w:r>
        <w:rPr/>
        <w:t>partie</w:t>
      </w:r>
      <w:r>
        <w:rPr>
          <w:spacing w:val="-6"/>
        </w:rPr>
        <w:t> </w:t>
      </w:r>
      <w:r>
        <w:rPr/>
        <w:t>par</w:t>
      </w:r>
      <w:r>
        <w:rPr>
          <w:spacing w:val="-4"/>
        </w:rPr>
        <w:t> </w:t>
      </w:r>
      <w:r>
        <w:rPr/>
        <w:t>l’activation</w:t>
      </w:r>
      <w:r>
        <w:rPr>
          <w:spacing w:val="-2"/>
        </w:rPr>
        <w:t> </w:t>
      </w:r>
      <w:r>
        <w:rPr/>
        <w:t>d’oncogènes</w:t>
      </w:r>
      <w:r>
        <w:rPr>
          <w:spacing w:val="-5"/>
        </w:rPr>
        <w:t> </w:t>
      </w:r>
      <w:r>
        <w:rPr/>
        <w:t>suite</w:t>
      </w:r>
      <w:r>
        <w:rPr>
          <w:spacing w:val="-3"/>
        </w:rPr>
        <w:t> </w:t>
      </w:r>
      <w:r>
        <w:rPr/>
        <w:t>à des mutations, et à la perte d’expression des gènes suppresseurs de tumeurs. Parmi</w:t>
      </w:r>
      <w:r>
        <w:rPr>
          <w:spacing w:val="21"/>
        </w:rPr>
        <w:t> </w:t>
      </w:r>
      <w:r>
        <w:rPr/>
        <w:t>ces mutations, la voie de signalisation PI3K-Akt, c-Myc et p53 ont un rôle important. </w:t>
      </w:r>
      <w:r>
        <w:rPr>
          <w:spacing w:val="-3"/>
        </w:rPr>
        <w:t>Les </w:t>
      </w:r>
      <w:r>
        <w:rPr/>
        <w:t>dysfonctionnements de la respiration mitochondriale, et les altérations des enzymes du métabolisme contribuent également à l’effet</w:t>
      </w:r>
      <w:r>
        <w:rPr>
          <w:spacing w:val="-8"/>
        </w:rPr>
        <w:t> </w:t>
      </w:r>
      <w:r>
        <w:rPr/>
        <w:t>Warburg.</w:t>
      </w:r>
    </w:p>
    <w:p>
      <w:pPr>
        <w:pStyle w:val="BodyText"/>
        <w:spacing w:line="259" w:lineRule="auto" w:before="164"/>
        <w:ind w:left="116" w:right="116" w:firstLine="707"/>
        <w:jc w:val="both"/>
      </w:pPr>
      <w:r>
        <w:rPr/>
        <w:t>L’intense métabolisme du glucose conduit à une production de protons et de lactate importante par les cellules cancéreuses glycolytiques. La gestion de l’équilibre redox de la cellule</w:t>
      </w:r>
      <w:r>
        <w:rPr>
          <w:spacing w:val="-12"/>
        </w:rPr>
        <w:t> </w:t>
      </w:r>
      <w:r>
        <w:rPr/>
        <w:t>est</w:t>
      </w:r>
      <w:r>
        <w:rPr>
          <w:spacing w:val="-10"/>
        </w:rPr>
        <w:t> </w:t>
      </w:r>
      <w:r>
        <w:rPr/>
        <w:t>donc</w:t>
      </w:r>
      <w:r>
        <w:rPr>
          <w:spacing w:val="-10"/>
        </w:rPr>
        <w:t> </w:t>
      </w:r>
      <w:r>
        <w:rPr/>
        <w:t>fondamentale.</w:t>
      </w:r>
      <w:r>
        <w:rPr>
          <w:spacing w:val="-9"/>
        </w:rPr>
        <w:t> </w:t>
      </w:r>
      <w:r>
        <w:rPr/>
        <w:t>Les</w:t>
      </w:r>
      <w:r>
        <w:rPr>
          <w:spacing w:val="-11"/>
        </w:rPr>
        <w:t> </w:t>
      </w:r>
      <w:r>
        <w:rPr/>
        <w:t>transporteurs</w:t>
      </w:r>
      <w:r>
        <w:rPr>
          <w:spacing w:val="-12"/>
        </w:rPr>
        <w:t> </w:t>
      </w:r>
      <w:r>
        <w:rPr/>
        <w:t>de</w:t>
      </w:r>
      <w:r>
        <w:rPr>
          <w:spacing w:val="-12"/>
        </w:rPr>
        <w:t> </w:t>
      </w:r>
      <w:r>
        <w:rPr/>
        <w:t>protons</w:t>
      </w:r>
      <w:r>
        <w:rPr>
          <w:spacing w:val="-9"/>
        </w:rPr>
        <w:t> </w:t>
      </w:r>
      <w:r>
        <w:rPr/>
        <w:t>et</w:t>
      </w:r>
      <w:r>
        <w:rPr>
          <w:spacing w:val="-11"/>
        </w:rPr>
        <w:t> </w:t>
      </w:r>
      <w:r>
        <w:rPr/>
        <w:t>du</w:t>
      </w:r>
      <w:r>
        <w:rPr>
          <w:spacing w:val="-11"/>
        </w:rPr>
        <w:t> </w:t>
      </w:r>
      <w:r>
        <w:rPr/>
        <w:t>lactate</w:t>
      </w:r>
      <w:r>
        <w:rPr>
          <w:spacing w:val="-11"/>
        </w:rPr>
        <w:t> </w:t>
      </w:r>
      <w:r>
        <w:rPr/>
        <w:t>jouent</w:t>
      </w:r>
      <w:r>
        <w:rPr>
          <w:spacing w:val="-11"/>
        </w:rPr>
        <w:t> </w:t>
      </w:r>
      <w:r>
        <w:rPr/>
        <w:t>un</w:t>
      </w:r>
      <w:r>
        <w:rPr>
          <w:spacing w:val="-11"/>
        </w:rPr>
        <w:t> </w:t>
      </w:r>
      <w:r>
        <w:rPr/>
        <w:t>rôle</w:t>
      </w:r>
      <w:r>
        <w:rPr>
          <w:spacing w:val="-12"/>
        </w:rPr>
        <w:t> </w:t>
      </w:r>
      <w:r>
        <w:rPr/>
        <w:t>essentiel dans l’acidification du microenvironnement tumoral. Le lactate ainsi exporté est disponible pour</w:t>
      </w:r>
      <w:r>
        <w:rPr>
          <w:spacing w:val="-5"/>
        </w:rPr>
        <w:t> </w:t>
      </w:r>
      <w:r>
        <w:rPr/>
        <w:t>les</w:t>
      </w:r>
      <w:r>
        <w:rPr>
          <w:spacing w:val="-4"/>
        </w:rPr>
        <w:t> </w:t>
      </w:r>
      <w:r>
        <w:rPr/>
        <w:t>cellules «</w:t>
      </w:r>
      <w:r>
        <w:rPr>
          <w:spacing w:val="-8"/>
        </w:rPr>
        <w:t> </w:t>
      </w:r>
      <w:r>
        <w:rPr/>
        <w:t>oxydatives</w:t>
      </w:r>
      <w:r>
        <w:rPr>
          <w:spacing w:val="3"/>
        </w:rPr>
        <w:t> </w:t>
      </w:r>
      <w:r>
        <w:rPr/>
        <w:t>»</w:t>
      </w:r>
      <w:r>
        <w:rPr>
          <w:spacing w:val="-11"/>
        </w:rPr>
        <w:t> </w:t>
      </w:r>
      <w:r>
        <w:rPr/>
        <w:t>qui</w:t>
      </w:r>
      <w:r>
        <w:rPr>
          <w:spacing w:val="-3"/>
        </w:rPr>
        <w:t> </w:t>
      </w:r>
      <w:r>
        <w:rPr/>
        <w:t>utilisent</w:t>
      </w:r>
      <w:r>
        <w:rPr>
          <w:spacing w:val="-3"/>
        </w:rPr>
        <w:t> </w:t>
      </w:r>
      <w:r>
        <w:rPr/>
        <w:t>la</w:t>
      </w:r>
      <w:r>
        <w:rPr>
          <w:spacing w:val="-5"/>
        </w:rPr>
        <w:t> </w:t>
      </w:r>
      <w:r>
        <w:rPr/>
        <w:t>phosphorylation</w:t>
      </w:r>
      <w:r>
        <w:rPr>
          <w:spacing w:val="-3"/>
        </w:rPr>
        <w:t> </w:t>
      </w:r>
      <w:r>
        <w:rPr/>
        <w:t>oxydative</w:t>
      </w:r>
      <w:r>
        <w:rPr>
          <w:spacing w:val="-5"/>
        </w:rPr>
        <w:t> </w:t>
      </w:r>
      <w:r>
        <w:rPr/>
        <w:t>suite</w:t>
      </w:r>
      <w:r>
        <w:rPr>
          <w:spacing w:val="-5"/>
        </w:rPr>
        <w:t> </w:t>
      </w:r>
      <w:r>
        <w:rPr/>
        <w:t>à</w:t>
      </w:r>
      <w:r>
        <w:rPr>
          <w:spacing w:val="-5"/>
        </w:rPr>
        <w:t> </w:t>
      </w:r>
      <w:r>
        <w:rPr/>
        <w:t>la</w:t>
      </w:r>
      <w:r>
        <w:rPr>
          <w:spacing w:val="-4"/>
        </w:rPr>
        <w:t> </w:t>
      </w:r>
      <w:r>
        <w:rPr/>
        <w:t>conversion du lactate en pyruvate (phénomène de coopération</w:t>
      </w:r>
      <w:r>
        <w:rPr>
          <w:spacing w:val="-10"/>
        </w:rPr>
        <w:t> </w:t>
      </w:r>
      <w:r>
        <w:rPr/>
        <w:t>cellulaire).</w:t>
      </w:r>
    </w:p>
    <w:p>
      <w:pPr>
        <w:pStyle w:val="BodyText"/>
        <w:spacing w:line="276" w:lineRule="auto" w:before="163"/>
        <w:ind w:left="116" w:right="113" w:firstLine="707"/>
        <w:jc w:val="both"/>
      </w:pPr>
      <w:r>
        <w:rPr/>
        <w:t>À</w:t>
      </w:r>
      <w:r>
        <w:rPr>
          <w:spacing w:val="-12"/>
        </w:rPr>
        <w:t> </w:t>
      </w:r>
      <w:r>
        <w:rPr/>
        <w:t>travers</w:t>
      </w:r>
      <w:r>
        <w:rPr>
          <w:spacing w:val="-12"/>
        </w:rPr>
        <w:t> </w:t>
      </w:r>
      <w:r>
        <w:rPr/>
        <w:t>tous</w:t>
      </w:r>
      <w:r>
        <w:rPr>
          <w:spacing w:val="-10"/>
        </w:rPr>
        <w:t> </w:t>
      </w:r>
      <w:r>
        <w:rPr/>
        <w:t>ces</w:t>
      </w:r>
      <w:r>
        <w:rPr>
          <w:spacing w:val="-11"/>
        </w:rPr>
        <w:t> </w:t>
      </w:r>
      <w:r>
        <w:rPr/>
        <w:t>aspects,</w:t>
      </w:r>
      <w:r>
        <w:rPr>
          <w:spacing w:val="-10"/>
        </w:rPr>
        <w:t> </w:t>
      </w:r>
      <w:r>
        <w:rPr/>
        <w:t>nous</w:t>
      </w:r>
      <w:r>
        <w:rPr>
          <w:spacing w:val="-11"/>
        </w:rPr>
        <w:t> </w:t>
      </w:r>
      <w:r>
        <w:rPr/>
        <w:t>comprenons</w:t>
      </w:r>
      <w:r>
        <w:rPr>
          <w:spacing w:val="-11"/>
        </w:rPr>
        <w:t> </w:t>
      </w:r>
      <w:r>
        <w:rPr/>
        <w:t>la</w:t>
      </w:r>
      <w:r>
        <w:rPr>
          <w:spacing w:val="-12"/>
        </w:rPr>
        <w:t> </w:t>
      </w:r>
      <w:r>
        <w:rPr/>
        <w:t>complexité</w:t>
      </w:r>
      <w:r>
        <w:rPr>
          <w:spacing w:val="-12"/>
        </w:rPr>
        <w:t> </w:t>
      </w:r>
      <w:r>
        <w:rPr/>
        <w:t>du</w:t>
      </w:r>
      <w:r>
        <w:rPr>
          <w:spacing w:val="-13"/>
        </w:rPr>
        <w:t> </w:t>
      </w:r>
      <w:r>
        <w:rPr/>
        <w:t>métabolisme</w:t>
      </w:r>
      <w:r>
        <w:rPr>
          <w:spacing w:val="-12"/>
        </w:rPr>
        <w:t> </w:t>
      </w:r>
      <w:r>
        <w:rPr/>
        <w:t>biochimique énergétique,</w:t>
      </w:r>
      <w:r>
        <w:rPr>
          <w:spacing w:val="-10"/>
        </w:rPr>
        <w:t> </w:t>
      </w:r>
      <w:r>
        <w:rPr/>
        <w:t>alors</w:t>
      </w:r>
      <w:r>
        <w:rPr>
          <w:spacing w:val="-12"/>
        </w:rPr>
        <w:t> </w:t>
      </w:r>
      <w:r>
        <w:rPr/>
        <w:t>que</w:t>
      </w:r>
      <w:r>
        <w:rPr>
          <w:spacing w:val="-13"/>
        </w:rPr>
        <w:t> </w:t>
      </w:r>
      <w:r>
        <w:rPr/>
        <w:t>n’ont</w:t>
      </w:r>
      <w:r>
        <w:rPr>
          <w:spacing w:val="-12"/>
        </w:rPr>
        <w:t> </w:t>
      </w:r>
      <w:r>
        <w:rPr/>
        <w:t>été</w:t>
      </w:r>
      <w:r>
        <w:rPr>
          <w:spacing w:val="-12"/>
        </w:rPr>
        <w:t> </w:t>
      </w:r>
      <w:r>
        <w:rPr/>
        <w:t>abordées</w:t>
      </w:r>
      <w:r>
        <w:rPr>
          <w:spacing w:val="-12"/>
        </w:rPr>
        <w:t> </w:t>
      </w:r>
      <w:r>
        <w:rPr/>
        <w:t>ici</w:t>
      </w:r>
      <w:r>
        <w:rPr>
          <w:spacing w:val="-12"/>
        </w:rPr>
        <w:t> </w:t>
      </w:r>
      <w:r>
        <w:rPr/>
        <w:t>que</w:t>
      </w:r>
      <w:r>
        <w:rPr>
          <w:spacing w:val="-13"/>
        </w:rPr>
        <w:t> </w:t>
      </w:r>
      <w:r>
        <w:rPr/>
        <w:t>les</w:t>
      </w:r>
      <w:r>
        <w:rPr>
          <w:spacing w:val="-12"/>
        </w:rPr>
        <w:t> </w:t>
      </w:r>
      <w:r>
        <w:rPr/>
        <w:t>bases</w:t>
      </w:r>
      <w:r>
        <w:rPr>
          <w:spacing w:val="-12"/>
        </w:rPr>
        <w:t> </w:t>
      </w:r>
      <w:r>
        <w:rPr/>
        <w:t>servant</w:t>
      </w:r>
      <w:r>
        <w:rPr>
          <w:spacing w:val="-12"/>
        </w:rPr>
        <w:t> </w:t>
      </w:r>
      <w:r>
        <w:rPr/>
        <w:t>à</w:t>
      </w:r>
      <w:r>
        <w:rPr>
          <w:spacing w:val="-13"/>
        </w:rPr>
        <w:t> </w:t>
      </w:r>
      <w:r>
        <w:rPr/>
        <w:t>envisager</w:t>
      </w:r>
      <w:r>
        <w:rPr>
          <w:spacing w:val="-13"/>
        </w:rPr>
        <w:t> </w:t>
      </w:r>
      <w:r>
        <w:rPr/>
        <w:t>une</w:t>
      </w:r>
      <w:r>
        <w:rPr>
          <w:spacing w:val="-13"/>
        </w:rPr>
        <w:t> </w:t>
      </w:r>
      <w:r>
        <w:rPr/>
        <w:t>thérapeutique abordable dans le monde vétérinaire. Ainsi, nous n’avons pas développé les phénomènes épigénétiques (méthylation d’enzymes clefs telles l’HK II par exemple, rôle des sirtuines…), décrits plus précisément dans la revue de Upadhyay et al., (2013). Voyons maintenant quelles molécules peuvent être utilisées pour cibler les voies métaboliques précédemment</w:t>
      </w:r>
      <w:r>
        <w:rPr>
          <w:spacing w:val="-15"/>
        </w:rPr>
        <w:t> </w:t>
      </w:r>
      <w:r>
        <w:rPr/>
        <w:t>décrites.</w:t>
      </w:r>
    </w:p>
    <w:p>
      <w:pPr>
        <w:spacing w:after="0" w:line="276" w:lineRule="auto"/>
        <w:jc w:val="both"/>
        <w:sectPr>
          <w:pgSz w:w="11910" w:h="16840"/>
          <w:pgMar w:header="0" w:footer="995" w:top="1320" w:bottom="1240" w:left="1300" w:right="1300"/>
        </w:sectPr>
      </w:pPr>
    </w:p>
    <w:p>
      <w:pPr>
        <w:pStyle w:val="Heading2"/>
        <w:numPr>
          <w:ilvl w:val="0"/>
          <w:numId w:val="4"/>
        </w:numPr>
        <w:tabs>
          <w:tab w:pos="1196" w:val="left" w:leader="none"/>
          <w:tab w:pos="1197" w:val="left" w:leader="none"/>
        </w:tabs>
        <w:spacing w:line="240" w:lineRule="auto" w:before="57" w:after="0"/>
        <w:ind w:left="1196" w:right="0" w:hanging="720"/>
        <w:jc w:val="left"/>
        <w:rPr>
          <w:u w:val="none"/>
        </w:rPr>
      </w:pPr>
      <w:bookmarkStart w:name="_bookmark80" w:id="120"/>
      <w:bookmarkEnd w:id="120"/>
      <w:r>
        <w:rPr>
          <w:b w:val="0"/>
          <w:u w:val="none"/>
        </w:rPr>
      </w:r>
      <w:bookmarkStart w:name="_bookmark76" w:id="121"/>
      <w:bookmarkEnd w:id="121"/>
      <w:r>
        <w:rPr>
          <w:b w:val="0"/>
          <w:u w:val="none"/>
        </w:rPr>
      </w:r>
      <w:bookmarkStart w:name="_bookmark76" w:id="122"/>
      <w:bookmarkEnd w:id="122"/>
      <w:r>
        <w:rPr>
          <w:u w:val="thick"/>
        </w:rPr>
        <w:t>Le</w:t>
      </w:r>
      <w:r>
        <w:rPr>
          <w:u w:val="thick"/>
        </w:rPr>
        <w:t>s</w:t>
      </w:r>
      <w:r>
        <w:rPr>
          <w:spacing w:val="-6"/>
          <w:u w:val="thick"/>
        </w:rPr>
        <w:t> </w:t>
      </w:r>
      <w:r>
        <w:rPr>
          <w:u w:val="thick"/>
        </w:rPr>
        <w:t>molécules</w:t>
      </w:r>
      <w:r>
        <w:rPr>
          <w:spacing w:val="-7"/>
          <w:u w:val="thick"/>
        </w:rPr>
        <w:t> </w:t>
      </w:r>
      <w:r>
        <w:rPr>
          <w:u w:val="thick"/>
        </w:rPr>
        <w:t>ciblant</w:t>
      </w:r>
      <w:r>
        <w:rPr>
          <w:spacing w:val="-9"/>
          <w:u w:val="thick"/>
        </w:rPr>
        <w:t> </w:t>
      </w:r>
      <w:r>
        <w:rPr>
          <w:u w:val="thick"/>
        </w:rPr>
        <w:t>le</w:t>
      </w:r>
      <w:r>
        <w:rPr>
          <w:spacing w:val="-7"/>
          <w:u w:val="thick"/>
        </w:rPr>
        <w:t> </w:t>
      </w:r>
      <w:r>
        <w:rPr>
          <w:u w:val="thick"/>
        </w:rPr>
        <w:t>métabolisme</w:t>
      </w:r>
      <w:r>
        <w:rPr>
          <w:spacing w:val="-7"/>
          <w:u w:val="thick"/>
        </w:rPr>
        <w:t> </w:t>
      </w:r>
      <w:r>
        <w:rPr>
          <w:u w:val="thick"/>
        </w:rPr>
        <w:t>de</w:t>
      </w:r>
      <w:r>
        <w:rPr>
          <w:spacing w:val="-9"/>
          <w:u w:val="thick"/>
        </w:rPr>
        <w:t> </w:t>
      </w:r>
      <w:r>
        <w:rPr>
          <w:u w:val="thick"/>
        </w:rPr>
        <w:t>la</w:t>
      </w:r>
      <w:r>
        <w:rPr>
          <w:spacing w:val="-8"/>
          <w:u w:val="thick"/>
        </w:rPr>
        <w:t> </w:t>
      </w:r>
      <w:r>
        <w:rPr>
          <w:u w:val="thick"/>
        </w:rPr>
        <w:t>cellule</w:t>
      </w:r>
      <w:r>
        <w:rPr>
          <w:spacing w:val="-9"/>
          <w:u w:val="thick"/>
        </w:rPr>
        <w:t> </w:t>
      </w:r>
      <w:r>
        <w:rPr>
          <w:u w:val="thick"/>
        </w:rPr>
        <w:t>tumorale</w:t>
      </w:r>
    </w:p>
    <w:p>
      <w:pPr>
        <w:pStyle w:val="BodyText"/>
        <w:rPr>
          <w:b/>
          <w:sz w:val="20"/>
        </w:rPr>
      </w:pPr>
    </w:p>
    <w:p>
      <w:pPr>
        <w:pStyle w:val="BodyText"/>
        <w:spacing w:before="3"/>
        <w:rPr>
          <w:b/>
          <w:sz w:val="18"/>
        </w:rPr>
      </w:pPr>
    </w:p>
    <w:p>
      <w:pPr>
        <w:pStyle w:val="BodyText"/>
        <w:spacing w:line="273" w:lineRule="auto" w:before="90"/>
        <w:ind w:left="116" w:right="112" w:firstLine="707"/>
        <w:jc w:val="both"/>
      </w:pPr>
      <w:r>
        <w:rPr/>
        <w:t>Si la progression et le comportement sont variables d’une tumeur à l’autre, l’étude précédente</w:t>
      </w:r>
      <w:r>
        <w:rPr>
          <w:spacing w:val="-4"/>
        </w:rPr>
        <w:t> </w:t>
      </w:r>
      <w:r>
        <w:rPr/>
        <w:t>du</w:t>
      </w:r>
      <w:r>
        <w:rPr>
          <w:spacing w:val="-4"/>
        </w:rPr>
        <w:t> </w:t>
      </w:r>
      <w:r>
        <w:rPr/>
        <w:t>métabolisme</w:t>
      </w:r>
      <w:r>
        <w:rPr>
          <w:spacing w:val="-4"/>
        </w:rPr>
        <w:t> </w:t>
      </w:r>
      <w:r>
        <w:rPr/>
        <w:t>de</w:t>
      </w:r>
      <w:r>
        <w:rPr>
          <w:spacing w:val="-5"/>
        </w:rPr>
        <w:t> </w:t>
      </w:r>
      <w:r>
        <w:rPr/>
        <w:t>la</w:t>
      </w:r>
      <w:r>
        <w:rPr>
          <w:spacing w:val="-4"/>
        </w:rPr>
        <w:t> </w:t>
      </w:r>
      <w:r>
        <w:rPr/>
        <w:t>cellule</w:t>
      </w:r>
      <w:r>
        <w:rPr>
          <w:spacing w:val="-4"/>
        </w:rPr>
        <w:t> </w:t>
      </w:r>
      <w:r>
        <w:rPr/>
        <w:t>cancéreuse</w:t>
      </w:r>
      <w:r>
        <w:rPr>
          <w:spacing w:val="-5"/>
        </w:rPr>
        <w:t> </w:t>
      </w:r>
      <w:r>
        <w:rPr/>
        <w:t>met</w:t>
      </w:r>
      <w:r>
        <w:rPr>
          <w:spacing w:val="-4"/>
        </w:rPr>
        <w:t> </w:t>
      </w:r>
      <w:r>
        <w:rPr/>
        <w:t>en</w:t>
      </w:r>
      <w:r>
        <w:rPr>
          <w:spacing w:val="-4"/>
        </w:rPr>
        <w:t> </w:t>
      </w:r>
      <w:r>
        <w:rPr/>
        <w:t>lumière</w:t>
      </w:r>
      <w:r>
        <w:rPr>
          <w:spacing w:val="-1"/>
        </w:rPr>
        <w:t> </w:t>
      </w:r>
      <w:r>
        <w:rPr/>
        <w:t>des</w:t>
      </w:r>
      <w:r>
        <w:rPr>
          <w:spacing w:val="-3"/>
        </w:rPr>
        <w:t> </w:t>
      </w:r>
      <w:r>
        <w:rPr/>
        <w:t>points</w:t>
      </w:r>
      <w:r>
        <w:rPr>
          <w:spacing w:val="-4"/>
        </w:rPr>
        <w:t> </w:t>
      </w:r>
      <w:r>
        <w:rPr/>
        <w:t>communs</w:t>
      </w:r>
      <w:r>
        <w:rPr>
          <w:spacing w:val="-4"/>
        </w:rPr>
        <w:t> </w:t>
      </w:r>
      <w:r>
        <w:rPr/>
        <w:t>à</w:t>
      </w:r>
      <w:r>
        <w:rPr>
          <w:spacing w:val="-5"/>
        </w:rPr>
        <w:t> </w:t>
      </w:r>
      <w:r>
        <w:rPr/>
        <w:t>tous les cancers, pouvant être utilisés pour un objectif</w:t>
      </w:r>
      <w:r>
        <w:rPr>
          <w:spacing w:val="-12"/>
        </w:rPr>
        <w:t> </w:t>
      </w:r>
      <w:r>
        <w:rPr/>
        <w:t>thérapeutique.</w:t>
      </w:r>
    </w:p>
    <w:p>
      <w:pPr>
        <w:pStyle w:val="BodyText"/>
        <w:spacing w:line="276" w:lineRule="auto" w:before="166"/>
        <w:ind w:left="116" w:right="115" w:firstLine="707"/>
        <w:jc w:val="both"/>
      </w:pPr>
      <w:r>
        <w:rPr/>
        <w:t>Nous</w:t>
      </w:r>
      <w:r>
        <w:rPr>
          <w:spacing w:val="-9"/>
        </w:rPr>
        <w:t> </w:t>
      </w:r>
      <w:r>
        <w:rPr/>
        <w:t>allons</w:t>
      </w:r>
      <w:r>
        <w:rPr>
          <w:spacing w:val="-8"/>
        </w:rPr>
        <w:t> </w:t>
      </w:r>
      <w:r>
        <w:rPr/>
        <w:t>répertorier</w:t>
      </w:r>
      <w:r>
        <w:rPr>
          <w:spacing w:val="-8"/>
        </w:rPr>
        <w:t> </w:t>
      </w:r>
      <w:r>
        <w:rPr/>
        <w:t>dans</w:t>
      </w:r>
      <w:r>
        <w:rPr>
          <w:spacing w:val="-8"/>
        </w:rPr>
        <w:t> </w:t>
      </w:r>
      <w:r>
        <w:rPr/>
        <w:t>cette</w:t>
      </w:r>
      <w:r>
        <w:rPr>
          <w:spacing w:val="-7"/>
        </w:rPr>
        <w:t> </w:t>
      </w:r>
      <w:r>
        <w:rPr/>
        <w:t>partie</w:t>
      </w:r>
      <w:r>
        <w:rPr>
          <w:spacing w:val="-8"/>
        </w:rPr>
        <w:t> </w:t>
      </w:r>
      <w:r>
        <w:rPr/>
        <w:t>les</w:t>
      </w:r>
      <w:r>
        <w:rPr>
          <w:spacing w:val="-9"/>
        </w:rPr>
        <w:t> </w:t>
      </w:r>
      <w:r>
        <w:rPr/>
        <w:t>molécules</w:t>
      </w:r>
      <w:r>
        <w:rPr>
          <w:spacing w:val="-9"/>
        </w:rPr>
        <w:t> </w:t>
      </w:r>
      <w:r>
        <w:rPr/>
        <w:t>utilisables</w:t>
      </w:r>
      <w:r>
        <w:rPr>
          <w:spacing w:val="-8"/>
        </w:rPr>
        <w:t> </w:t>
      </w:r>
      <w:r>
        <w:rPr>
          <w:b/>
          <w:i/>
        </w:rPr>
        <w:t>in</w:t>
      </w:r>
      <w:r>
        <w:rPr>
          <w:b/>
          <w:i/>
          <w:spacing w:val="-7"/>
        </w:rPr>
        <w:t> </w:t>
      </w:r>
      <w:r>
        <w:rPr>
          <w:b/>
          <w:i/>
        </w:rPr>
        <w:t>vitro</w:t>
      </w:r>
      <w:r>
        <w:rPr>
          <w:b/>
          <w:i/>
          <w:spacing w:val="-7"/>
        </w:rPr>
        <w:t> </w:t>
      </w:r>
      <w:r>
        <w:rPr/>
        <w:t>et</w:t>
      </w:r>
      <w:r>
        <w:rPr>
          <w:spacing w:val="-6"/>
        </w:rPr>
        <w:t> </w:t>
      </w:r>
      <w:r>
        <w:rPr>
          <w:b/>
          <w:i/>
        </w:rPr>
        <w:t>in</w:t>
      </w:r>
      <w:r>
        <w:rPr>
          <w:b/>
          <w:i/>
          <w:spacing w:val="-7"/>
        </w:rPr>
        <w:t> </w:t>
      </w:r>
      <w:r>
        <w:rPr>
          <w:b/>
          <w:i/>
        </w:rPr>
        <w:t>vivo</w:t>
      </w:r>
      <w:r>
        <w:rPr>
          <w:b/>
          <w:i/>
          <w:spacing w:val="-9"/>
        </w:rPr>
        <w:t> </w:t>
      </w:r>
      <w:r>
        <w:rPr/>
        <w:t>pour cibler</w:t>
      </w:r>
      <w:r>
        <w:rPr>
          <w:spacing w:val="-10"/>
        </w:rPr>
        <w:t> </w:t>
      </w:r>
      <w:r>
        <w:rPr/>
        <w:t>les</w:t>
      </w:r>
      <w:r>
        <w:rPr>
          <w:spacing w:val="-10"/>
        </w:rPr>
        <w:t> </w:t>
      </w:r>
      <w:r>
        <w:rPr/>
        <w:t>spécificités</w:t>
      </w:r>
      <w:r>
        <w:rPr>
          <w:spacing w:val="-9"/>
        </w:rPr>
        <w:t> </w:t>
      </w:r>
      <w:r>
        <w:rPr/>
        <w:t>du</w:t>
      </w:r>
      <w:r>
        <w:rPr>
          <w:spacing w:val="-7"/>
        </w:rPr>
        <w:t> </w:t>
      </w:r>
      <w:r>
        <w:rPr/>
        <w:t>métabolisme</w:t>
      </w:r>
      <w:r>
        <w:rPr>
          <w:spacing w:val="-10"/>
        </w:rPr>
        <w:t> </w:t>
      </w:r>
      <w:r>
        <w:rPr/>
        <w:t>du</w:t>
      </w:r>
      <w:r>
        <w:rPr>
          <w:spacing w:val="-10"/>
        </w:rPr>
        <w:t> </w:t>
      </w:r>
      <w:r>
        <w:rPr/>
        <w:t>glucose</w:t>
      </w:r>
      <w:r>
        <w:rPr>
          <w:spacing w:val="-7"/>
        </w:rPr>
        <w:t> </w:t>
      </w:r>
      <w:r>
        <w:rPr/>
        <w:t>et</w:t>
      </w:r>
      <w:r>
        <w:rPr>
          <w:spacing w:val="-9"/>
        </w:rPr>
        <w:t> </w:t>
      </w:r>
      <w:r>
        <w:rPr/>
        <w:t>de</w:t>
      </w:r>
      <w:r>
        <w:rPr>
          <w:spacing w:val="-11"/>
        </w:rPr>
        <w:t> </w:t>
      </w:r>
      <w:r>
        <w:rPr/>
        <w:t>la</w:t>
      </w:r>
      <w:r>
        <w:rPr>
          <w:spacing w:val="-8"/>
        </w:rPr>
        <w:t> </w:t>
      </w:r>
      <w:r>
        <w:rPr/>
        <w:t>glutamine</w:t>
      </w:r>
      <w:r>
        <w:rPr>
          <w:spacing w:val="-10"/>
        </w:rPr>
        <w:t> </w:t>
      </w:r>
      <w:r>
        <w:rPr/>
        <w:t>ainsi</w:t>
      </w:r>
      <w:r>
        <w:rPr>
          <w:spacing w:val="-9"/>
        </w:rPr>
        <w:t> </w:t>
      </w:r>
      <w:r>
        <w:rPr/>
        <w:t>que</w:t>
      </w:r>
      <w:r>
        <w:rPr>
          <w:spacing w:val="-11"/>
        </w:rPr>
        <w:t> </w:t>
      </w:r>
      <w:r>
        <w:rPr/>
        <w:t>celles</w:t>
      </w:r>
      <w:r>
        <w:rPr>
          <w:spacing w:val="-7"/>
        </w:rPr>
        <w:t> </w:t>
      </w:r>
      <w:r>
        <w:rPr/>
        <w:t>agissant</w:t>
      </w:r>
      <w:r>
        <w:rPr>
          <w:spacing w:val="-9"/>
        </w:rPr>
        <w:t> </w:t>
      </w:r>
      <w:r>
        <w:rPr/>
        <w:t>sur l’équilibre acido-basique de la cellule</w:t>
      </w:r>
      <w:r>
        <w:rPr>
          <w:spacing w:val="-11"/>
        </w:rPr>
        <w:t> </w:t>
      </w:r>
      <w:r>
        <w:rPr/>
        <w:t>cancéreuse.</w:t>
      </w:r>
    </w:p>
    <w:p>
      <w:pPr>
        <w:pStyle w:val="BodyText"/>
        <w:rPr>
          <w:sz w:val="26"/>
        </w:rPr>
      </w:pPr>
    </w:p>
    <w:p>
      <w:pPr>
        <w:pStyle w:val="BodyText"/>
        <w:spacing w:before="10"/>
        <w:rPr>
          <w:sz w:val="29"/>
        </w:rPr>
      </w:pPr>
    </w:p>
    <w:p>
      <w:pPr>
        <w:pStyle w:val="Heading3"/>
        <w:numPr>
          <w:ilvl w:val="1"/>
          <w:numId w:val="4"/>
        </w:numPr>
        <w:tabs>
          <w:tab w:pos="1535" w:val="left" w:leader="none"/>
        </w:tabs>
        <w:spacing w:line="278" w:lineRule="auto" w:before="0" w:after="0"/>
        <w:ind w:left="1534" w:right="116" w:hanging="360"/>
        <w:jc w:val="left"/>
      </w:pPr>
      <w:bookmarkStart w:name="_bookmark77" w:id="123"/>
      <w:bookmarkEnd w:id="123"/>
      <w:r>
        <w:rPr>
          <w:b w:val="0"/>
        </w:rPr>
      </w:r>
      <w:bookmarkStart w:name="_bookmark77" w:id="124"/>
      <w:bookmarkEnd w:id="124"/>
      <w:r>
        <w:rPr/>
        <w:t>C</w:t>
      </w:r>
      <w:r>
        <w:rPr/>
        <w:t>ibler l’entrée de glucose dans la cellule </w:t>
      </w:r>
      <w:r>
        <w:rPr>
          <w:i/>
        </w:rPr>
        <w:t>via </w:t>
      </w:r>
      <w:r>
        <w:rPr/>
        <w:t>l’inhibition de GLUT1</w:t>
      </w:r>
    </w:p>
    <w:p>
      <w:pPr>
        <w:pStyle w:val="BodyText"/>
        <w:rPr>
          <w:b/>
          <w:sz w:val="41"/>
        </w:rPr>
      </w:pPr>
    </w:p>
    <w:p>
      <w:pPr>
        <w:pStyle w:val="BodyText"/>
        <w:spacing w:line="273" w:lineRule="auto"/>
        <w:ind w:left="116" w:right="117" w:firstLine="707"/>
        <w:jc w:val="both"/>
      </w:pPr>
      <w:r>
        <w:rPr/>
        <w:t>La</w:t>
      </w:r>
      <w:r>
        <w:rPr>
          <w:spacing w:val="-13"/>
        </w:rPr>
        <w:t> </w:t>
      </w:r>
      <w:r>
        <w:rPr/>
        <w:t>surexpression</w:t>
      </w:r>
      <w:r>
        <w:rPr>
          <w:spacing w:val="-14"/>
        </w:rPr>
        <w:t> </w:t>
      </w:r>
      <w:r>
        <w:rPr/>
        <w:t>des</w:t>
      </w:r>
      <w:r>
        <w:rPr>
          <w:spacing w:val="-12"/>
        </w:rPr>
        <w:t> </w:t>
      </w:r>
      <w:r>
        <w:rPr/>
        <w:t>transporteurs</w:t>
      </w:r>
      <w:r>
        <w:rPr>
          <w:spacing w:val="-15"/>
        </w:rPr>
        <w:t> </w:t>
      </w:r>
      <w:r>
        <w:rPr/>
        <w:t>du</w:t>
      </w:r>
      <w:r>
        <w:rPr>
          <w:spacing w:val="-12"/>
        </w:rPr>
        <w:t> </w:t>
      </w:r>
      <w:r>
        <w:rPr/>
        <w:t>glucose</w:t>
      </w:r>
      <w:r>
        <w:rPr>
          <w:spacing w:val="-15"/>
        </w:rPr>
        <w:t> </w:t>
      </w:r>
      <w:r>
        <w:rPr/>
        <w:t>semblerait</w:t>
      </w:r>
      <w:r>
        <w:rPr>
          <w:spacing w:val="-14"/>
        </w:rPr>
        <w:t> </w:t>
      </w:r>
      <w:r>
        <w:rPr/>
        <w:t>rendre</w:t>
      </w:r>
      <w:r>
        <w:rPr>
          <w:spacing w:val="-16"/>
        </w:rPr>
        <w:t> </w:t>
      </w:r>
      <w:r>
        <w:rPr/>
        <w:t>les</w:t>
      </w:r>
      <w:r>
        <w:rPr>
          <w:spacing w:val="-14"/>
        </w:rPr>
        <w:t> </w:t>
      </w:r>
      <w:r>
        <w:rPr/>
        <w:t>cellules</w:t>
      </w:r>
      <w:r>
        <w:rPr>
          <w:spacing w:val="-12"/>
        </w:rPr>
        <w:t> </w:t>
      </w:r>
      <w:r>
        <w:rPr/>
        <w:t>cancéreuses résistantes aux différentes chimiothérapies. En partant de ce postulat, plusieurs molécules ont été testées </w:t>
      </w:r>
      <w:r>
        <w:rPr>
          <w:b/>
          <w:i/>
        </w:rPr>
        <w:t>in vitro </w:t>
      </w:r>
      <w:r>
        <w:rPr/>
        <w:t>et/ou </w:t>
      </w:r>
      <w:r>
        <w:rPr>
          <w:b/>
          <w:i/>
        </w:rPr>
        <w:t>in</w:t>
      </w:r>
      <w:r>
        <w:rPr>
          <w:b/>
          <w:i/>
          <w:spacing w:val="-6"/>
        </w:rPr>
        <w:t> </w:t>
      </w:r>
      <w:r>
        <w:rPr>
          <w:b/>
          <w:i/>
        </w:rPr>
        <w:t>vivo</w:t>
      </w:r>
      <w:r>
        <w:rPr/>
        <w:t>.</w:t>
      </w:r>
    </w:p>
    <w:p>
      <w:pPr>
        <w:pStyle w:val="BodyText"/>
        <w:rPr>
          <w:sz w:val="26"/>
        </w:rPr>
      </w:pPr>
    </w:p>
    <w:p>
      <w:pPr>
        <w:pStyle w:val="BodyText"/>
        <w:rPr>
          <w:sz w:val="30"/>
        </w:rPr>
      </w:pPr>
    </w:p>
    <w:p>
      <w:pPr>
        <w:pStyle w:val="ListParagraph"/>
        <w:numPr>
          <w:ilvl w:val="0"/>
          <w:numId w:val="13"/>
        </w:numPr>
        <w:tabs>
          <w:tab w:pos="1110" w:val="left" w:leader="none"/>
        </w:tabs>
        <w:spacing w:line="240" w:lineRule="auto" w:before="0" w:after="0"/>
        <w:ind w:left="1110" w:right="0" w:hanging="360"/>
        <w:jc w:val="left"/>
        <w:rPr>
          <w:sz w:val="24"/>
        </w:rPr>
      </w:pPr>
      <w:bookmarkStart w:name="_bookmark78" w:id="125"/>
      <w:bookmarkEnd w:id="125"/>
      <w:r>
        <w:rPr/>
      </w:r>
      <w:bookmarkStart w:name="_bookmark78" w:id="126"/>
      <w:bookmarkEnd w:id="126"/>
      <w:r>
        <w:rPr>
          <w:sz w:val="24"/>
          <w:u w:val="single"/>
        </w:rPr>
        <w:t>L</w:t>
      </w:r>
      <w:r>
        <w:rPr>
          <w:sz w:val="24"/>
          <w:u w:val="single"/>
        </w:rPr>
        <w:t>a</w:t>
      </w:r>
      <w:r>
        <w:rPr>
          <w:spacing w:val="-4"/>
          <w:sz w:val="24"/>
          <w:u w:val="single"/>
        </w:rPr>
        <w:t> </w:t>
      </w:r>
      <w:r>
        <w:rPr>
          <w:sz w:val="24"/>
          <w:u w:val="single"/>
        </w:rPr>
        <w:t>phlorétine</w:t>
      </w:r>
    </w:p>
    <w:p>
      <w:pPr>
        <w:pStyle w:val="BodyText"/>
        <w:rPr>
          <w:sz w:val="20"/>
        </w:rPr>
      </w:pPr>
    </w:p>
    <w:p>
      <w:pPr>
        <w:pStyle w:val="BodyText"/>
        <w:spacing w:before="3"/>
        <w:rPr>
          <w:sz w:val="17"/>
        </w:rPr>
      </w:pPr>
    </w:p>
    <w:p>
      <w:pPr>
        <w:pStyle w:val="BodyText"/>
        <w:spacing w:line="276" w:lineRule="auto" w:before="90"/>
        <w:ind w:left="116" w:right="111" w:firstLine="707"/>
        <w:jc w:val="both"/>
      </w:pPr>
      <w:r>
        <w:rPr/>
        <w:t>L’équipe</w:t>
      </w:r>
      <w:r>
        <w:rPr>
          <w:spacing w:val="-8"/>
        </w:rPr>
        <w:t> </w:t>
      </w:r>
      <w:r>
        <w:rPr/>
        <w:t>de</w:t>
      </w:r>
      <w:r>
        <w:rPr>
          <w:spacing w:val="-8"/>
        </w:rPr>
        <w:t> </w:t>
      </w:r>
      <w:r>
        <w:rPr/>
        <w:t>Cao</w:t>
      </w:r>
      <w:r>
        <w:rPr>
          <w:spacing w:val="-7"/>
        </w:rPr>
        <w:t> </w:t>
      </w:r>
      <w:r>
        <w:rPr/>
        <w:t>et</w:t>
      </w:r>
      <w:r>
        <w:rPr>
          <w:spacing w:val="-7"/>
        </w:rPr>
        <w:t> </w:t>
      </w:r>
      <w:r>
        <w:rPr/>
        <w:t>al.</w:t>
      </w:r>
      <w:r>
        <w:rPr>
          <w:spacing w:val="-6"/>
        </w:rPr>
        <w:t> </w:t>
      </w:r>
      <w:r>
        <w:rPr/>
        <w:t>a</w:t>
      </w:r>
      <w:r>
        <w:rPr>
          <w:spacing w:val="-8"/>
        </w:rPr>
        <w:t> </w:t>
      </w:r>
      <w:r>
        <w:rPr/>
        <w:t>utilisé</w:t>
      </w:r>
      <w:r>
        <w:rPr>
          <w:spacing w:val="-8"/>
        </w:rPr>
        <w:t> </w:t>
      </w:r>
      <w:r>
        <w:rPr/>
        <w:t>la</w:t>
      </w:r>
      <w:r>
        <w:rPr>
          <w:spacing w:val="-9"/>
        </w:rPr>
        <w:t> </w:t>
      </w:r>
      <w:r>
        <w:rPr>
          <w:b/>
          <w:u w:val="thick"/>
        </w:rPr>
        <w:t>phlorétine</w:t>
      </w:r>
      <w:r>
        <w:rPr/>
        <w:t>,</w:t>
      </w:r>
      <w:r>
        <w:rPr>
          <w:spacing w:val="-7"/>
        </w:rPr>
        <w:t> </w:t>
      </w:r>
      <w:r>
        <w:rPr/>
        <w:t>inhibiteur</w:t>
      </w:r>
      <w:r>
        <w:rPr>
          <w:spacing w:val="-8"/>
        </w:rPr>
        <w:t> </w:t>
      </w:r>
      <w:r>
        <w:rPr/>
        <w:t>des</w:t>
      </w:r>
      <w:r>
        <w:rPr>
          <w:spacing w:val="-7"/>
        </w:rPr>
        <w:t> </w:t>
      </w:r>
      <w:r>
        <w:rPr/>
        <w:t>GLUT,</w:t>
      </w:r>
      <w:r>
        <w:rPr>
          <w:spacing w:val="-6"/>
        </w:rPr>
        <w:t> </w:t>
      </w:r>
      <w:r>
        <w:rPr/>
        <w:t>pour</w:t>
      </w:r>
      <w:r>
        <w:rPr>
          <w:spacing w:val="-8"/>
        </w:rPr>
        <w:t> </w:t>
      </w:r>
      <w:r>
        <w:rPr/>
        <w:t>sensibiliser</w:t>
      </w:r>
      <w:r>
        <w:rPr>
          <w:spacing w:val="-7"/>
        </w:rPr>
        <w:t> </w:t>
      </w:r>
      <w:r>
        <w:rPr/>
        <w:t>les cellules cancéreuses à la daunorubicine dans des conditions hypoxiques (Cao et al., 2007).</w:t>
      </w:r>
      <w:r>
        <w:rPr>
          <w:spacing w:val="-33"/>
        </w:rPr>
        <w:t> </w:t>
      </w:r>
      <w:r>
        <w:rPr/>
        <w:t>Ces travaux</w:t>
      </w:r>
      <w:r>
        <w:rPr>
          <w:spacing w:val="-3"/>
        </w:rPr>
        <w:t> </w:t>
      </w:r>
      <w:r>
        <w:rPr/>
        <w:t>montrent</w:t>
      </w:r>
      <w:r>
        <w:rPr>
          <w:spacing w:val="-4"/>
        </w:rPr>
        <w:t> </w:t>
      </w:r>
      <w:r>
        <w:rPr/>
        <w:t>l’intérêt</w:t>
      </w:r>
      <w:r>
        <w:rPr>
          <w:spacing w:val="-4"/>
        </w:rPr>
        <w:t> </w:t>
      </w:r>
      <w:r>
        <w:rPr/>
        <w:t>de</w:t>
      </w:r>
      <w:r>
        <w:rPr>
          <w:spacing w:val="-5"/>
        </w:rPr>
        <w:t> </w:t>
      </w:r>
      <w:r>
        <w:rPr/>
        <w:t>cibler</w:t>
      </w:r>
      <w:r>
        <w:rPr>
          <w:spacing w:val="-5"/>
        </w:rPr>
        <w:t> </w:t>
      </w:r>
      <w:r>
        <w:rPr/>
        <w:t>le</w:t>
      </w:r>
      <w:r>
        <w:rPr>
          <w:spacing w:val="-3"/>
        </w:rPr>
        <w:t> </w:t>
      </w:r>
      <w:r>
        <w:rPr/>
        <w:t>métabolisme</w:t>
      </w:r>
      <w:r>
        <w:rPr>
          <w:spacing w:val="-5"/>
        </w:rPr>
        <w:t> </w:t>
      </w:r>
      <w:r>
        <w:rPr/>
        <w:t>énergétique</w:t>
      </w:r>
      <w:r>
        <w:rPr>
          <w:spacing w:val="-4"/>
        </w:rPr>
        <w:t> </w:t>
      </w:r>
      <w:r>
        <w:rPr/>
        <w:t>pour</w:t>
      </w:r>
      <w:r>
        <w:rPr>
          <w:spacing w:val="-3"/>
        </w:rPr>
        <w:t> </w:t>
      </w:r>
      <w:r>
        <w:rPr/>
        <w:t>favoriser</w:t>
      </w:r>
      <w:r>
        <w:rPr>
          <w:spacing w:val="-5"/>
        </w:rPr>
        <w:t> </w:t>
      </w:r>
      <w:r>
        <w:rPr/>
        <w:t>l’efficacité</w:t>
      </w:r>
      <w:r>
        <w:rPr>
          <w:spacing w:val="-5"/>
        </w:rPr>
        <w:t> </w:t>
      </w:r>
      <w:r>
        <w:rPr/>
        <w:t>de</w:t>
      </w:r>
      <w:r>
        <w:rPr>
          <w:spacing w:val="-5"/>
        </w:rPr>
        <w:t> </w:t>
      </w:r>
      <w:r>
        <w:rPr/>
        <w:t>la chimiothérapie. De plus, la phlorétine semble entraîner </w:t>
      </w:r>
      <w:r>
        <w:rPr>
          <w:b/>
          <w:i/>
        </w:rPr>
        <w:t>in vitro </w:t>
      </w:r>
      <w:r>
        <w:rPr/>
        <w:t>des phénomènes d’apoptose dans des cellules de cancer du foie (Wu et al., 2009) et dans un modèle de cancer du poumon (Min et al., 2015). L’étude de Wu et al. montre également une activité </w:t>
      </w:r>
      <w:r>
        <w:rPr>
          <w:b/>
          <w:i/>
        </w:rPr>
        <w:t>in vivo </w:t>
      </w:r>
      <w:r>
        <w:rPr/>
        <w:t>de la phlorétine à</w:t>
      </w:r>
      <w:r>
        <w:rPr>
          <w:spacing w:val="-9"/>
        </w:rPr>
        <w:t> </w:t>
      </w:r>
      <w:r>
        <w:rPr/>
        <w:t>10</w:t>
      </w:r>
      <w:r>
        <w:rPr>
          <w:spacing w:val="-8"/>
        </w:rPr>
        <w:t> </w:t>
      </w:r>
      <w:r>
        <w:rPr/>
        <w:t>mg/kg</w:t>
      </w:r>
      <w:r>
        <w:rPr>
          <w:spacing w:val="-10"/>
        </w:rPr>
        <w:t> </w:t>
      </w:r>
      <w:r>
        <w:rPr/>
        <w:t>en</w:t>
      </w:r>
      <w:r>
        <w:rPr>
          <w:spacing w:val="-8"/>
        </w:rPr>
        <w:t> </w:t>
      </w:r>
      <w:r>
        <w:rPr/>
        <w:t>intrapéritonéal</w:t>
      </w:r>
      <w:r>
        <w:rPr>
          <w:spacing w:val="-7"/>
        </w:rPr>
        <w:t> </w:t>
      </w:r>
      <w:r>
        <w:rPr/>
        <w:t>sur</w:t>
      </w:r>
      <w:r>
        <w:rPr>
          <w:spacing w:val="-8"/>
        </w:rPr>
        <w:t> </w:t>
      </w:r>
      <w:r>
        <w:rPr/>
        <w:t>un</w:t>
      </w:r>
      <w:r>
        <w:rPr>
          <w:spacing w:val="-6"/>
        </w:rPr>
        <w:t> </w:t>
      </w:r>
      <w:r>
        <w:rPr/>
        <w:t>modèle</w:t>
      </w:r>
      <w:r>
        <w:rPr>
          <w:spacing w:val="-9"/>
        </w:rPr>
        <w:t> </w:t>
      </w:r>
      <w:r>
        <w:rPr/>
        <w:t>souris</w:t>
      </w:r>
      <w:r>
        <w:rPr>
          <w:spacing w:val="-7"/>
        </w:rPr>
        <w:t> </w:t>
      </w:r>
      <w:r>
        <w:rPr/>
        <w:t>nude</w:t>
      </w:r>
      <w:r>
        <w:rPr>
          <w:spacing w:val="-9"/>
        </w:rPr>
        <w:t> </w:t>
      </w:r>
      <w:r>
        <w:rPr/>
        <w:t>avec</w:t>
      </w:r>
      <w:r>
        <w:rPr>
          <w:spacing w:val="-9"/>
        </w:rPr>
        <w:t> </w:t>
      </w:r>
      <w:r>
        <w:rPr/>
        <w:t>une</w:t>
      </w:r>
      <w:r>
        <w:rPr>
          <w:spacing w:val="-9"/>
        </w:rPr>
        <w:t> </w:t>
      </w:r>
      <w:r>
        <w:rPr/>
        <w:t>xénogreffe</w:t>
      </w:r>
      <w:r>
        <w:rPr>
          <w:spacing w:val="-9"/>
        </w:rPr>
        <w:t> </w:t>
      </w:r>
      <w:r>
        <w:rPr/>
        <w:t>de</w:t>
      </w:r>
      <w:r>
        <w:rPr>
          <w:spacing w:val="-6"/>
        </w:rPr>
        <w:t> </w:t>
      </w:r>
      <w:r>
        <w:rPr/>
        <w:t>cancer</w:t>
      </w:r>
      <w:r>
        <w:rPr>
          <w:spacing w:val="-8"/>
        </w:rPr>
        <w:t> </w:t>
      </w:r>
      <w:r>
        <w:rPr/>
        <w:t>du</w:t>
      </w:r>
      <w:r>
        <w:rPr>
          <w:spacing w:val="-6"/>
        </w:rPr>
        <w:t> </w:t>
      </w:r>
      <w:r>
        <w:rPr/>
        <w:t>foie. Sur un modèle de souris nude xénogreffé avec des cellules d’une lignée de cancer du poumon, la phlorétine a été administrée en intrapéritonéal à faible dose (10 mg/kg) et à forte dose (20 mg/kg) démontrant l’effet dose dépendant de cette dernière (Min et al.,</w:t>
      </w:r>
      <w:r>
        <w:rPr>
          <w:spacing w:val="-11"/>
        </w:rPr>
        <w:t> </w:t>
      </w:r>
      <w:r>
        <w:rPr/>
        <w:t>2015).</w:t>
      </w:r>
    </w:p>
    <w:p>
      <w:pPr>
        <w:pStyle w:val="BodyText"/>
        <w:rPr>
          <w:sz w:val="26"/>
        </w:rPr>
      </w:pPr>
    </w:p>
    <w:p>
      <w:pPr>
        <w:pStyle w:val="BodyText"/>
        <w:spacing w:before="8"/>
        <w:rPr>
          <w:sz w:val="29"/>
        </w:rPr>
      </w:pPr>
    </w:p>
    <w:p>
      <w:pPr>
        <w:pStyle w:val="ListParagraph"/>
        <w:numPr>
          <w:ilvl w:val="0"/>
          <w:numId w:val="13"/>
        </w:numPr>
        <w:tabs>
          <w:tab w:pos="1110" w:val="left" w:leader="none"/>
        </w:tabs>
        <w:spacing w:line="240" w:lineRule="auto" w:before="1" w:after="0"/>
        <w:ind w:left="1110" w:right="0" w:hanging="360"/>
        <w:jc w:val="left"/>
        <w:rPr>
          <w:sz w:val="24"/>
        </w:rPr>
      </w:pPr>
      <w:bookmarkStart w:name="_bookmark79" w:id="127"/>
      <w:bookmarkEnd w:id="127"/>
      <w:r>
        <w:rPr/>
      </w:r>
      <w:bookmarkStart w:name="_bookmark79" w:id="128"/>
      <w:bookmarkEnd w:id="128"/>
      <w:r>
        <w:rPr>
          <w:sz w:val="24"/>
          <w:u w:val="single"/>
        </w:rPr>
        <w:t>L</w:t>
      </w:r>
      <w:r>
        <w:rPr>
          <w:sz w:val="24"/>
          <w:u w:val="single"/>
        </w:rPr>
        <w:t>e</w:t>
      </w:r>
      <w:r>
        <w:rPr>
          <w:spacing w:val="-6"/>
          <w:sz w:val="24"/>
          <w:u w:val="single"/>
        </w:rPr>
        <w:t> </w:t>
      </w:r>
      <w:r>
        <w:rPr>
          <w:sz w:val="24"/>
          <w:u w:val="single"/>
        </w:rPr>
        <w:t>fasentin</w:t>
      </w:r>
    </w:p>
    <w:p>
      <w:pPr>
        <w:pStyle w:val="BodyText"/>
        <w:rPr>
          <w:sz w:val="20"/>
        </w:rPr>
      </w:pPr>
    </w:p>
    <w:p>
      <w:pPr>
        <w:pStyle w:val="BodyText"/>
        <w:spacing w:before="3"/>
        <w:rPr>
          <w:sz w:val="17"/>
        </w:rPr>
      </w:pPr>
    </w:p>
    <w:p>
      <w:pPr>
        <w:pStyle w:val="BodyText"/>
        <w:spacing w:line="276" w:lineRule="auto" w:before="90"/>
        <w:ind w:left="116" w:right="117" w:firstLine="707"/>
        <w:jc w:val="both"/>
      </w:pPr>
      <w:r>
        <w:rPr/>
        <w:t>L’étude de Wood et al. utilise le </w:t>
      </w:r>
      <w:r>
        <w:rPr>
          <w:b/>
          <w:u w:val="thick"/>
        </w:rPr>
        <w:t>fasentin</w:t>
      </w:r>
      <w:r>
        <w:rPr>
          <w:b/>
        </w:rPr>
        <w:t> </w:t>
      </w:r>
      <w:r>
        <w:rPr/>
        <w:t>(N-[4-chloro-3-(trifluorométhyl)phényl]-3- oxobutanamide) pour rendre les cellules plus sensibles au récepteur Fas (impliqué dans les mécanismes d’apoptose, cf. annexe 1). D’après cette étude, le fasentin serait un inhibiteur partiel des transporteurs au glucose GLUT1 (Wood et al., 2008).</w:t>
      </w:r>
    </w:p>
    <w:p>
      <w:pPr>
        <w:spacing w:after="0" w:line="276" w:lineRule="auto"/>
        <w:jc w:val="both"/>
        <w:sectPr>
          <w:pgSz w:w="11910" w:h="16840"/>
          <w:pgMar w:header="0" w:footer="995" w:top="1340" w:bottom="1240" w:left="1300" w:right="1300"/>
        </w:sectPr>
      </w:pPr>
    </w:p>
    <w:p>
      <w:pPr>
        <w:pStyle w:val="ListParagraph"/>
        <w:numPr>
          <w:ilvl w:val="0"/>
          <w:numId w:val="13"/>
        </w:numPr>
        <w:tabs>
          <w:tab w:pos="1110" w:val="left" w:leader="none"/>
        </w:tabs>
        <w:spacing w:line="240" w:lineRule="auto" w:before="72" w:after="0"/>
        <w:ind w:left="1110" w:right="0" w:hanging="360"/>
        <w:jc w:val="left"/>
        <w:rPr>
          <w:sz w:val="24"/>
        </w:rPr>
      </w:pPr>
      <w:r>
        <w:rPr>
          <w:sz w:val="24"/>
          <w:u w:val="single"/>
        </w:rPr>
        <w:t>La</w:t>
      </w:r>
      <w:r>
        <w:rPr>
          <w:spacing w:val="-5"/>
          <w:sz w:val="24"/>
          <w:u w:val="single"/>
        </w:rPr>
        <w:t> </w:t>
      </w:r>
      <w:r>
        <w:rPr>
          <w:sz w:val="24"/>
          <w:u w:val="single"/>
        </w:rPr>
        <w:t>silybine</w:t>
      </w:r>
    </w:p>
    <w:p>
      <w:pPr>
        <w:pStyle w:val="BodyText"/>
        <w:rPr>
          <w:sz w:val="20"/>
        </w:rPr>
      </w:pPr>
    </w:p>
    <w:p>
      <w:pPr>
        <w:pStyle w:val="BodyText"/>
        <w:spacing w:before="5"/>
        <w:rPr>
          <w:sz w:val="17"/>
        </w:rPr>
      </w:pPr>
    </w:p>
    <w:p>
      <w:pPr>
        <w:pStyle w:val="BodyText"/>
        <w:spacing w:line="276" w:lineRule="auto" w:before="90"/>
        <w:ind w:left="116" w:right="112" w:firstLine="707"/>
        <w:jc w:val="both"/>
      </w:pPr>
      <w:r>
        <w:rPr/>
        <w:t>La </w:t>
      </w:r>
      <w:r>
        <w:rPr>
          <w:b/>
          <w:u w:val="thick"/>
        </w:rPr>
        <w:t>silybine</w:t>
      </w:r>
      <w:r>
        <w:rPr>
          <w:b/>
        </w:rPr>
        <w:t> </w:t>
      </w:r>
      <w:r>
        <w:rPr/>
        <w:t>est un flavonoïde naturel issu du Chardon-Marie </w:t>
      </w:r>
      <w:r>
        <w:rPr>
          <w:i/>
        </w:rPr>
        <w:t>Silybum marianum</w:t>
      </w:r>
      <w:r>
        <w:rPr/>
        <w:t>, inhibiteur</w:t>
      </w:r>
      <w:r>
        <w:rPr>
          <w:spacing w:val="-12"/>
        </w:rPr>
        <w:t> </w:t>
      </w:r>
      <w:r>
        <w:rPr/>
        <w:t>des</w:t>
      </w:r>
      <w:r>
        <w:rPr>
          <w:spacing w:val="-11"/>
        </w:rPr>
        <w:t> </w:t>
      </w:r>
      <w:r>
        <w:rPr/>
        <w:t>GLUT</w:t>
      </w:r>
      <w:r>
        <w:rPr>
          <w:spacing w:val="-11"/>
        </w:rPr>
        <w:t> </w:t>
      </w:r>
      <w:r>
        <w:rPr/>
        <w:t>(Zhan</w:t>
      </w:r>
      <w:r>
        <w:rPr>
          <w:spacing w:val="-11"/>
        </w:rPr>
        <w:t> </w:t>
      </w:r>
      <w:r>
        <w:rPr/>
        <w:t>et</w:t>
      </w:r>
      <w:r>
        <w:rPr>
          <w:spacing w:val="-11"/>
        </w:rPr>
        <w:t> </w:t>
      </w:r>
      <w:r>
        <w:rPr/>
        <w:t>al.,</w:t>
      </w:r>
      <w:r>
        <w:rPr>
          <w:spacing w:val="-11"/>
        </w:rPr>
        <w:t> </w:t>
      </w:r>
      <w:r>
        <w:rPr/>
        <w:t>2011).</w:t>
      </w:r>
      <w:r>
        <w:rPr>
          <w:spacing w:val="-11"/>
        </w:rPr>
        <w:t> </w:t>
      </w:r>
      <w:r>
        <w:rPr/>
        <w:t>Son</w:t>
      </w:r>
      <w:r>
        <w:rPr>
          <w:spacing w:val="-11"/>
        </w:rPr>
        <w:t> </w:t>
      </w:r>
      <w:r>
        <w:rPr/>
        <w:t>dérivé,</w:t>
      </w:r>
      <w:r>
        <w:rPr>
          <w:spacing w:val="-11"/>
        </w:rPr>
        <w:t> </w:t>
      </w:r>
      <w:r>
        <w:rPr/>
        <w:t>la</w:t>
      </w:r>
      <w:r>
        <w:rPr>
          <w:spacing w:val="-12"/>
        </w:rPr>
        <w:t> </w:t>
      </w:r>
      <w:r>
        <w:rPr/>
        <w:t>déhydrosilybine,</w:t>
      </w:r>
      <w:r>
        <w:rPr>
          <w:spacing w:val="-11"/>
        </w:rPr>
        <w:t> </w:t>
      </w:r>
      <w:r>
        <w:rPr/>
        <w:t>semble</w:t>
      </w:r>
      <w:r>
        <w:rPr>
          <w:spacing w:val="-12"/>
        </w:rPr>
        <w:t> </w:t>
      </w:r>
      <w:r>
        <w:rPr/>
        <w:t>inhiber</w:t>
      </w:r>
      <w:r>
        <w:rPr>
          <w:spacing w:val="-12"/>
        </w:rPr>
        <w:t> </w:t>
      </w:r>
      <w:r>
        <w:rPr/>
        <w:t>la</w:t>
      </w:r>
      <w:r>
        <w:rPr>
          <w:spacing w:val="-12"/>
        </w:rPr>
        <w:t> </w:t>
      </w:r>
      <w:r>
        <w:rPr/>
        <w:t>prise en charge du glucose de manière plus importante. D’après de nombreuses études, la silybine inhibe de ce fait la croissance des cellules cancéreuses. Par exemple, dans un modèle </w:t>
      </w:r>
      <w:r>
        <w:rPr>
          <w:b/>
          <w:i/>
        </w:rPr>
        <w:t>in vitro </w:t>
      </w:r>
      <w:r>
        <w:rPr/>
        <w:t>de carcinome des cellules basales, en utilisant des lignées cellulaires qui dérivent de tumeurs murines,</w:t>
      </w:r>
      <w:r>
        <w:rPr>
          <w:spacing w:val="-9"/>
        </w:rPr>
        <w:t> </w:t>
      </w:r>
      <w:r>
        <w:rPr/>
        <w:t>l’équipe</w:t>
      </w:r>
      <w:r>
        <w:rPr>
          <w:spacing w:val="-7"/>
        </w:rPr>
        <w:t> </w:t>
      </w:r>
      <w:r>
        <w:rPr/>
        <w:t>de</w:t>
      </w:r>
      <w:r>
        <w:rPr>
          <w:spacing w:val="-7"/>
        </w:rPr>
        <w:t> </w:t>
      </w:r>
      <w:r>
        <w:rPr/>
        <w:t>Tilley</w:t>
      </w:r>
      <w:r>
        <w:rPr>
          <w:spacing w:val="-11"/>
        </w:rPr>
        <w:t> </w:t>
      </w:r>
      <w:r>
        <w:rPr/>
        <w:t>et</w:t>
      </w:r>
      <w:r>
        <w:rPr>
          <w:spacing w:val="-6"/>
        </w:rPr>
        <w:t> </w:t>
      </w:r>
      <w:r>
        <w:rPr/>
        <w:t>al.</w:t>
      </w:r>
      <w:r>
        <w:rPr>
          <w:spacing w:val="-7"/>
        </w:rPr>
        <w:t> </w:t>
      </w:r>
      <w:r>
        <w:rPr/>
        <w:t>démontre</w:t>
      </w:r>
      <w:r>
        <w:rPr>
          <w:spacing w:val="-10"/>
        </w:rPr>
        <w:t> </w:t>
      </w:r>
      <w:r>
        <w:rPr/>
        <w:t>la</w:t>
      </w:r>
      <w:r>
        <w:rPr>
          <w:spacing w:val="-10"/>
        </w:rPr>
        <w:t> </w:t>
      </w:r>
      <w:r>
        <w:rPr/>
        <w:t>diminution</w:t>
      </w:r>
      <w:r>
        <w:rPr>
          <w:spacing w:val="-8"/>
        </w:rPr>
        <w:t> </w:t>
      </w:r>
      <w:r>
        <w:rPr/>
        <w:t>de</w:t>
      </w:r>
      <w:r>
        <w:rPr>
          <w:spacing w:val="-10"/>
        </w:rPr>
        <w:t> </w:t>
      </w:r>
      <w:r>
        <w:rPr/>
        <w:t>la</w:t>
      </w:r>
      <w:r>
        <w:rPr>
          <w:spacing w:val="-7"/>
        </w:rPr>
        <w:t> </w:t>
      </w:r>
      <w:r>
        <w:rPr/>
        <w:t>croissance</w:t>
      </w:r>
      <w:r>
        <w:rPr>
          <w:spacing w:val="-7"/>
        </w:rPr>
        <w:t> </w:t>
      </w:r>
      <w:r>
        <w:rPr/>
        <w:t>cellulaire</w:t>
      </w:r>
      <w:r>
        <w:rPr>
          <w:spacing w:val="-10"/>
        </w:rPr>
        <w:t> </w:t>
      </w:r>
      <w:r>
        <w:rPr/>
        <w:t>en</w:t>
      </w:r>
      <w:r>
        <w:rPr>
          <w:spacing w:val="-7"/>
        </w:rPr>
        <w:t> </w:t>
      </w:r>
      <w:r>
        <w:rPr/>
        <w:t>présence de</w:t>
      </w:r>
      <w:r>
        <w:rPr>
          <w:spacing w:val="-8"/>
        </w:rPr>
        <w:t> </w:t>
      </w:r>
      <w:r>
        <w:rPr/>
        <w:t>silybine</w:t>
      </w:r>
      <w:r>
        <w:rPr>
          <w:spacing w:val="-7"/>
        </w:rPr>
        <w:t> </w:t>
      </w:r>
      <w:r>
        <w:rPr/>
        <w:t>et</w:t>
      </w:r>
      <w:r>
        <w:rPr>
          <w:spacing w:val="-7"/>
        </w:rPr>
        <w:t> </w:t>
      </w:r>
      <w:r>
        <w:rPr/>
        <w:t>de</w:t>
      </w:r>
      <w:r>
        <w:rPr>
          <w:spacing w:val="-8"/>
        </w:rPr>
        <w:t> </w:t>
      </w:r>
      <w:r>
        <w:rPr/>
        <w:t>son</w:t>
      </w:r>
      <w:r>
        <w:rPr>
          <w:spacing w:val="-7"/>
        </w:rPr>
        <w:t> </w:t>
      </w:r>
      <w:r>
        <w:rPr/>
        <w:t>produit</w:t>
      </w:r>
      <w:r>
        <w:rPr>
          <w:spacing w:val="-7"/>
        </w:rPr>
        <w:t> </w:t>
      </w:r>
      <w:r>
        <w:rPr/>
        <w:t>d’activation</w:t>
      </w:r>
      <w:r>
        <w:rPr>
          <w:spacing w:val="-7"/>
        </w:rPr>
        <w:t> </w:t>
      </w:r>
      <w:r>
        <w:rPr/>
        <w:t>le</w:t>
      </w:r>
      <w:r>
        <w:rPr>
          <w:spacing w:val="-8"/>
        </w:rPr>
        <w:t> </w:t>
      </w:r>
      <w:r>
        <w:rPr/>
        <w:t>2,3-déshydrosilibinine</w:t>
      </w:r>
      <w:r>
        <w:rPr>
          <w:spacing w:val="-8"/>
        </w:rPr>
        <w:t> </w:t>
      </w:r>
      <w:r>
        <w:rPr/>
        <w:t>(Tilley</w:t>
      </w:r>
      <w:r>
        <w:rPr>
          <w:spacing w:val="-12"/>
        </w:rPr>
        <w:t> </w:t>
      </w:r>
      <w:r>
        <w:rPr/>
        <w:t>et</w:t>
      </w:r>
      <w:r>
        <w:rPr>
          <w:spacing w:val="-4"/>
        </w:rPr>
        <w:t> </w:t>
      </w:r>
      <w:r>
        <w:rPr/>
        <w:t>al.,</w:t>
      </w:r>
      <w:r>
        <w:rPr>
          <w:spacing w:val="-7"/>
        </w:rPr>
        <w:t> </w:t>
      </w:r>
      <w:r>
        <w:rPr/>
        <w:t>2016).</w:t>
      </w:r>
      <w:r>
        <w:rPr>
          <w:spacing w:val="-7"/>
        </w:rPr>
        <w:t> </w:t>
      </w:r>
      <w:r>
        <w:rPr>
          <w:b/>
          <w:i/>
        </w:rPr>
        <w:t>In</w:t>
      </w:r>
      <w:r>
        <w:rPr>
          <w:b/>
          <w:i/>
          <w:spacing w:val="-6"/>
        </w:rPr>
        <w:t> </w:t>
      </w:r>
      <w:r>
        <w:rPr>
          <w:b/>
          <w:i/>
        </w:rPr>
        <w:t>vivo</w:t>
      </w:r>
      <w:r>
        <w:rPr/>
        <w:t>, dans leur modèle d’allogreffe ectopique, l’administration orale de silybine et de 2,3- déshydrosilibinine (200 mg/kg) inhibe la croissance tumorale de respectivement 44% et 71% (p &lt; 0.05). Les mécanismes impliquent une inhibition du signal mitogène, un déclenchement de l’apoptose, une suppression de l’activation de facteurs de</w:t>
      </w:r>
      <w:r>
        <w:rPr>
          <w:spacing w:val="-15"/>
        </w:rPr>
        <w:t> </w:t>
      </w:r>
      <w:r>
        <w:rPr/>
        <w:t>transcription.</w:t>
      </w:r>
    </w:p>
    <w:p>
      <w:pPr>
        <w:pStyle w:val="BodyText"/>
        <w:spacing w:line="276" w:lineRule="auto" w:before="164"/>
        <w:ind w:left="116" w:right="116" w:firstLine="707"/>
        <w:jc w:val="both"/>
      </w:pPr>
      <w:r>
        <w:rPr/>
        <w:t>La silybine montre également un effet bénéfique en association avec de la chimiothérapie. Dans un modèle </w:t>
      </w:r>
      <w:r>
        <w:rPr>
          <w:b/>
          <w:i/>
        </w:rPr>
        <w:t>in vitro </w:t>
      </w:r>
      <w:r>
        <w:rPr/>
        <w:t>de carcinome du poumon à petites cellules, un effet synergique</w:t>
      </w:r>
      <w:r>
        <w:rPr>
          <w:spacing w:val="-11"/>
        </w:rPr>
        <w:t> </w:t>
      </w:r>
      <w:r>
        <w:rPr/>
        <w:t>avec</w:t>
      </w:r>
      <w:r>
        <w:rPr>
          <w:spacing w:val="-12"/>
        </w:rPr>
        <w:t> </w:t>
      </w:r>
      <w:r>
        <w:rPr/>
        <w:t>l’étoposide</w:t>
      </w:r>
      <w:r>
        <w:rPr>
          <w:spacing w:val="-12"/>
        </w:rPr>
        <w:t> </w:t>
      </w:r>
      <w:r>
        <w:rPr/>
        <w:t>et</w:t>
      </w:r>
      <w:r>
        <w:rPr>
          <w:spacing w:val="-11"/>
        </w:rPr>
        <w:t> </w:t>
      </w:r>
      <w:r>
        <w:rPr/>
        <w:t>la</w:t>
      </w:r>
      <w:r>
        <w:rPr>
          <w:spacing w:val="-11"/>
        </w:rPr>
        <w:t> </w:t>
      </w:r>
      <w:r>
        <w:rPr/>
        <w:t>doxorubicine</w:t>
      </w:r>
      <w:r>
        <w:rPr>
          <w:spacing w:val="-11"/>
        </w:rPr>
        <w:t> </w:t>
      </w:r>
      <w:r>
        <w:rPr/>
        <w:t>est</w:t>
      </w:r>
      <w:r>
        <w:rPr>
          <w:spacing w:val="-10"/>
        </w:rPr>
        <w:t> </w:t>
      </w:r>
      <w:r>
        <w:rPr/>
        <w:t>démontré</w:t>
      </w:r>
      <w:r>
        <w:rPr>
          <w:spacing w:val="-10"/>
        </w:rPr>
        <w:t> </w:t>
      </w:r>
      <w:r>
        <w:rPr/>
        <w:t>(Sadava</w:t>
      </w:r>
      <w:r>
        <w:rPr>
          <w:spacing w:val="-12"/>
        </w:rPr>
        <w:t> </w:t>
      </w:r>
      <w:r>
        <w:rPr/>
        <w:t>et</w:t>
      </w:r>
      <w:r>
        <w:rPr>
          <w:spacing w:val="-11"/>
        </w:rPr>
        <w:t> </w:t>
      </w:r>
      <w:r>
        <w:rPr/>
        <w:t>Kane,</w:t>
      </w:r>
      <w:r>
        <w:rPr>
          <w:spacing w:val="-11"/>
        </w:rPr>
        <w:t> </w:t>
      </w:r>
      <w:r>
        <w:rPr/>
        <w:t>2013),</w:t>
      </w:r>
      <w:r>
        <w:rPr>
          <w:spacing w:val="-11"/>
        </w:rPr>
        <w:t> </w:t>
      </w:r>
      <w:r>
        <w:rPr/>
        <w:t>à</w:t>
      </w:r>
      <w:r>
        <w:rPr>
          <w:spacing w:val="-12"/>
        </w:rPr>
        <w:t> </w:t>
      </w:r>
      <w:r>
        <w:rPr/>
        <w:t>une</w:t>
      </w:r>
      <w:r>
        <w:rPr>
          <w:spacing w:val="-12"/>
        </w:rPr>
        <w:t> </w:t>
      </w:r>
      <w:r>
        <w:rPr/>
        <w:t>dose de 50 µmol/L. La silybine augmente également les effets inhibiteurs de la croissance de molécules comme le géfitinib et le sorafénib (dans un modèle </w:t>
      </w:r>
      <w:r>
        <w:rPr>
          <w:b/>
          <w:i/>
        </w:rPr>
        <w:t>in vitro </w:t>
      </w:r>
      <w:r>
        <w:rPr/>
        <w:t>de carcinome hépatocellulaire, Gu et al.,</w:t>
      </w:r>
      <w:r>
        <w:rPr>
          <w:spacing w:val="-6"/>
        </w:rPr>
        <w:t> </w:t>
      </w:r>
      <w:r>
        <w:rPr/>
        <w:t>2015).</w:t>
      </w:r>
    </w:p>
    <w:p>
      <w:pPr>
        <w:pStyle w:val="BodyText"/>
        <w:spacing w:line="276" w:lineRule="auto" w:before="164"/>
        <w:ind w:left="116" w:right="111" w:firstLine="707"/>
        <w:jc w:val="both"/>
      </w:pPr>
      <w:r>
        <w:rPr/>
        <w:t>L’effet de la silybine en association avec la radiothérapie a été testé sur des lignées cellulaires de cancer de la prostate et de cancer du poumon (Nambiar et al., 2015). </w:t>
      </w:r>
      <w:r>
        <w:rPr>
          <w:b/>
          <w:i/>
        </w:rPr>
        <w:t>In vitro</w:t>
      </w:r>
      <w:r>
        <w:rPr/>
        <w:t>, à 25 µmol/L, la silybine favorise l’inhibition de la croissance cellulaire par les rayonnements ionisants</w:t>
      </w:r>
      <w:r>
        <w:rPr>
          <w:spacing w:val="-13"/>
        </w:rPr>
        <w:t> </w:t>
      </w:r>
      <w:r>
        <w:rPr/>
        <w:t>(2,5-10</w:t>
      </w:r>
      <w:r>
        <w:rPr>
          <w:spacing w:val="-13"/>
        </w:rPr>
        <w:t> </w:t>
      </w:r>
      <w:r>
        <w:rPr/>
        <w:t>Gy</w:t>
      </w:r>
      <w:r>
        <w:rPr>
          <w:spacing w:val="-21"/>
        </w:rPr>
        <w:t> </w:t>
      </w:r>
      <w:r>
        <w:rPr/>
        <w:t>-</w:t>
      </w:r>
      <w:r>
        <w:rPr>
          <w:spacing w:val="-14"/>
        </w:rPr>
        <w:t> </w:t>
      </w:r>
      <w:r>
        <w:rPr/>
        <w:t>96%,</w:t>
      </w:r>
      <w:r>
        <w:rPr>
          <w:spacing w:val="-13"/>
        </w:rPr>
        <w:t> </w:t>
      </w:r>
      <w:r>
        <w:rPr/>
        <w:t>p</w:t>
      </w:r>
      <w:r>
        <w:rPr>
          <w:spacing w:val="-13"/>
        </w:rPr>
        <w:t> </w:t>
      </w:r>
      <w:r>
        <w:rPr/>
        <w:t>&lt;</w:t>
      </w:r>
      <w:r>
        <w:rPr>
          <w:spacing w:val="-14"/>
        </w:rPr>
        <w:t> </w:t>
      </w:r>
      <w:r>
        <w:rPr/>
        <w:t>0,001),</w:t>
      </w:r>
      <w:r>
        <w:rPr>
          <w:spacing w:val="-13"/>
        </w:rPr>
        <w:t> </w:t>
      </w:r>
      <w:r>
        <w:rPr/>
        <w:t>ainsi</w:t>
      </w:r>
      <w:r>
        <w:rPr>
          <w:spacing w:val="-12"/>
        </w:rPr>
        <w:t> </w:t>
      </w:r>
      <w:r>
        <w:rPr/>
        <w:t>que</w:t>
      </w:r>
      <w:r>
        <w:rPr>
          <w:spacing w:val="-17"/>
        </w:rPr>
        <w:t> </w:t>
      </w:r>
      <w:r>
        <w:rPr/>
        <w:t>la</w:t>
      </w:r>
      <w:r>
        <w:rPr>
          <w:spacing w:val="-14"/>
        </w:rPr>
        <w:t> </w:t>
      </w:r>
      <w:r>
        <w:rPr/>
        <w:t>production</w:t>
      </w:r>
      <w:r>
        <w:rPr>
          <w:spacing w:val="-13"/>
        </w:rPr>
        <w:t> </w:t>
      </w:r>
      <w:r>
        <w:rPr/>
        <w:t>de</w:t>
      </w:r>
      <w:r>
        <w:rPr>
          <w:spacing w:val="-14"/>
        </w:rPr>
        <w:t> </w:t>
      </w:r>
      <w:r>
        <w:rPr/>
        <w:t>ROS</w:t>
      </w:r>
      <w:r>
        <w:rPr>
          <w:spacing w:val="-15"/>
        </w:rPr>
        <w:t> </w:t>
      </w:r>
      <w:r>
        <w:rPr/>
        <w:t>et</w:t>
      </w:r>
      <w:r>
        <w:rPr>
          <w:spacing w:val="-13"/>
        </w:rPr>
        <w:t> </w:t>
      </w:r>
      <w:r>
        <w:rPr/>
        <w:t>l’apoptose,</w:t>
      </w:r>
      <w:r>
        <w:rPr>
          <w:spacing w:val="-13"/>
        </w:rPr>
        <w:t> </w:t>
      </w:r>
      <w:r>
        <w:rPr/>
        <w:t>en</w:t>
      </w:r>
      <w:r>
        <w:rPr>
          <w:spacing w:val="-13"/>
        </w:rPr>
        <w:t> </w:t>
      </w:r>
      <w:r>
        <w:rPr/>
        <w:t>limitant les signaux de survie et la réparation suite à l’ionisation. </w:t>
      </w:r>
      <w:r>
        <w:rPr>
          <w:b/>
          <w:i/>
        </w:rPr>
        <w:t>In vivo</w:t>
      </w:r>
      <w:r>
        <w:rPr/>
        <w:t>, sur un modèle de souris avec une xénogreffe de cancer de la prostate, la silybine (200 mg/kg) favorise la radiosensibilité, augmente la réponse apoptotique (de 10 fois, p &lt; 0,01), limite la réparation des dommages de l’ADN, et limite la toxicité due à la</w:t>
      </w:r>
      <w:r>
        <w:rPr>
          <w:spacing w:val="-11"/>
        </w:rPr>
        <w:t> </w:t>
      </w:r>
      <w:r>
        <w:rPr/>
        <w:t>radiothérapie.</w:t>
      </w:r>
    </w:p>
    <w:p>
      <w:pPr>
        <w:pStyle w:val="BodyText"/>
        <w:rPr>
          <w:sz w:val="26"/>
        </w:rPr>
      </w:pPr>
    </w:p>
    <w:p>
      <w:pPr>
        <w:pStyle w:val="BodyText"/>
        <w:spacing w:before="7"/>
        <w:rPr>
          <w:sz w:val="29"/>
        </w:rPr>
      </w:pPr>
    </w:p>
    <w:p>
      <w:pPr>
        <w:pStyle w:val="ListParagraph"/>
        <w:numPr>
          <w:ilvl w:val="0"/>
          <w:numId w:val="13"/>
        </w:numPr>
        <w:tabs>
          <w:tab w:pos="1110" w:val="left" w:leader="none"/>
        </w:tabs>
        <w:spacing w:line="240" w:lineRule="auto" w:before="0" w:after="0"/>
        <w:ind w:left="1110" w:right="0" w:hanging="360"/>
        <w:jc w:val="left"/>
        <w:rPr>
          <w:sz w:val="24"/>
        </w:rPr>
      </w:pPr>
      <w:bookmarkStart w:name="_bookmark81" w:id="129"/>
      <w:bookmarkEnd w:id="129"/>
      <w:r>
        <w:rPr/>
      </w:r>
      <w:bookmarkStart w:name="_bookmark81" w:id="130"/>
      <w:bookmarkEnd w:id="130"/>
      <w:r>
        <w:rPr>
          <w:sz w:val="24"/>
          <w:u w:val="single"/>
        </w:rPr>
        <w:t>L</w:t>
      </w:r>
      <w:r>
        <w:rPr>
          <w:sz w:val="24"/>
          <w:u w:val="single"/>
        </w:rPr>
        <w:t>es</w:t>
      </w:r>
      <w:r>
        <w:rPr>
          <w:spacing w:val="-2"/>
          <w:sz w:val="24"/>
          <w:u w:val="single"/>
        </w:rPr>
        <w:t> </w:t>
      </w:r>
      <w:r>
        <w:rPr>
          <w:sz w:val="24"/>
          <w:u w:val="single"/>
        </w:rPr>
        <w:t>WZ</w:t>
      </w:r>
    </w:p>
    <w:p>
      <w:pPr>
        <w:pStyle w:val="BodyText"/>
        <w:rPr>
          <w:sz w:val="20"/>
        </w:rPr>
      </w:pPr>
    </w:p>
    <w:p>
      <w:pPr>
        <w:pStyle w:val="BodyText"/>
        <w:spacing w:before="5"/>
        <w:rPr>
          <w:sz w:val="17"/>
        </w:rPr>
      </w:pPr>
    </w:p>
    <w:p>
      <w:pPr>
        <w:pStyle w:val="BodyText"/>
        <w:spacing w:line="276" w:lineRule="auto" w:before="90"/>
        <w:ind w:left="116" w:right="116" w:firstLine="707"/>
        <w:jc w:val="both"/>
      </w:pPr>
      <w:r>
        <w:rPr/>
        <w:t>L’équipe de Liu et al. a développé des molécules mimant l’inhibition des GLUT1, </w:t>
      </w:r>
      <w:r>
        <w:rPr>
          <w:b/>
          <w:u w:val="thick"/>
        </w:rPr>
        <w:t>WZB27</w:t>
      </w:r>
      <w:r>
        <w:rPr>
          <w:b/>
        </w:rPr>
        <w:t> </w:t>
      </w:r>
      <w:r>
        <w:rPr/>
        <w:t>et </w:t>
      </w:r>
      <w:r>
        <w:rPr>
          <w:b/>
          <w:u w:val="thick"/>
        </w:rPr>
        <w:t>WZB115</w:t>
      </w:r>
      <w:r>
        <w:rPr/>
        <w:t>. Elles inhibent le transport du glucose au sein de la cellule, ainsi que la prolifération cellulaire, et induisent un phénomène d’apoptose dans des lignées cellulaires de cancer du poumon et de cancer du sein sans affecter les cellules saines environnantes (Liu et al., 2010).</w:t>
      </w:r>
    </w:p>
    <w:p>
      <w:pPr>
        <w:pStyle w:val="BodyText"/>
        <w:spacing w:line="276" w:lineRule="auto" w:before="161"/>
        <w:ind w:left="116" w:right="113" w:firstLine="707"/>
        <w:jc w:val="both"/>
      </w:pPr>
      <w:r>
        <w:rPr/>
        <w:t>Une autre molécule ciblant les transporteurs du glucose a été développée par la même équipe en 2012 (Liu et al., 2012) </w:t>
      </w:r>
      <w:r>
        <w:rPr>
          <w:spacing w:val="-3"/>
        </w:rPr>
        <w:t>Il </w:t>
      </w:r>
      <w:r>
        <w:rPr/>
        <w:t>s’agit du </w:t>
      </w:r>
      <w:r>
        <w:rPr>
          <w:b/>
          <w:u w:val="thick"/>
        </w:rPr>
        <w:t>WZB117</w:t>
      </w:r>
      <w:r>
        <w:rPr/>
        <w:t>, qui inhibe la croissance cellulaire </w:t>
      </w:r>
      <w:r>
        <w:rPr>
          <w:b/>
          <w:i/>
        </w:rPr>
        <w:t>in </w:t>
      </w:r>
      <w:r>
        <w:rPr>
          <w:b/>
          <w:i/>
        </w:rPr>
        <w:t>vitro </w:t>
      </w:r>
      <w:r>
        <w:rPr/>
        <w:t>dans des lignées de cellules cancéreuses du poumon et du sein, mais également </w:t>
      </w:r>
      <w:r>
        <w:rPr>
          <w:b/>
          <w:i/>
        </w:rPr>
        <w:t>in vivo </w:t>
      </w:r>
      <w:r>
        <w:rPr/>
        <w:t>dans</w:t>
      </w:r>
      <w:r>
        <w:rPr>
          <w:spacing w:val="-6"/>
        </w:rPr>
        <w:t> </w:t>
      </w:r>
      <w:r>
        <w:rPr/>
        <w:t>un</w:t>
      </w:r>
      <w:r>
        <w:rPr>
          <w:spacing w:val="-6"/>
        </w:rPr>
        <w:t> </w:t>
      </w:r>
      <w:r>
        <w:rPr/>
        <w:t>modèle</w:t>
      </w:r>
      <w:r>
        <w:rPr>
          <w:spacing w:val="-7"/>
        </w:rPr>
        <w:t> </w:t>
      </w:r>
      <w:r>
        <w:rPr/>
        <w:t>de</w:t>
      </w:r>
      <w:r>
        <w:rPr>
          <w:spacing w:val="-7"/>
        </w:rPr>
        <w:t> </w:t>
      </w:r>
      <w:r>
        <w:rPr/>
        <w:t>souris</w:t>
      </w:r>
      <w:r>
        <w:rPr>
          <w:spacing w:val="-5"/>
        </w:rPr>
        <w:t> </w:t>
      </w:r>
      <w:r>
        <w:rPr/>
        <w:t>nude</w:t>
      </w:r>
      <w:r>
        <w:rPr>
          <w:spacing w:val="-7"/>
        </w:rPr>
        <w:t> </w:t>
      </w:r>
      <w:r>
        <w:rPr/>
        <w:t>(xénogreffe</w:t>
      </w:r>
      <w:r>
        <w:rPr>
          <w:spacing w:val="-8"/>
        </w:rPr>
        <w:t> </w:t>
      </w:r>
      <w:r>
        <w:rPr/>
        <w:t>issue</w:t>
      </w:r>
      <w:r>
        <w:rPr>
          <w:spacing w:val="-7"/>
        </w:rPr>
        <w:t> </w:t>
      </w:r>
      <w:r>
        <w:rPr/>
        <w:t>de</w:t>
      </w:r>
      <w:r>
        <w:rPr>
          <w:spacing w:val="-7"/>
        </w:rPr>
        <w:t> </w:t>
      </w:r>
      <w:r>
        <w:rPr/>
        <w:t>cellules</w:t>
      </w:r>
      <w:r>
        <w:rPr>
          <w:spacing w:val="-6"/>
        </w:rPr>
        <w:t> </w:t>
      </w:r>
      <w:r>
        <w:rPr/>
        <w:t>de</w:t>
      </w:r>
      <w:r>
        <w:rPr>
          <w:spacing w:val="-5"/>
        </w:rPr>
        <w:t> </w:t>
      </w:r>
      <w:r>
        <w:rPr/>
        <w:t>cancer</w:t>
      </w:r>
      <w:r>
        <w:rPr>
          <w:spacing w:val="-7"/>
        </w:rPr>
        <w:t> </w:t>
      </w:r>
      <w:r>
        <w:rPr/>
        <w:t>du</w:t>
      </w:r>
      <w:r>
        <w:rPr>
          <w:spacing w:val="-6"/>
        </w:rPr>
        <w:t> </w:t>
      </w:r>
      <w:r>
        <w:rPr/>
        <w:t>poumon).</w:t>
      </w:r>
      <w:r>
        <w:rPr>
          <w:spacing w:val="-3"/>
        </w:rPr>
        <w:t> </w:t>
      </w:r>
      <w:r>
        <w:rPr/>
        <w:t>L’injection intrapéritonéale</w:t>
      </w:r>
      <w:r>
        <w:rPr>
          <w:spacing w:val="10"/>
        </w:rPr>
        <w:t> </w:t>
      </w:r>
      <w:r>
        <w:rPr/>
        <w:t>une</w:t>
      </w:r>
      <w:r>
        <w:rPr>
          <w:spacing w:val="6"/>
        </w:rPr>
        <w:t> </w:t>
      </w:r>
      <w:r>
        <w:rPr/>
        <w:t>fois</w:t>
      </w:r>
      <w:r>
        <w:rPr>
          <w:spacing w:val="10"/>
        </w:rPr>
        <w:t> </w:t>
      </w:r>
      <w:r>
        <w:rPr/>
        <w:t>par</w:t>
      </w:r>
      <w:r>
        <w:rPr>
          <w:spacing w:val="6"/>
        </w:rPr>
        <w:t> </w:t>
      </w:r>
      <w:r>
        <w:rPr/>
        <w:t>jour</w:t>
      </w:r>
      <w:r>
        <w:rPr>
          <w:spacing w:val="8"/>
        </w:rPr>
        <w:t> </w:t>
      </w:r>
      <w:r>
        <w:rPr/>
        <w:t>de</w:t>
      </w:r>
      <w:r>
        <w:rPr>
          <w:spacing w:val="8"/>
        </w:rPr>
        <w:t> </w:t>
      </w:r>
      <w:r>
        <w:rPr/>
        <w:t>WZB117</w:t>
      </w:r>
      <w:r>
        <w:rPr>
          <w:spacing w:val="7"/>
        </w:rPr>
        <w:t> </w:t>
      </w:r>
      <w:r>
        <w:rPr/>
        <w:t>à</w:t>
      </w:r>
      <w:r>
        <w:rPr>
          <w:spacing w:val="6"/>
        </w:rPr>
        <w:t> </w:t>
      </w:r>
      <w:r>
        <w:rPr/>
        <w:t>une</w:t>
      </w:r>
      <w:r>
        <w:rPr>
          <w:spacing w:val="6"/>
        </w:rPr>
        <w:t> </w:t>
      </w:r>
      <w:r>
        <w:rPr/>
        <w:t>dose</w:t>
      </w:r>
      <w:r>
        <w:rPr>
          <w:spacing w:val="6"/>
        </w:rPr>
        <w:t> </w:t>
      </w:r>
      <w:r>
        <w:rPr/>
        <w:t>de</w:t>
      </w:r>
      <w:r>
        <w:rPr>
          <w:spacing w:val="6"/>
        </w:rPr>
        <w:t> </w:t>
      </w:r>
      <w:r>
        <w:rPr/>
        <w:t>10</w:t>
      </w:r>
      <w:r>
        <w:rPr>
          <w:spacing w:val="12"/>
        </w:rPr>
        <w:t> </w:t>
      </w:r>
      <w:r>
        <w:rPr/>
        <w:t>mg/kg</w:t>
      </w:r>
      <w:r>
        <w:rPr>
          <w:spacing w:val="7"/>
        </w:rPr>
        <w:t> </w:t>
      </w:r>
      <w:r>
        <w:rPr/>
        <w:t>entraîne</w:t>
      </w:r>
      <w:r>
        <w:rPr>
          <w:spacing w:val="6"/>
        </w:rPr>
        <w:t> </w:t>
      </w:r>
      <w:r>
        <w:rPr/>
        <w:t>une</w:t>
      </w:r>
      <w:r>
        <w:rPr>
          <w:spacing w:val="8"/>
        </w:rPr>
        <w:t> </w:t>
      </w:r>
      <w:r>
        <w:rPr/>
        <w:t>réduction</w:t>
      </w:r>
    </w:p>
    <w:p>
      <w:pPr>
        <w:spacing w:after="0" w:line="276" w:lineRule="auto"/>
        <w:jc w:val="both"/>
        <w:sectPr>
          <w:pgSz w:w="11910" w:h="16840"/>
          <w:pgMar w:header="0" w:footer="995" w:top="1320" w:bottom="1240" w:left="1300" w:right="1300"/>
        </w:sectPr>
      </w:pPr>
    </w:p>
    <w:p>
      <w:pPr>
        <w:pStyle w:val="BodyText"/>
        <w:spacing w:line="276" w:lineRule="auto" w:before="72"/>
        <w:ind w:left="116" w:right="114"/>
        <w:jc w:val="both"/>
      </w:pPr>
      <w:bookmarkStart w:name="_bookmark84" w:id="131"/>
      <w:bookmarkEnd w:id="131"/>
      <w:r>
        <w:rPr/>
      </w:r>
      <w:r>
        <w:rPr/>
        <w:t>de plus de 70% de la taille de la tumeur greffée. D’après cette étude, les mécanismes seraient une induction de la sénescence en plus de la diminution du taux d’ATP intracellulaire. Cette même</w:t>
      </w:r>
      <w:r>
        <w:rPr>
          <w:spacing w:val="-11"/>
        </w:rPr>
        <w:t> </w:t>
      </w:r>
      <w:r>
        <w:rPr/>
        <w:t>molécule</w:t>
      </w:r>
      <w:r>
        <w:rPr>
          <w:spacing w:val="-10"/>
        </w:rPr>
        <w:t> </w:t>
      </w:r>
      <w:r>
        <w:rPr/>
        <w:t>pourrait</w:t>
      </w:r>
      <w:r>
        <w:rPr>
          <w:spacing w:val="-9"/>
        </w:rPr>
        <w:t> </w:t>
      </w:r>
      <w:r>
        <w:rPr/>
        <w:t>inhiber</w:t>
      </w:r>
      <w:r>
        <w:rPr>
          <w:spacing w:val="-10"/>
        </w:rPr>
        <w:t> </w:t>
      </w:r>
      <w:r>
        <w:rPr/>
        <w:t>la</w:t>
      </w:r>
      <w:r>
        <w:rPr>
          <w:spacing w:val="-10"/>
        </w:rPr>
        <w:t> </w:t>
      </w:r>
      <w:r>
        <w:rPr/>
        <w:t>capacité</w:t>
      </w:r>
      <w:r>
        <w:rPr>
          <w:spacing w:val="-11"/>
        </w:rPr>
        <w:t> </w:t>
      </w:r>
      <w:r>
        <w:rPr/>
        <w:t>de</w:t>
      </w:r>
      <w:r>
        <w:rPr>
          <w:spacing w:val="-11"/>
        </w:rPr>
        <w:t> </w:t>
      </w:r>
      <w:r>
        <w:rPr/>
        <w:t>régénération</w:t>
      </w:r>
      <w:r>
        <w:rPr>
          <w:spacing w:val="-10"/>
        </w:rPr>
        <w:t> </w:t>
      </w:r>
      <w:r>
        <w:rPr/>
        <w:t>et</w:t>
      </w:r>
      <w:r>
        <w:rPr>
          <w:spacing w:val="-9"/>
        </w:rPr>
        <w:t> </w:t>
      </w:r>
      <w:r>
        <w:rPr/>
        <w:t>d’initiation</w:t>
      </w:r>
      <w:r>
        <w:rPr>
          <w:spacing w:val="-9"/>
        </w:rPr>
        <w:t> </w:t>
      </w:r>
      <w:r>
        <w:rPr/>
        <w:t>tumorale</w:t>
      </w:r>
      <w:r>
        <w:rPr>
          <w:spacing w:val="-10"/>
        </w:rPr>
        <w:t> </w:t>
      </w:r>
      <w:r>
        <w:rPr/>
        <w:t>des</w:t>
      </w:r>
      <w:r>
        <w:rPr>
          <w:spacing w:val="-7"/>
        </w:rPr>
        <w:t> </w:t>
      </w:r>
      <w:r>
        <w:rPr/>
        <w:t>cellules souches</w:t>
      </w:r>
      <w:r>
        <w:rPr>
          <w:spacing w:val="6"/>
        </w:rPr>
        <w:t> </w:t>
      </w:r>
      <w:r>
        <w:rPr/>
        <w:t>cancéreuses,</w:t>
      </w:r>
      <w:r>
        <w:rPr>
          <w:spacing w:val="6"/>
        </w:rPr>
        <w:t> </w:t>
      </w:r>
      <w:r>
        <w:rPr/>
        <w:t>sans</w:t>
      </w:r>
      <w:r>
        <w:rPr>
          <w:spacing w:val="6"/>
        </w:rPr>
        <w:t> </w:t>
      </w:r>
      <w:r>
        <w:rPr/>
        <w:t>compromettre</w:t>
      </w:r>
      <w:r>
        <w:rPr>
          <w:spacing w:val="5"/>
        </w:rPr>
        <w:t> </w:t>
      </w:r>
      <w:r>
        <w:rPr/>
        <w:t>leur</w:t>
      </w:r>
      <w:r>
        <w:rPr>
          <w:spacing w:val="5"/>
        </w:rPr>
        <w:t> </w:t>
      </w:r>
      <w:r>
        <w:rPr/>
        <w:t>potentiel</w:t>
      </w:r>
      <w:r>
        <w:rPr>
          <w:spacing w:val="6"/>
        </w:rPr>
        <w:t> </w:t>
      </w:r>
      <w:r>
        <w:rPr/>
        <w:t>de</w:t>
      </w:r>
      <w:r>
        <w:rPr>
          <w:spacing w:val="5"/>
        </w:rPr>
        <w:t> </w:t>
      </w:r>
      <w:r>
        <w:rPr/>
        <w:t>prolifération</w:t>
      </w:r>
      <w:r>
        <w:rPr>
          <w:spacing w:val="10"/>
        </w:rPr>
        <w:t> </w:t>
      </w:r>
      <w:r>
        <w:rPr/>
        <w:t>(Shibuya</w:t>
      </w:r>
      <w:r>
        <w:rPr>
          <w:spacing w:val="5"/>
        </w:rPr>
        <w:t> </w:t>
      </w:r>
      <w:r>
        <w:rPr/>
        <w:t>et</w:t>
      </w:r>
      <w:r>
        <w:rPr>
          <w:spacing w:val="6"/>
        </w:rPr>
        <w:t> </w:t>
      </w:r>
      <w:r>
        <w:rPr/>
        <w:t>al.,</w:t>
      </w:r>
      <w:r>
        <w:rPr>
          <w:spacing w:val="6"/>
        </w:rPr>
        <w:t> </w:t>
      </w:r>
      <w:r>
        <w:rPr/>
        <w:t>2015).</w:t>
      </w:r>
    </w:p>
    <w:p>
      <w:pPr>
        <w:pStyle w:val="BodyText"/>
        <w:rPr>
          <w:sz w:val="26"/>
        </w:rPr>
      </w:pPr>
    </w:p>
    <w:p>
      <w:pPr>
        <w:pStyle w:val="ListParagraph"/>
        <w:numPr>
          <w:ilvl w:val="0"/>
          <w:numId w:val="13"/>
        </w:numPr>
        <w:tabs>
          <w:tab w:pos="1110" w:val="left" w:leader="none"/>
        </w:tabs>
        <w:spacing w:line="240" w:lineRule="auto" w:before="179" w:after="0"/>
        <w:ind w:left="1110" w:right="0" w:hanging="360"/>
        <w:jc w:val="left"/>
        <w:rPr>
          <w:sz w:val="24"/>
        </w:rPr>
      </w:pPr>
      <w:bookmarkStart w:name="_bookmark82" w:id="132"/>
      <w:bookmarkEnd w:id="132"/>
      <w:r>
        <w:rPr/>
      </w:r>
      <w:bookmarkStart w:name="_bookmark82" w:id="133"/>
      <w:bookmarkEnd w:id="133"/>
      <w:r>
        <w:rPr>
          <w:sz w:val="24"/>
          <w:u w:val="single"/>
        </w:rPr>
        <w:t>L</w:t>
      </w:r>
      <w:r>
        <w:rPr>
          <w:sz w:val="24"/>
          <w:u w:val="single"/>
        </w:rPr>
        <w:t>’imatinib</w:t>
      </w:r>
    </w:p>
    <w:p>
      <w:pPr>
        <w:pStyle w:val="BodyText"/>
        <w:rPr>
          <w:sz w:val="20"/>
        </w:rPr>
      </w:pPr>
    </w:p>
    <w:p>
      <w:pPr>
        <w:pStyle w:val="BodyText"/>
        <w:spacing w:before="4"/>
        <w:rPr>
          <w:sz w:val="23"/>
        </w:rPr>
      </w:pPr>
    </w:p>
    <w:p>
      <w:pPr>
        <w:pStyle w:val="BodyText"/>
        <w:spacing w:line="276" w:lineRule="auto"/>
        <w:ind w:left="116" w:right="114" w:firstLine="707"/>
        <w:jc w:val="both"/>
      </w:pPr>
      <w:r>
        <w:rPr/>
        <w:t>L’étude de Barnes et al. s’intéresse à l’expression de la tyrosine kinase Bcr-Abl, responsable du développement des cellules cancéreuses de leucémie myéloïde chronique (Barnes et al., 2005). L’utilisation du </w:t>
      </w:r>
      <w:r>
        <w:rPr>
          <w:b/>
        </w:rPr>
        <w:t>gleevec (</w:t>
      </w:r>
      <w:r>
        <w:rPr>
          <w:b/>
          <w:u w:val="thick"/>
        </w:rPr>
        <w:t>Imatinib</w:t>
      </w:r>
      <w:r>
        <w:rPr>
          <w:b/>
        </w:rPr>
        <w:t>), </w:t>
      </w:r>
      <w:r>
        <w:rPr/>
        <w:t>un inhibiteur des tyrosine kinases ciblant</w:t>
      </w:r>
      <w:r>
        <w:rPr>
          <w:spacing w:val="-8"/>
        </w:rPr>
        <w:t> </w:t>
      </w:r>
      <w:r>
        <w:rPr/>
        <w:t>spécifiquement</w:t>
      </w:r>
      <w:r>
        <w:rPr>
          <w:spacing w:val="-8"/>
        </w:rPr>
        <w:t> </w:t>
      </w:r>
      <w:r>
        <w:rPr/>
        <w:t>la</w:t>
      </w:r>
      <w:r>
        <w:rPr>
          <w:spacing w:val="-9"/>
        </w:rPr>
        <w:t> </w:t>
      </w:r>
      <w:r>
        <w:rPr/>
        <w:t>Bcr-Abl,</w:t>
      </w:r>
      <w:r>
        <w:rPr>
          <w:spacing w:val="-8"/>
        </w:rPr>
        <w:t> </w:t>
      </w:r>
      <w:r>
        <w:rPr/>
        <w:t>permet</w:t>
      </w:r>
      <w:r>
        <w:rPr>
          <w:spacing w:val="-8"/>
        </w:rPr>
        <w:t> </w:t>
      </w:r>
      <w:r>
        <w:rPr/>
        <w:t>l’internalisation</w:t>
      </w:r>
      <w:r>
        <w:rPr>
          <w:spacing w:val="-8"/>
        </w:rPr>
        <w:t> </w:t>
      </w:r>
      <w:r>
        <w:rPr/>
        <w:t>de</w:t>
      </w:r>
      <w:r>
        <w:rPr>
          <w:spacing w:val="-9"/>
        </w:rPr>
        <w:t> </w:t>
      </w:r>
      <w:r>
        <w:rPr/>
        <w:t>près</w:t>
      </w:r>
      <w:r>
        <w:rPr>
          <w:spacing w:val="-8"/>
        </w:rPr>
        <w:t> </w:t>
      </w:r>
      <w:r>
        <w:rPr/>
        <w:t>de</w:t>
      </w:r>
      <w:r>
        <w:rPr>
          <w:spacing w:val="-9"/>
        </w:rPr>
        <w:t> </w:t>
      </w:r>
      <w:r>
        <w:rPr/>
        <w:t>90%</w:t>
      </w:r>
      <w:r>
        <w:rPr>
          <w:spacing w:val="-7"/>
        </w:rPr>
        <w:t> </w:t>
      </w:r>
      <w:r>
        <w:rPr/>
        <w:t>des</w:t>
      </w:r>
      <w:r>
        <w:rPr>
          <w:spacing w:val="-8"/>
        </w:rPr>
        <w:t> </w:t>
      </w:r>
      <w:r>
        <w:rPr/>
        <w:t>transporteurs,</w:t>
      </w:r>
      <w:r>
        <w:rPr>
          <w:spacing w:val="-9"/>
        </w:rPr>
        <w:t> </w:t>
      </w:r>
      <w:r>
        <w:rPr/>
        <w:t>et donc un apport en glucose très diminué pour la cellule leucémique exprimant</w:t>
      </w:r>
      <w:r>
        <w:rPr>
          <w:spacing w:val="-10"/>
        </w:rPr>
        <w:t> </w:t>
      </w:r>
      <w:r>
        <w:rPr/>
        <w:t>Bcr-Abl.</w:t>
      </w:r>
    </w:p>
    <w:p>
      <w:pPr>
        <w:pStyle w:val="BodyText"/>
        <w:rPr>
          <w:sz w:val="26"/>
        </w:rPr>
      </w:pPr>
    </w:p>
    <w:p>
      <w:pPr>
        <w:pStyle w:val="BodyText"/>
        <w:spacing w:before="8"/>
        <w:rPr>
          <w:sz w:val="29"/>
        </w:rPr>
      </w:pPr>
    </w:p>
    <w:p>
      <w:pPr>
        <w:pStyle w:val="ListParagraph"/>
        <w:numPr>
          <w:ilvl w:val="0"/>
          <w:numId w:val="13"/>
        </w:numPr>
        <w:tabs>
          <w:tab w:pos="1110" w:val="left" w:leader="none"/>
        </w:tabs>
        <w:spacing w:line="240" w:lineRule="auto" w:before="0" w:after="0"/>
        <w:ind w:left="1110" w:right="0" w:hanging="360"/>
        <w:jc w:val="left"/>
        <w:rPr>
          <w:sz w:val="24"/>
        </w:rPr>
      </w:pPr>
      <w:bookmarkStart w:name="_bookmark83" w:id="134"/>
      <w:bookmarkEnd w:id="134"/>
      <w:r>
        <w:rPr/>
      </w:r>
      <w:bookmarkStart w:name="_bookmark83" w:id="135"/>
      <w:bookmarkEnd w:id="135"/>
      <w:r>
        <w:rPr>
          <w:sz w:val="24"/>
          <w:u w:val="single"/>
        </w:rPr>
        <w:t>L</w:t>
      </w:r>
      <w:r>
        <w:rPr>
          <w:sz w:val="24"/>
          <w:u w:val="single"/>
        </w:rPr>
        <w:t>es</w:t>
      </w:r>
      <w:r>
        <w:rPr>
          <w:spacing w:val="-4"/>
          <w:sz w:val="24"/>
          <w:u w:val="single"/>
        </w:rPr>
        <w:t> </w:t>
      </w:r>
      <w:r>
        <w:rPr>
          <w:sz w:val="24"/>
          <w:u w:val="single"/>
        </w:rPr>
        <w:t>polyphénols</w:t>
      </w:r>
    </w:p>
    <w:p>
      <w:pPr>
        <w:pStyle w:val="BodyText"/>
        <w:rPr>
          <w:sz w:val="20"/>
        </w:rPr>
      </w:pPr>
    </w:p>
    <w:p>
      <w:pPr>
        <w:pStyle w:val="BodyText"/>
        <w:spacing w:before="2"/>
        <w:rPr>
          <w:sz w:val="17"/>
        </w:rPr>
      </w:pPr>
    </w:p>
    <w:p>
      <w:pPr>
        <w:pStyle w:val="BodyText"/>
        <w:spacing w:line="276" w:lineRule="auto" w:before="90"/>
        <w:ind w:left="116" w:right="115" w:firstLine="707"/>
        <w:jc w:val="both"/>
      </w:pPr>
      <w:r>
        <w:rPr/>
        <w:t>L’étude</w:t>
      </w:r>
      <w:r>
        <w:rPr>
          <w:spacing w:val="-15"/>
        </w:rPr>
        <w:t> </w:t>
      </w:r>
      <w:r>
        <w:rPr/>
        <w:t>récente</w:t>
      </w:r>
      <w:r>
        <w:rPr>
          <w:spacing w:val="-15"/>
        </w:rPr>
        <w:t> </w:t>
      </w:r>
      <w:r>
        <w:rPr/>
        <w:t>de</w:t>
      </w:r>
      <w:r>
        <w:rPr>
          <w:spacing w:val="-14"/>
        </w:rPr>
        <w:t> </w:t>
      </w:r>
      <w:r>
        <w:rPr/>
        <w:t>Martel</w:t>
      </w:r>
      <w:r>
        <w:rPr>
          <w:spacing w:val="-11"/>
        </w:rPr>
        <w:t> </w:t>
      </w:r>
      <w:r>
        <w:rPr/>
        <w:t>et</w:t>
      </w:r>
      <w:r>
        <w:rPr>
          <w:spacing w:val="-14"/>
        </w:rPr>
        <w:t> </w:t>
      </w:r>
      <w:r>
        <w:rPr/>
        <w:t>al.</w:t>
      </w:r>
      <w:r>
        <w:rPr>
          <w:spacing w:val="-14"/>
        </w:rPr>
        <w:t> </w:t>
      </w:r>
      <w:r>
        <w:rPr/>
        <w:t>montre</w:t>
      </w:r>
      <w:r>
        <w:rPr>
          <w:spacing w:val="-16"/>
        </w:rPr>
        <w:t> </w:t>
      </w:r>
      <w:r>
        <w:rPr/>
        <w:t>que</w:t>
      </w:r>
      <w:r>
        <w:rPr>
          <w:spacing w:val="-15"/>
        </w:rPr>
        <w:t> </w:t>
      </w:r>
      <w:r>
        <w:rPr/>
        <w:t>les</w:t>
      </w:r>
      <w:r>
        <w:rPr>
          <w:spacing w:val="-15"/>
        </w:rPr>
        <w:t> </w:t>
      </w:r>
      <w:r>
        <w:rPr/>
        <w:t>polyphénols</w:t>
      </w:r>
      <w:r>
        <w:rPr>
          <w:spacing w:val="-14"/>
        </w:rPr>
        <w:t> </w:t>
      </w:r>
      <w:r>
        <w:rPr/>
        <w:t>semblent</w:t>
      </w:r>
      <w:r>
        <w:rPr>
          <w:spacing w:val="-14"/>
        </w:rPr>
        <w:t> </w:t>
      </w:r>
      <w:r>
        <w:rPr/>
        <w:t>inhiber</w:t>
      </w:r>
      <w:r>
        <w:rPr>
          <w:spacing w:val="-18"/>
        </w:rPr>
        <w:t> </w:t>
      </w:r>
      <w:r>
        <w:rPr/>
        <w:t>le</w:t>
      </w:r>
      <w:r>
        <w:rPr>
          <w:spacing w:val="-15"/>
        </w:rPr>
        <w:t> </w:t>
      </w:r>
      <w:r>
        <w:rPr/>
        <w:t>transport du</w:t>
      </w:r>
      <w:r>
        <w:rPr>
          <w:spacing w:val="-17"/>
        </w:rPr>
        <w:t> </w:t>
      </w:r>
      <w:r>
        <w:rPr/>
        <w:t>glucose</w:t>
      </w:r>
      <w:r>
        <w:rPr>
          <w:spacing w:val="-18"/>
        </w:rPr>
        <w:t> </w:t>
      </w:r>
      <w:r>
        <w:rPr/>
        <w:t>dans</w:t>
      </w:r>
      <w:r>
        <w:rPr>
          <w:spacing w:val="-17"/>
        </w:rPr>
        <w:t> </w:t>
      </w:r>
      <w:r>
        <w:rPr/>
        <w:t>des</w:t>
      </w:r>
      <w:r>
        <w:rPr>
          <w:spacing w:val="-17"/>
        </w:rPr>
        <w:t> </w:t>
      </w:r>
      <w:r>
        <w:rPr/>
        <w:t>lignées</w:t>
      </w:r>
      <w:r>
        <w:rPr>
          <w:spacing w:val="-17"/>
        </w:rPr>
        <w:t> </w:t>
      </w:r>
      <w:r>
        <w:rPr/>
        <w:t>cellulaires</w:t>
      </w:r>
      <w:r>
        <w:rPr>
          <w:spacing w:val="-17"/>
        </w:rPr>
        <w:t> </w:t>
      </w:r>
      <w:r>
        <w:rPr/>
        <w:t>de</w:t>
      </w:r>
      <w:r>
        <w:rPr>
          <w:spacing w:val="-15"/>
        </w:rPr>
        <w:t> </w:t>
      </w:r>
      <w:r>
        <w:rPr/>
        <w:t>cancer</w:t>
      </w:r>
      <w:r>
        <w:rPr>
          <w:spacing w:val="-18"/>
        </w:rPr>
        <w:t> </w:t>
      </w:r>
      <w:r>
        <w:rPr/>
        <w:t>du</w:t>
      </w:r>
      <w:r>
        <w:rPr>
          <w:spacing w:val="-17"/>
        </w:rPr>
        <w:t> </w:t>
      </w:r>
      <w:r>
        <w:rPr/>
        <w:t>sein</w:t>
      </w:r>
      <w:r>
        <w:rPr>
          <w:spacing w:val="-13"/>
        </w:rPr>
        <w:t> </w:t>
      </w:r>
      <w:r>
        <w:rPr/>
        <w:t>(Martel</w:t>
      </w:r>
      <w:r>
        <w:rPr>
          <w:spacing w:val="-16"/>
        </w:rPr>
        <w:t> </w:t>
      </w:r>
      <w:r>
        <w:rPr/>
        <w:t>et</w:t>
      </w:r>
      <w:r>
        <w:rPr>
          <w:spacing w:val="-16"/>
        </w:rPr>
        <w:t> </w:t>
      </w:r>
      <w:r>
        <w:rPr/>
        <w:t>al.,</w:t>
      </w:r>
      <w:r>
        <w:rPr>
          <w:spacing w:val="-16"/>
        </w:rPr>
        <w:t> </w:t>
      </w:r>
      <w:r>
        <w:rPr/>
        <w:t>2016).</w:t>
      </w:r>
      <w:r>
        <w:rPr>
          <w:spacing w:val="-17"/>
        </w:rPr>
        <w:t> </w:t>
      </w:r>
      <w:r>
        <w:rPr/>
        <w:t>Des</w:t>
      </w:r>
      <w:r>
        <w:rPr>
          <w:spacing w:val="-17"/>
        </w:rPr>
        <w:t> </w:t>
      </w:r>
      <w:r>
        <w:rPr/>
        <w:t>investigations supplémentaires sont nécessaires pour statuer de l’efficacité sur la croissance</w:t>
      </w:r>
      <w:r>
        <w:rPr>
          <w:spacing w:val="-22"/>
        </w:rPr>
        <w:t> </w:t>
      </w:r>
      <w:r>
        <w:rPr/>
        <w:t>tumorale.</w:t>
      </w:r>
    </w:p>
    <w:p>
      <w:pPr>
        <w:spacing w:after="0" w:line="276" w:lineRule="auto"/>
        <w:jc w:val="both"/>
        <w:sectPr>
          <w:pgSz w:w="11910" w:h="16840"/>
          <w:pgMar w:header="0" w:footer="995" w:top="1320" w:bottom="1240" w:left="1300" w:right="1300"/>
        </w:sectPr>
      </w:pPr>
    </w:p>
    <w:p>
      <w:pPr>
        <w:pStyle w:val="Heading3"/>
        <w:numPr>
          <w:ilvl w:val="1"/>
          <w:numId w:val="4"/>
        </w:numPr>
        <w:tabs>
          <w:tab w:pos="1535" w:val="left" w:leader="none"/>
        </w:tabs>
        <w:spacing w:line="240" w:lineRule="auto" w:before="75" w:after="0"/>
        <w:ind w:left="1534" w:right="0" w:hanging="360"/>
        <w:jc w:val="left"/>
      </w:pPr>
      <w:r>
        <w:rPr/>
        <w:t>Cibler la</w:t>
      </w:r>
      <w:r>
        <w:rPr>
          <w:spacing w:val="-10"/>
        </w:rPr>
        <w:t> </w:t>
      </w:r>
      <w:r>
        <w:rPr/>
        <w:t>glycolyse</w:t>
      </w:r>
    </w:p>
    <w:p>
      <w:pPr>
        <w:pStyle w:val="BodyText"/>
        <w:rPr>
          <w:b/>
          <w:sz w:val="30"/>
        </w:rPr>
      </w:pPr>
    </w:p>
    <w:p>
      <w:pPr>
        <w:pStyle w:val="BodyText"/>
        <w:spacing w:line="276" w:lineRule="auto" w:before="178"/>
        <w:ind w:left="116" w:right="114" w:firstLine="707"/>
        <w:jc w:val="both"/>
      </w:pPr>
      <w:r>
        <w:rPr/>
        <w:t>L’addiction des cellules cancéreuses à la glycolyse afin de maintenir une production d’énergie</w:t>
      </w:r>
      <w:r>
        <w:rPr>
          <w:spacing w:val="-7"/>
        </w:rPr>
        <w:t> </w:t>
      </w:r>
      <w:r>
        <w:rPr/>
        <w:t>suffisante</w:t>
      </w:r>
      <w:r>
        <w:rPr>
          <w:spacing w:val="-7"/>
        </w:rPr>
        <w:t> </w:t>
      </w:r>
      <w:r>
        <w:rPr/>
        <w:t>les</w:t>
      </w:r>
      <w:r>
        <w:rPr>
          <w:spacing w:val="-6"/>
        </w:rPr>
        <w:t> </w:t>
      </w:r>
      <w:r>
        <w:rPr/>
        <w:t>rend</w:t>
      </w:r>
      <w:r>
        <w:rPr>
          <w:spacing w:val="-6"/>
        </w:rPr>
        <w:t> </w:t>
      </w:r>
      <w:r>
        <w:rPr/>
        <w:t>vulnérables</w:t>
      </w:r>
      <w:r>
        <w:rPr>
          <w:spacing w:val="-6"/>
        </w:rPr>
        <w:t> </w:t>
      </w:r>
      <w:r>
        <w:rPr/>
        <w:t>aux</w:t>
      </w:r>
      <w:r>
        <w:rPr>
          <w:spacing w:val="-4"/>
        </w:rPr>
        <w:t> </w:t>
      </w:r>
      <w:r>
        <w:rPr/>
        <w:t>différents</w:t>
      </w:r>
      <w:r>
        <w:rPr>
          <w:spacing w:val="-5"/>
        </w:rPr>
        <w:t> </w:t>
      </w:r>
      <w:r>
        <w:rPr/>
        <w:t>inhibiteurs</w:t>
      </w:r>
      <w:r>
        <w:rPr>
          <w:spacing w:val="-6"/>
        </w:rPr>
        <w:t> </w:t>
      </w:r>
      <w:r>
        <w:rPr/>
        <w:t>de</w:t>
      </w:r>
      <w:r>
        <w:rPr>
          <w:spacing w:val="-7"/>
        </w:rPr>
        <w:t> </w:t>
      </w:r>
      <w:r>
        <w:rPr/>
        <w:t>la</w:t>
      </w:r>
      <w:r>
        <w:rPr>
          <w:spacing w:val="-6"/>
        </w:rPr>
        <w:t> </w:t>
      </w:r>
      <w:r>
        <w:rPr/>
        <w:t>glycolyse.</w:t>
      </w:r>
      <w:r>
        <w:rPr>
          <w:spacing w:val="-3"/>
        </w:rPr>
        <w:t> </w:t>
      </w:r>
      <w:r>
        <w:rPr/>
        <w:t>Les</w:t>
      </w:r>
      <w:r>
        <w:rPr>
          <w:spacing w:val="-6"/>
        </w:rPr>
        <w:t> </w:t>
      </w:r>
      <w:r>
        <w:rPr/>
        <w:t>cellules dont la respiration mitochondriale est intacte seront capables de produire leur énergie </w:t>
      </w:r>
      <w:r>
        <w:rPr>
          <w:i/>
        </w:rPr>
        <w:t>via </w:t>
      </w:r>
      <w:r>
        <w:rPr/>
        <w:t>les phosphorylations oxydatives, mais les cellules glycolytiques avec une respiration mitochondriale défectueuse en seront incapables. </w:t>
      </w:r>
      <w:r>
        <w:rPr>
          <w:spacing w:val="-3"/>
        </w:rPr>
        <w:t>Le </w:t>
      </w:r>
      <w:r>
        <w:rPr/>
        <w:t>schéma suivant (Figure 24) résume les bases de cette</w:t>
      </w:r>
      <w:r>
        <w:rPr>
          <w:spacing w:val="-6"/>
        </w:rPr>
        <w:t> </w:t>
      </w:r>
      <w:r>
        <w:rPr/>
        <w:t>stratégie.</w:t>
      </w:r>
    </w:p>
    <w:p>
      <w:pPr>
        <w:pStyle w:val="BodyText"/>
        <w:spacing w:before="3"/>
        <w:rPr>
          <w:sz w:val="11"/>
        </w:rPr>
      </w:pPr>
      <w:r>
        <w:rPr/>
        <w:drawing>
          <wp:anchor distT="0" distB="0" distL="0" distR="0" allowOverlap="1" layoutInCell="1" locked="0" behindDoc="0" simplePos="0" relativeHeight="1600">
            <wp:simplePos x="0" y="0"/>
            <wp:positionH relativeFrom="page">
              <wp:posOffset>1716785</wp:posOffset>
            </wp:positionH>
            <wp:positionV relativeFrom="paragraph">
              <wp:posOffset>107322</wp:posOffset>
            </wp:positionV>
            <wp:extent cx="4497252" cy="3080385"/>
            <wp:effectExtent l="0" t="0" r="0" b="0"/>
            <wp:wrapTopAndBottom/>
            <wp:docPr id="59" name="image28.jpeg" descr=""/>
            <wp:cNvGraphicFramePr>
              <a:graphicFrameLocks noChangeAspect="1"/>
            </wp:cNvGraphicFramePr>
            <a:graphic>
              <a:graphicData uri="http://schemas.openxmlformats.org/drawingml/2006/picture">
                <pic:pic>
                  <pic:nvPicPr>
                    <pic:cNvPr id="60" name="image28.jpeg"/>
                    <pic:cNvPicPr/>
                  </pic:nvPicPr>
                  <pic:blipFill>
                    <a:blip r:embed="rId34" cstate="print"/>
                    <a:stretch>
                      <a:fillRect/>
                    </a:stretch>
                  </pic:blipFill>
                  <pic:spPr>
                    <a:xfrm>
                      <a:off x="0" y="0"/>
                      <a:ext cx="4497252" cy="3080385"/>
                    </a:xfrm>
                    <a:prstGeom prst="rect">
                      <a:avLst/>
                    </a:prstGeom>
                  </pic:spPr>
                </pic:pic>
              </a:graphicData>
            </a:graphic>
          </wp:anchor>
        </w:drawing>
      </w:r>
    </w:p>
    <w:p>
      <w:pPr>
        <w:spacing w:line="506" w:lineRule="auto" w:before="156"/>
        <w:ind w:left="3323" w:right="3323" w:firstLine="0"/>
        <w:jc w:val="center"/>
        <w:rPr>
          <w:i/>
          <w:sz w:val="18"/>
        </w:rPr>
      </w:pPr>
      <w:bookmarkStart w:name="_bookmark85" w:id="136"/>
      <w:bookmarkEnd w:id="136"/>
      <w:r>
        <w:rPr/>
      </w:r>
      <w:r>
        <w:rPr>
          <w:i/>
          <w:color w:val="44536A"/>
          <w:sz w:val="18"/>
        </w:rPr>
        <w:t>Figure 24 : Cibler la glycolyse. </w:t>
      </w:r>
      <w:r>
        <w:rPr>
          <w:i/>
          <w:color w:val="44536A"/>
          <w:sz w:val="18"/>
        </w:rPr>
        <w:t>D'après Pelicano et al., 2006</w:t>
      </w:r>
    </w:p>
    <w:p>
      <w:pPr>
        <w:pStyle w:val="BodyText"/>
        <w:rPr>
          <w:i/>
          <w:sz w:val="20"/>
        </w:rPr>
      </w:pPr>
    </w:p>
    <w:p>
      <w:pPr>
        <w:pStyle w:val="BodyText"/>
        <w:spacing w:before="8"/>
        <w:rPr>
          <w:i/>
          <w:sz w:val="20"/>
        </w:rPr>
      </w:pPr>
    </w:p>
    <w:p>
      <w:pPr>
        <w:pStyle w:val="ListParagraph"/>
        <w:numPr>
          <w:ilvl w:val="0"/>
          <w:numId w:val="14"/>
        </w:numPr>
        <w:tabs>
          <w:tab w:pos="1110" w:val="left" w:leader="none"/>
        </w:tabs>
        <w:spacing w:line="240" w:lineRule="auto" w:before="0" w:after="0"/>
        <w:ind w:left="1110" w:right="0" w:hanging="360"/>
        <w:jc w:val="left"/>
        <w:rPr>
          <w:sz w:val="24"/>
        </w:rPr>
      </w:pPr>
      <w:bookmarkStart w:name="_bookmark86" w:id="137"/>
      <w:bookmarkEnd w:id="137"/>
      <w:r>
        <w:rPr/>
      </w:r>
      <w:bookmarkStart w:name="_bookmark86" w:id="138"/>
      <w:bookmarkEnd w:id="138"/>
      <w:r>
        <w:rPr>
          <w:i/>
          <w:sz w:val="24"/>
          <w:u w:val="single"/>
        </w:rPr>
        <w:t>V</w:t>
      </w:r>
      <w:r>
        <w:rPr>
          <w:i/>
          <w:sz w:val="24"/>
          <w:u w:val="single"/>
        </w:rPr>
        <w:t>ia </w:t>
      </w:r>
      <w:r>
        <w:rPr>
          <w:sz w:val="24"/>
          <w:u w:val="single"/>
        </w:rPr>
        <w:t>les inhibiteurs de l’hexokinase</w:t>
      </w:r>
      <w:r>
        <w:rPr>
          <w:spacing w:val="-8"/>
          <w:sz w:val="24"/>
          <w:u w:val="single"/>
        </w:rPr>
        <w:t> </w:t>
      </w:r>
      <w:r>
        <w:rPr>
          <w:sz w:val="24"/>
          <w:u w:val="single"/>
        </w:rPr>
        <w:t>(HK)</w:t>
      </w:r>
    </w:p>
    <w:p>
      <w:pPr>
        <w:pStyle w:val="BodyText"/>
        <w:spacing w:before="7"/>
        <w:rPr>
          <w:sz w:val="21"/>
        </w:rPr>
      </w:pPr>
    </w:p>
    <w:p>
      <w:pPr>
        <w:pStyle w:val="BodyText"/>
        <w:spacing w:line="276" w:lineRule="auto" w:before="90"/>
        <w:ind w:left="116" w:right="118" w:firstLine="707"/>
        <w:jc w:val="both"/>
      </w:pPr>
      <w:r>
        <w:rPr/>
        <w:t>La première étape de la glycolyse est catalysée par l’HK. Le produit de cette réaction, le glucose-6-phosphate (G6P), est un intermédiaire métabolique pouvant être utilisé pour la suite de la glycolyse ou dévié vers la voie des pentoses phosphates.</w:t>
      </w:r>
    </w:p>
    <w:p>
      <w:pPr>
        <w:pStyle w:val="BodyText"/>
        <w:rPr>
          <w:sz w:val="26"/>
        </w:rPr>
      </w:pPr>
    </w:p>
    <w:p>
      <w:pPr>
        <w:pStyle w:val="Heading5"/>
        <w:numPr>
          <w:ilvl w:val="1"/>
          <w:numId w:val="14"/>
        </w:numPr>
        <w:tabs>
          <w:tab w:pos="2252" w:val="left" w:leader="none"/>
          <w:tab w:pos="2253" w:val="left" w:leader="none"/>
        </w:tabs>
        <w:spacing w:line="240" w:lineRule="auto" w:before="186" w:after="0"/>
        <w:ind w:left="2252" w:right="0" w:hanging="720"/>
        <w:jc w:val="left"/>
        <w:rPr>
          <w:i/>
        </w:rPr>
      </w:pPr>
      <w:bookmarkStart w:name="_bookmark87" w:id="139"/>
      <w:bookmarkEnd w:id="139"/>
      <w:r>
        <w:rPr>
          <w:b w:val="0"/>
          <w:i w:val="0"/>
        </w:rPr>
      </w:r>
      <w:bookmarkStart w:name="_bookmark87" w:id="140"/>
      <w:bookmarkEnd w:id="140"/>
      <w:r>
        <w:rPr>
          <w:i/>
        </w:rPr>
        <w:t>Le</w:t>
      </w:r>
      <w:r>
        <w:rPr>
          <w:i/>
          <w:spacing w:val="-6"/>
        </w:rPr>
        <w:t> </w:t>
      </w:r>
      <w:r>
        <w:rPr>
          <w:i/>
        </w:rPr>
        <w:t>2-DG</w:t>
      </w:r>
    </w:p>
    <w:p>
      <w:pPr>
        <w:pStyle w:val="BodyText"/>
        <w:rPr>
          <w:b/>
          <w:i/>
          <w:sz w:val="26"/>
        </w:rPr>
      </w:pPr>
    </w:p>
    <w:p>
      <w:pPr>
        <w:pStyle w:val="BodyText"/>
        <w:spacing w:line="271" w:lineRule="auto" w:before="214"/>
        <w:ind w:left="116" w:right="114" w:firstLine="707"/>
        <w:jc w:val="both"/>
      </w:pPr>
      <w:r>
        <w:rPr/>
        <w:t>Dans le cytoplasme, le </w:t>
      </w:r>
      <w:r>
        <w:rPr>
          <w:b/>
          <w:u w:val="thick"/>
        </w:rPr>
        <w:t>2-désoxyglucose</w:t>
      </w:r>
      <w:r>
        <w:rPr>
          <w:b/>
        </w:rPr>
        <w:t> </w:t>
      </w:r>
      <w:r>
        <w:rPr/>
        <w:t>(2-DG) est phosphorylé en 2-DG-6-phosphate (Russell et al., 1992) par l’HK, qui ne peut pas être métabolisé comme le G6P. </w:t>
      </w:r>
      <w:r>
        <w:rPr>
          <w:spacing w:val="-3"/>
        </w:rPr>
        <w:t>Le </w:t>
      </w:r>
      <w:r>
        <w:rPr/>
        <w:t>2-DG-6- phosphate</w:t>
      </w:r>
      <w:r>
        <w:rPr>
          <w:spacing w:val="-7"/>
        </w:rPr>
        <w:t> </w:t>
      </w:r>
      <w:r>
        <w:rPr/>
        <w:t>s’accumule</w:t>
      </w:r>
      <w:r>
        <w:rPr>
          <w:spacing w:val="-7"/>
        </w:rPr>
        <w:t> </w:t>
      </w:r>
      <w:r>
        <w:rPr/>
        <w:t>donc</w:t>
      </w:r>
      <w:r>
        <w:rPr>
          <w:spacing w:val="-7"/>
        </w:rPr>
        <w:t> </w:t>
      </w:r>
      <w:r>
        <w:rPr/>
        <w:t>dans</w:t>
      </w:r>
      <w:r>
        <w:rPr>
          <w:spacing w:val="-6"/>
        </w:rPr>
        <w:t> </w:t>
      </w:r>
      <w:r>
        <w:rPr/>
        <w:t>la</w:t>
      </w:r>
      <w:r>
        <w:rPr>
          <w:spacing w:val="-7"/>
        </w:rPr>
        <w:t> </w:t>
      </w:r>
      <w:r>
        <w:rPr/>
        <w:t>cellule</w:t>
      </w:r>
      <w:r>
        <w:rPr>
          <w:spacing w:val="-7"/>
        </w:rPr>
        <w:t> </w:t>
      </w:r>
      <w:r>
        <w:rPr/>
        <w:t>et</w:t>
      </w:r>
      <w:r>
        <w:rPr>
          <w:spacing w:val="-6"/>
        </w:rPr>
        <w:t> </w:t>
      </w:r>
      <w:r>
        <w:rPr/>
        <w:t>conduit</w:t>
      </w:r>
      <w:r>
        <w:rPr>
          <w:spacing w:val="-6"/>
        </w:rPr>
        <w:t> </w:t>
      </w:r>
      <w:r>
        <w:rPr/>
        <w:t>à</w:t>
      </w:r>
      <w:r>
        <w:rPr>
          <w:spacing w:val="-7"/>
        </w:rPr>
        <w:t> </w:t>
      </w:r>
      <w:r>
        <w:rPr/>
        <w:t>une</w:t>
      </w:r>
      <w:r>
        <w:rPr>
          <w:spacing w:val="-7"/>
        </w:rPr>
        <w:t> </w:t>
      </w:r>
      <w:r>
        <w:rPr/>
        <w:t>inhibition</w:t>
      </w:r>
      <w:r>
        <w:rPr>
          <w:spacing w:val="-6"/>
        </w:rPr>
        <w:t> </w:t>
      </w:r>
      <w:r>
        <w:rPr/>
        <w:t>de</w:t>
      </w:r>
      <w:r>
        <w:rPr>
          <w:spacing w:val="-7"/>
        </w:rPr>
        <w:t> </w:t>
      </w:r>
      <w:r>
        <w:rPr/>
        <w:t>la</w:t>
      </w:r>
      <w:r>
        <w:rPr>
          <w:spacing w:val="-9"/>
        </w:rPr>
        <w:t> </w:t>
      </w:r>
      <w:r>
        <w:rPr/>
        <w:t>glycolyse</w:t>
      </w:r>
      <w:r>
        <w:rPr>
          <w:spacing w:val="-7"/>
        </w:rPr>
        <w:t> </w:t>
      </w:r>
      <w:r>
        <w:rPr/>
        <w:t>au</w:t>
      </w:r>
      <w:r>
        <w:rPr>
          <w:spacing w:val="-6"/>
        </w:rPr>
        <w:t> </w:t>
      </w:r>
      <w:r>
        <w:rPr/>
        <w:t>niveau de</w:t>
      </w:r>
      <w:r>
        <w:rPr>
          <w:spacing w:val="-12"/>
        </w:rPr>
        <w:t> </w:t>
      </w:r>
      <w:r>
        <w:rPr/>
        <w:t>la</w:t>
      </w:r>
      <w:r>
        <w:rPr>
          <w:spacing w:val="-12"/>
        </w:rPr>
        <w:t> </w:t>
      </w:r>
      <w:r>
        <w:rPr/>
        <w:t>1</w:t>
      </w:r>
      <w:r>
        <w:rPr>
          <w:position w:val="9"/>
          <w:sz w:val="16"/>
        </w:rPr>
        <w:t>ère</w:t>
      </w:r>
      <w:r>
        <w:rPr>
          <w:spacing w:val="6"/>
          <w:position w:val="9"/>
          <w:sz w:val="16"/>
        </w:rPr>
        <w:t> </w:t>
      </w:r>
      <w:r>
        <w:rPr/>
        <w:t>étape.</w:t>
      </w:r>
      <w:r>
        <w:rPr>
          <w:spacing w:val="-11"/>
        </w:rPr>
        <w:t> </w:t>
      </w:r>
      <w:r>
        <w:rPr/>
        <w:t>De</w:t>
      </w:r>
      <w:r>
        <w:rPr>
          <w:spacing w:val="-12"/>
        </w:rPr>
        <w:t> </w:t>
      </w:r>
      <w:r>
        <w:rPr/>
        <w:t>plus,</w:t>
      </w:r>
      <w:r>
        <w:rPr>
          <w:spacing w:val="-10"/>
        </w:rPr>
        <w:t> </w:t>
      </w:r>
      <w:r>
        <w:rPr/>
        <w:t>il</w:t>
      </w:r>
      <w:r>
        <w:rPr>
          <w:spacing w:val="-10"/>
        </w:rPr>
        <w:t> </w:t>
      </w:r>
      <w:r>
        <w:rPr/>
        <w:t>semble</w:t>
      </w:r>
      <w:r>
        <w:rPr>
          <w:spacing w:val="-12"/>
        </w:rPr>
        <w:t> </w:t>
      </w:r>
      <w:r>
        <w:rPr/>
        <w:t>aussi</w:t>
      </w:r>
      <w:r>
        <w:rPr>
          <w:spacing w:val="-10"/>
        </w:rPr>
        <w:t> </w:t>
      </w:r>
      <w:r>
        <w:rPr/>
        <w:t>avoir</w:t>
      </w:r>
      <w:r>
        <w:rPr>
          <w:spacing w:val="-11"/>
        </w:rPr>
        <w:t> </w:t>
      </w:r>
      <w:r>
        <w:rPr/>
        <w:t>un</w:t>
      </w:r>
      <w:r>
        <w:rPr>
          <w:spacing w:val="-11"/>
        </w:rPr>
        <w:t> </w:t>
      </w:r>
      <w:r>
        <w:rPr/>
        <w:t>effet</w:t>
      </w:r>
      <w:r>
        <w:rPr>
          <w:spacing w:val="-11"/>
        </w:rPr>
        <w:t> </w:t>
      </w:r>
      <w:r>
        <w:rPr/>
        <w:t>sur</w:t>
      </w:r>
      <w:r>
        <w:rPr>
          <w:spacing w:val="-12"/>
        </w:rPr>
        <w:t> </w:t>
      </w:r>
      <w:r>
        <w:rPr/>
        <w:t>l’HK</w:t>
      </w:r>
      <w:r>
        <w:rPr>
          <w:spacing w:val="-12"/>
        </w:rPr>
        <w:t> </w:t>
      </w:r>
      <w:r>
        <w:rPr/>
        <w:t>liée</w:t>
      </w:r>
      <w:r>
        <w:rPr>
          <w:spacing w:val="-12"/>
        </w:rPr>
        <w:t> </w:t>
      </w:r>
      <w:r>
        <w:rPr/>
        <w:t>à</w:t>
      </w:r>
      <w:r>
        <w:rPr>
          <w:spacing w:val="-12"/>
        </w:rPr>
        <w:t> </w:t>
      </w:r>
      <w:r>
        <w:rPr/>
        <w:t>la</w:t>
      </w:r>
      <w:r>
        <w:rPr>
          <w:spacing w:val="-12"/>
        </w:rPr>
        <w:t> </w:t>
      </w:r>
      <w:r>
        <w:rPr/>
        <w:t>mitochondrie,</w:t>
      </w:r>
      <w:r>
        <w:rPr>
          <w:spacing w:val="-12"/>
        </w:rPr>
        <w:t> </w:t>
      </w:r>
      <w:r>
        <w:rPr/>
        <w:t>suggérant également un effet sur le métabolisme mitochondrial (Lynch et al.,</w:t>
      </w:r>
      <w:r>
        <w:rPr>
          <w:spacing w:val="-10"/>
        </w:rPr>
        <w:t> </w:t>
      </w:r>
      <w:r>
        <w:rPr/>
        <w:t>1991).</w:t>
      </w:r>
    </w:p>
    <w:p>
      <w:pPr>
        <w:spacing w:after="0" w:line="271" w:lineRule="auto"/>
        <w:jc w:val="both"/>
        <w:sectPr>
          <w:pgSz w:w="11910" w:h="16840"/>
          <w:pgMar w:header="0" w:footer="995" w:top="1320" w:bottom="1240" w:left="1300" w:right="1300"/>
        </w:sectPr>
      </w:pPr>
    </w:p>
    <w:p>
      <w:pPr>
        <w:pStyle w:val="BodyText"/>
        <w:spacing w:line="276" w:lineRule="auto" w:before="72"/>
        <w:ind w:left="116" w:right="115" w:firstLine="707"/>
        <w:jc w:val="both"/>
      </w:pPr>
      <w:r>
        <w:rPr/>
        <w:t>Un certain nombre d’études montre l’effet cytotoxique du 2-DG sur les cellules cancéreuses avec des défauts de respiration mitochondriale ou dans un environnement hypoxique (Maher et al., 2004).</w:t>
      </w:r>
    </w:p>
    <w:p>
      <w:pPr>
        <w:pStyle w:val="BodyText"/>
        <w:spacing w:line="276" w:lineRule="auto" w:before="164"/>
        <w:ind w:left="116" w:right="117" w:firstLine="707"/>
        <w:jc w:val="both"/>
      </w:pPr>
      <w:r>
        <w:rPr/>
        <w:t>L’étude de Zhang et al. s’intéresse au traitement de 12 lignées cellulaires cancéreuses humaines avec le 2-DG. </w:t>
      </w:r>
      <w:r>
        <w:rPr>
          <w:spacing w:val="-3"/>
        </w:rPr>
        <w:t>La </w:t>
      </w:r>
      <w:r>
        <w:rPr/>
        <w:t>diminution de la prolifération cellulaire et l’augmentation de l’apoptose sont visibles dans certaines lignées </w:t>
      </w:r>
      <w:r>
        <w:rPr>
          <w:b/>
          <w:i/>
        </w:rPr>
        <w:t>in vitro </w:t>
      </w:r>
      <w:r>
        <w:rPr/>
        <w:t>mais ces résultats demandent plus d’investigations</w:t>
      </w:r>
      <w:r>
        <w:rPr>
          <w:spacing w:val="-5"/>
        </w:rPr>
        <w:t> </w:t>
      </w:r>
      <w:r>
        <w:rPr/>
        <w:t>pour</w:t>
      </w:r>
      <w:r>
        <w:rPr>
          <w:spacing w:val="-7"/>
        </w:rPr>
        <w:t> </w:t>
      </w:r>
      <w:r>
        <w:rPr/>
        <w:t>démontrer</w:t>
      </w:r>
      <w:r>
        <w:rPr>
          <w:spacing w:val="-7"/>
        </w:rPr>
        <w:t> </w:t>
      </w:r>
      <w:r>
        <w:rPr/>
        <w:t>une</w:t>
      </w:r>
      <w:r>
        <w:rPr>
          <w:spacing w:val="-5"/>
        </w:rPr>
        <w:t> </w:t>
      </w:r>
      <w:r>
        <w:rPr/>
        <w:t>efficacité</w:t>
      </w:r>
      <w:r>
        <w:rPr>
          <w:spacing w:val="-5"/>
        </w:rPr>
        <w:t> </w:t>
      </w:r>
      <w:r>
        <w:rPr/>
        <w:t>générale</w:t>
      </w:r>
      <w:r>
        <w:rPr>
          <w:spacing w:val="-5"/>
        </w:rPr>
        <w:t> </w:t>
      </w:r>
      <w:r>
        <w:rPr/>
        <w:t>du</w:t>
      </w:r>
      <w:r>
        <w:rPr>
          <w:spacing w:val="-6"/>
        </w:rPr>
        <w:t> </w:t>
      </w:r>
      <w:r>
        <w:rPr/>
        <w:t>2-DG</w:t>
      </w:r>
      <w:r>
        <w:rPr>
          <w:spacing w:val="-7"/>
        </w:rPr>
        <w:t> </w:t>
      </w:r>
      <w:r>
        <w:rPr/>
        <w:t>(Zhang</w:t>
      </w:r>
      <w:r>
        <w:rPr>
          <w:spacing w:val="-6"/>
        </w:rPr>
        <w:t> </w:t>
      </w:r>
      <w:r>
        <w:rPr/>
        <w:t>et</w:t>
      </w:r>
      <w:r>
        <w:rPr>
          <w:spacing w:val="-6"/>
        </w:rPr>
        <w:t> </w:t>
      </w:r>
      <w:r>
        <w:rPr/>
        <w:t>al.,</w:t>
      </w:r>
      <w:r>
        <w:rPr>
          <w:spacing w:val="-6"/>
        </w:rPr>
        <w:t> </w:t>
      </w:r>
      <w:r>
        <w:rPr/>
        <w:t>2006).</w:t>
      </w:r>
      <w:r>
        <w:rPr>
          <w:spacing w:val="-6"/>
        </w:rPr>
        <w:t> </w:t>
      </w:r>
      <w:r>
        <w:rPr/>
        <w:t>En</w:t>
      </w:r>
      <w:r>
        <w:rPr>
          <w:spacing w:val="-4"/>
        </w:rPr>
        <w:t> </w:t>
      </w:r>
      <w:r>
        <w:rPr/>
        <w:t>effet, son efficacité est toujours freinée par la présence de glucose et ne semble que réduire partiellement la disponibilité de ce dernier pour la</w:t>
      </w:r>
      <w:r>
        <w:rPr>
          <w:spacing w:val="-10"/>
        </w:rPr>
        <w:t> </w:t>
      </w:r>
      <w:r>
        <w:rPr/>
        <w:t>glycolyse.</w:t>
      </w:r>
    </w:p>
    <w:p>
      <w:pPr>
        <w:pStyle w:val="BodyText"/>
        <w:spacing w:line="276" w:lineRule="auto" w:before="164"/>
        <w:ind w:left="116" w:right="114" w:firstLine="707"/>
        <w:jc w:val="both"/>
      </w:pPr>
      <w:r>
        <w:rPr/>
        <w:t>Un autre intérêt de l’utilisation du 2-DG pourrait être l’augmentation de l’efficacité de la chimiothérapie. C’est le cas par exemple en combinaison avec de l’adriamycine et du paclitaxel dans un modèle </w:t>
      </w:r>
      <w:r>
        <w:rPr>
          <w:b/>
          <w:i/>
        </w:rPr>
        <w:t>in vivo </w:t>
      </w:r>
      <w:r>
        <w:rPr/>
        <w:t>d’ostéosarcome humain (xénogreffe sur souris nude) et dans un</w:t>
      </w:r>
      <w:r>
        <w:rPr>
          <w:spacing w:val="-8"/>
        </w:rPr>
        <w:t> </w:t>
      </w:r>
      <w:r>
        <w:rPr/>
        <w:t>modèle</w:t>
      </w:r>
      <w:r>
        <w:rPr>
          <w:spacing w:val="-9"/>
        </w:rPr>
        <w:t> </w:t>
      </w:r>
      <w:r>
        <w:rPr/>
        <w:t>de</w:t>
      </w:r>
      <w:r>
        <w:rPr>
          <w:spacing w:val="-7"/>
        </w:rPr>
        <w:t> </w:t>
      </w:r>
      <w:r>
        <w:rPr/>
        <w:t>cancer</w:t>
      </w:r>
      <w:r>
        <w:rPr>
          <w:spacing w:val="-8"/>
        </w:rPr>
        <w:t> </w:t>
      </w:r>
      <w:r>
        <w:rPr/>
        <w:t>du</w:t>
      </w:r>
      <w:r>
        <w:rPr>
          <w:spacing w:val="-7"/>
        </w:rPr>
        <w:t> </w:t>
      </w:r>
      <w:r>
        <w:rPr/>
        <w:t>poumon</w:t>
      </w:r>
      <w:r>
        <w:rPr>
          <w:spacing w:val="-7"/>
        </w:rPr>
        <w:t> </w:t>
      </w:r>
      <w:r>
        <w:rPr/>
        <w:t>(Maschek</w:t>
      </w:r>
      <w:r>
        <w:rPr>
          <w:spacing w:val="-8"/>
        </w:rPr>
        <w:t> </w:t>
      </w:r>
      <w:r>
        <w:rPr/>
        <w:t>et</w:t>
      </w:r>
      <w:r>
        <w:rPr>
          <w:spacing w:val="-6"/>
        </w:rPr>
        <w:t> </w:t>
      </w:r>
      <w:r>
        <w:rPr/>
        <w:t>al.,</w:t>
      </w:r>
      <w:r>
        <w:rPr>
          <w:spacing w:val="-8"/>
        </w:rPr>
        <w:t> </w:t>
      </w:r>
      <w:r>
        <w:rPr/>
        <w:t>2004).</w:t>
      </w:r>
      <w:r>
        <w:rPr>
          <w:spacing w:val="-8"/>
        </w:rPr>
        <w:t> </w:t>
      </w:r>
      <w:r>
        <w:rPr/>
        <w:t>Néanmoins,</w:t>
      </w:r>
      <w:r>
        <w:rPr>
          <w:spacing w:val="-8"/>
        </w:rPr>
        <w:t> </w:t>
      </w:r>
      <w:r>
        <w:rPr/>
        <w:t>cette</w:t>
      </w:r>
      <w:r>
        <w:rPr>
          <w:spacing w:val="-9"/>
        </w:rPr>
        <w:t> </w:t>
      </w:r>
      <w:r>
        <w:rPr/>
        <w:t>étude</w:t>
      </w:r>
      <w:r>
        <w:rPr>
          <w:spacing w:val="-9"/>
        </w:rPr>
        <w:t> </w:t>
      </w:r>
      <w:r>
        <w:rPr/>
        <w:t>souligne</w:t>
      </w:r>
      <w:r>
        <w:rPr>
          <w:spacing w:val="-9"/>
        </w:rPr>
        <w:t> </w:t>
      </w:r>
      <w:r>
        <w:rPr/>
        <w:t>qu’</w:t>
      </w:r>
      <w:r>
        <w:rPr>
          <w:b/>
          <w:i/>
        </w:rPr>
        <w:t>in </w:t>
      </w:r>
      <w:r>
        <w:rPr>
          <w:b/>
          <w:i/>
        </w:rPr>
        <w:t>vivo, </w:t>
      </w:r>
      <w:r>
        <w:rPr/>
        <w:t>l’administration du 2-DG seul ne montre pas d’activité anticancéreuse</w:t>
      </w:r>
      <w:r>
        <w:rPr>
          <w:spacing w:val="-22"/>
        </w:rPr>
        <w:t> </w:t>
      </w:r>
      <w:r>
        <w:rPr/>
        <w:t>significative.</w:t>
      </w:r>
    </w:p>
    <w:p>
      <w:pPr>
        <w:pStyle w:val="BodyText"/>
        <w:spacing w:line="276" w:lineRule="auto" w:before="164"/>
        <w:ind w:left="116" w:right="114" w:firstLine="707"/>
        <w:jc w:val="both"/>
      </w:pPr>
      <w:r>
        <w:rPr/>
        <w:t>L’équipe de Zhao et al. montre que l’association du 2-DG au trastuzumab renforce l’action de ce dernier </w:t>
      </w:r>
      <w:r>
        <w:rPr>
          <w:b/>
          <w:i/>
        </w:rPr>
        <w:t>in vitro </w:t>
      </w:r>
      <w:r>
        <w:rPr/>
        <w:t>sur des lignées de cellules de cancer du sein (Zhao et al., 2011). Le 2-DG montre également une efficacité lors de résistance au cisplatine (Sullivan et al., 2014a).</w:t>
      </w:r>
    </w:p>
    <w:p>
      <w:pPr>
        <w:pStyle w:val="BodyText"/>
        <w:rPr>
          <w:sz w:val="26"/>
        </w:rPr>
      </w:pPr>
    </w:p>
    <w:p>
      <w:pPr>
        <w:pStyle w:val="BodyText"/>
        <w:spacing w:before="3"/>
        <w:rPr>
          <w:sz w:val="30"/>
        </w:rPr>
      </w:pPr>
    </w:p>
    <w:p>
      <w:pPr>
        <w:pStyle w:val="Heading5"/>
        <w:numPr>
          <w:ilvl w:val="1"/>
          <w:numId w:val="14"/>
        </w:numPr>
        <w:tabs>
          <w:tab w:pos="2252" w:val="left" w:leader="none"/>
          <w:tab w:pos="2253" w:val="left" w:leader="none"/>
        </w:tabs>
        <w:spacing w:line="240" w:lineRule="auto" w:before="0" w:after="0"/>
        <w:ind w:left="2252" w:right="0" w:hanging="720"/>
        <w:jc w:val="left"/>
        <w:rPr>
          <w:i/>
        </w:rPr>
      </w:pPr>
      <w:bookmarkStart w:name="_bookmark88" w:id="141"/>
      <w:bookmarkEnd w:id="141"/>
      <w:r>
        <w:rPr>
          <w:b w:val="0"/>
          <w:i w:val="0"/>
        </w:rPr>
      </w:r>
      <w:bookmarkStart w:name="_bookmark88" w:id="142"/>
      <w:bookmarkEnd w:id="142"/>
      <w:r>
        <w:rPr>
          <w:i/>
        </w:rPr>
        <w:t>Le</w:t>
      </w:r>
      <w:r>
        <w:rPr>
          <w:i/>
        </w:rPr>
        <w:t> 3-Bromopyruvate</w:t>
      </w:r>
      <w:r>
        <w:rPr>
          <w:i/>
          <w:spacing w:val="-7"/>
        </w:rPr>
        <w:t> </w:t>
      </w:r>
      <w:r>
        <w:rPr>
          <w:i/>
        </w:rPr>
        <w:t>(3-BP)</w:t>
      </w:r>
    </w:p>
    <w:p>
      <w:pPr>
        <w:pStyle w:val="BodyText"/>
        <w:spacing w:before="10"/>
        <w:rPr>
          <w:b/>
          <w:i/>
          <w:sz w:val="30"/>
        </w:rPr>
      </w:pPr>
    </w:p>
    <w:p>
      <w:pPr>
        <w:pStyle w:val="BodyText"/>
        <w:spacing w:line="276" w:lineRule="auto"/>
        <w:ind w:left="116" w:right="115" w:firstLine="707"/>
        <w:jc w:val="both"/>
      </w:pPr>
      <w:r>
        <w:rPr/>
        <w:t>L’analogue du pyruvate </w:t>
      </w:r>
      <w:r>
        <w:rPr>
          <w:b/>
          <w:u w:val="thick"/>
        </w:rPr>
        <w:t>3-Bromopyruvate</w:t>
      </w:r>
      <w:r>
        <w:rPr>
          <w:b/>
        </w:rPr>
        <w:t> </w:t>
      </w:r>
      <w:r>
        <w:rPr/>
        <w:t>(3-BP) est un agent alkylant inhibiteur de l’HK II initialement mis en évidence dans un modèle lapin de cancer du foie (Ko et al., 2001). Il réduit la production d’ATP dans la cellule cancéreuse et montre une activité cytotoxique envers ces dernières ainsi que dans les cellules métastatiques. Le relargage du cytochrome c permet une mort cellulaire massive, et ce également dans les cellules mutirésistantes aux drogues (Xu et al., 2005).</w:t>
      </w:r>
    </w:p>
    <w:p>
      <w:pPr>
        <w:pStyle w:val="BodyText"/>
        <w:spacing w:line="276" w:lineRule="auto" w:before="164"/>
        <w:ind w:left="116" w:right="111" w:firstLine="707"/>
        <w:jc w:val="both"/>
      </w:pPr>
      <w:r>
        <w:rPr>
          <w:b/>
          <w:i/>
        </w:rPr>
        <w:t>In vivo</w:t>
      </w:r>
      <w:r>
        <w:rPr/>
        <w:t>, dans un modèle souris de cancer du poumon, l’activité chimiopréventive du 3- BP</w:t>
      </w:r>
      <w:r>
        <w:rPr>
          <w:spacing w:val="-6"/>
        </w:rPr>
        <w:t> </w:t>
      </w:r>
      <w:r>
        <w:rPr/>
        <w:t>a</w:t>
      </w:r>
      <w:r>
        <w:rPr>
          <w:spacing w:val="-7"/>
        </w:rPr>
        <w:t> </w:t>
      </w:r>
      <w:r>
        <w:rPr/>
        <w:t>pu</w:t>
      </w:r>
      <w:r>
        <w:rPr>
          <w:spacing w:val="-4"/>
        </w:rPr>
        <w:t> </w:t>
      </w:r>
      <w:r>
        <w:rPr/>
        <w:t>être</w:t>
      </w:r>
      <w:r>
        <w:rPr>
          <w:spacing w:val="-5"/>
        </w:rPr>
        <w:t> </w:t>
      </w:r>
      <w:r>
        <w:rPr/>
        <w:t>testée</w:t>
      </w:r>
      <w:r>
        <w:rPr>
          <w:spacing w:val="-4"/>
        </w:rPr>
        <w:t> </w:t>
      </w:r>
      <w:r>
        <w:rPr/>
        <w:t>(Zhang</w:t>
      </w:r>
      <w:r>
        <w:rPr>
          <w:spacing w:val="-6"/>
        </w:rPr>
        <w:t> </w:t>
      </w:r>
      <w:r>
        <w:rPr/>
        <w:t>et</w:t>
      </w:r>
      <w:r>
        <w:rPr>
          <w:spacing w:val="-6"/>
        </w:rPr>
        <w:t> </w:t>
      </w:r>
      <w:r>
        <w:rPr/>
        <w:t>al.,</w:t>
      </w:r>
      <w:r>
        <w:rPr>
          <w:spacing w:val="-6"/>
        </w:rPr>
        <w:t> </w:t>
      </w:r>
      <w:r>
        <w:rPr/>
        <w:t>2012),</w:t>
      </w:r>
      <w:r>
        <w:rPr>
          <w:spacing w:val="-6"/>
        </w:rPr>
        <w:t> </w:t>
      </w:r>
      <w:r>
        <w:rPr/>
        <w:t>et</w:t>
      </w:r>
      <w:r>
        <w:rPr>
          <w:spacing w:val="-6"/>
        </w:rPr>
        <w:t> </w:t>
      </w:r>
      <w:r>
        <w:rPr/>
        <w:t>montre</w:t>
      </w:r>
      <w:r>
        <w:rPr>
          <w:spacing w:val="-5"/>
        </w:rPr>
        <w:t> </w:t>
      </w:r>
      <w:r>
        <w:rPr/>
        <w:t>une</w:t>
      </w:r>
      <w:r>
        <w:rPr>
          <w:spacing w:val="-7"/>
        </w:rPr>
        <w:t> </w:t>
      </w:r>
      <w:r>
        <w:rPr/>
        <w:t>diminution</w:t>
      </w:r>
      <w:r>
        <w:rPr>
          <w:spacing w:val="-6"/>
        </w:rPr>
        <w:t> </w:t>
      </w:r>
      <w:r>
        <w:rPr/>
        <w:t>de</w:t>
      </w:r>
      <w:r>
        <w:rPr>
          <w:spacing w:val="-7"/>
        </w:rPr>
        <w:t> </w:t>
      </w:r>
      <w:r>
        <w:rPr/>
        <w:t>la</w:t>
      </w:r>
      <w:r>
        <w:rPr>
          <w:spacing w:val="-7"/>
        </w:rPr>
        <w:t> </w:t>
      </w:r>
      <w:r>
        <w:rPr/>
        <w:t>multiplication</w:t>
      </w:r>
      <w:r>
        <w:rPr>
          <w:spacing w:val="-6"/>
        </w:rPr>
        <w:t> </w:t>
      </w:r>
      <w:r>
        <w:rPr/>
        <w:t>tumorale (à une dose de 20 mg/kg par voie orale) suite à l’induction de l’apoptose des cellules cancéreuses. Des inhalations à 10 mg/mL montrent les mêmes résultats, mais sans toxicité hépatique associée. Les mêmes effets sont retrouvés </w:t>
      </w:r>
      <w:r>
        <w:rPr>
          <w:b/>
          <w:i/>
        </w:rPr>
        <w:t>in vivo </w:t>
      </w:r>
      <w:r>
        <w:rPr/>
        <w:t>dans un modèle de cancer de l’estomac (Xian et al., 2015). L’utilisation </w:t>
      </w:r>
      <w:r>
        <w:rPr>
          <w:b/>
          <w:i/>
        </w:rPr>
        <w:t>in vivo </w:t>
      </w:r>
      <w:r>
        <w:rPr/>
        <w:t>(2 mM intrapéritonéal) dans des modèles de rats de carcinome hépatocellulaire conduit à la réduction tumorale pour tous les modèles (Ko et al., 2004). Dans des lignées cellulaires de cancer du sein, l’action du 3-BP est testée </w:t>
      </w:r>
      <w:r>
        <w:rPr>
          <w:b/>
          <w:i/>
        </w:rPr>
        <w:t>in vitro </w:t>
      </w:r>
      <w:r>
        <w:rPr/>
        <w:t>seule et en association avec le tamoxifène (Attia et al., 2015). Le déclenchement de l’apoptose est</w:t>
      </w:r>
      <w:r>
        <w:rPr>
          <w:spacing w:val="-4"/>
        </w:rPr>
        <w:t> </w:t>
      </w:r>
      <w:r>
        <w:rPr/>
        <w:t>retrouvé,</w:t>
      </w:r>
      <w:r>
        <w:rPr>
          <w:spacing w:val="-3"/>
        </w:rPr>
        <w:t> </w:t>
      </w:r>
      <w:r>
        <w:rPr/>
        <w:t>ainsi</w:t>
      </w:r>
      <w:r>
        <w:rPr>
          <w:spacing w:val="-4"/>
        </w:rPr>
        <w:t> </w:t>
      </w:r>
      <w:r>
        <w:rPr/>
        <w:t>que</w:t>
      </w:r>
      <w:r>
        <w:rPr>
          <w:spacing w:val="-5"/>
        </w:rPr>
        <w:t> </w:t>
      </w:r>
      <w:r>
        <w:rPr/>
        <w:t>la</w:t>
      </w:r>
      <w:r>
        <w:rPr>
          <w:spacing w:val="-3"/>
        </w:rPr>
        <w:t> </w:t>
      </w:r>
      <w:r>
        <w:rPr/>
        <w:t>modulation</w:t>
      </w:r>
      <w:r>
        <w:rPr>
          <w:spacing w:val="-5"/>
        </w:rPr>
        <w:t> </w:t>
      </w:r>
      <w:r>
        <w:rPr/>
        <w:t>des</w:t>
      </w:r>
      <w:r>
        <w:rPr>
          <w:spacing w:val="-5"/>
        </w:rPr>
        <w:t> </w:t>
      </w:r>
      <w:r>
        <w:rPr/>
        <w:t>capacités</w:t>
      </w:r>
      <w:r>
        <w:rPr>
          <w:spacing w:val="-3"/>
        </w:rPr>
        <w:t> </w:t>
      </w:r>
      <w:r>
        <w:rPr/>
        <w:t>d’angiogenèse</w:t>
      </w:r>
      <w:r>
        <w:rPr>
          <w:spacing w:val="-6"/>
        </w:rPr>
        <w:t> </w:t>
      </w:r>
      <w:r>
        <w:rPr/>
        <w:t>et</w:t>
      </w:r>
      <w:r>
        <w:rPr>
          <w:spacing w:val="-4"/>
        </w:rPr>
        <w:t> </w:t>
      </w:r>
      <w:r>
        <w:rPr/>
        <w:t>de</w:t>
      </w:r>
      <w:r>
        <w:rPr>
          <w:spacing w:val="-6"/>
        </w:rPr>
        <w:t> </w:t>
      </w:r>
      <w:r>
        <w:rPr/>
        <w:t>métastase.</w:t>
      </w:r>
      <w:r>
        <w:rPr>
          <w:spacing w:val="-2"/>
        </w:rPr>
        <w:t> </w:t>
      </w:r>
      <w:r>
        <w:rPr/>
        <w:t>Les</w:t>
      </w:r>
      <w:r>
        <w:rPr>
          <w:spacing w:val="-3"/>
        </w:rPr>
        <w:t> </w:t>
      </w:r>
      <w:r>
        <w:rPr/>
        <w:t>résultats sont confirmés </w:t>
      </w:r>
      <w:r>
        <w:rPr>
          <w:b/>
          <w:i/>
        </w:rPr>
        <w:t>in vivo </w:t>
      </w:r>
      <w:r>
        <w:rPr/>
        <w:t>dans un modèle de souris (diminution du volume tumoral, de l’angiogenèse, augmentation du stress oxydatif). Par ailleurs, le 3-BP semble favoriser la cytotoxicité</w:t>
      </w:r>
      <w:r>
        <w:rPr>
          <w:spacing w:val="-16"/>
        </w:rPr>
        <w:t> </w:t>
      </w:r>
      <w:r>
        <w:rPr/>
        <w:t>due</w:t>
      </w:r>
      <w:r>
        <w:rPr>
          <w:spacing w:val="-17"/>
        </w:rPr>
        <w:t> </w:t>
      </w:r>
      <w:r>
        <w:rPr/>
        <w:t>à</w:t>
      </w:r>
      <w:r>
        <w:rPr>
          <w:spacing w:val="-15"/>
        </w:rPr>
        <w:t> </w:t>
      </w:r>
      <w:r>
        <w:rPr/>
        <w:t>la</w:t>
      </w:r>
      <w:r>
        <w:rPr>
          <w:spacing w:val="-16"/>
        </w:rPr>
        <w:t> </w:t>
      </w:r>
      <w:r>
        <w:rPr/>
        <w:t>daunorubicine</w:t>
      </w:r>
      <w:r>
        <w:rPr>
          <w:spacing w:val="-16"/>
        </w:rPr>
        <w:t> </w:t>
      </w:r>
      <w:r>
        <w:rPr/>
        <w:t>à</w:t>
      </w:r>
      <w:r>
        <w:rPr>
          <w:spacing w:val="-15"/>
        </w:rPr>
        <w:t> </w:t>
      </w:r>
      <w:r>
        <w:rPr/>
        <w:t>travers</w:t>
      </w:r>
      <w:r>
        <w:rPr>
          <w:spacing w:val="-16"/>
        </w:rPr>
        <w:t> </w:t>
      </w:r>
      <w:r>
        <w:rPr/>
        <w:t>la</w:t>
      </w:r>
      <w:r>
        <w:rPr>
          <w:spacing w:val="-14"/>
        </w:rPr>
        <w:t> </w:t>
      </w:r>
      <w:r>
        <w:rPr/>
        <w:t>régulation</w:t>
      </w:r>
      <w:r>
        <w:rPr>
          <w:spacing w:val="-12"/>
        </w:rPr>
        <w:t> </w:t>
      </w:r>
      <w:r>
        <w:rPr/>
        <w:t>des</w:t>
      </w:r>
      <w:r>
        <w:rPr>
          <w:spacing w:val="-16"/>
        </w:rPr>
        <w:t> </w:t>
      </w:r>
      <w:r>
        <w:rPr/>
        <w:t>MCT1</w:t>
      </w:r>
      <w:r>
        <w:rPr>
          <w:spacing w:val="-16"/>
        </w:rPr>
        <w:t> </w:t>
      </w:r>
      <w:r>
        <w:rPr/>
        <w:t>dans</w:t>
      </w:r>
      <w:r>
        <w:rPr>
          <w:spacing w:val="-16"/>
        </w:rPr>
        <w:t> </w:t>
      </w:r>
      <w:r>
        <w:rPr/>
        <w:t>des</w:t>
      </w:r>
      <w:r>
        <w:rPr>
          <w:spacing w:val="-13"/>
        </w:rPr>
        <w:t> </w:t>
      </w:r>
      <w:r>
        <w:rPr/>
        <w:t>lignées</w:t>
      </w:r>
      <w:r>
        <w:rPr>
          <w:spacing w:val="-16"/>
        </w:rPr>
        <w:t> </w:t>
      </w:r>
      <w:r>
        <w:rPr/>
        <w:t>cellulaires de</w:t>
      </w:r>
      <w:r>
        <w:rPr>
          <w:spacing w:val="23"/>
        </w:rPr>
        <w:t> </w:t>
      </w:r>
      <w:r>
        <w:rPr/>
        <w:t>cancer</w:t>
      </w:r>
      <w:r>
        <w:rPr>
          <w:spacing w:val="25"/>
        </w:rPr>
        <w:t> </w:t>
      </w:r>
      <w:r>
        <w:rPr/>
        <w:t>du</w:t>
      </w:r>
      <w:r>
        <w:rPr>
          <w:spacing w:val="25"/>
        </w:rPr>
        <w:t> </w:t>
      </w:r>
      <w:r>
        <w:rPr/>
        <w:t>sein</w:t>
      </w:r>
      <w:r>
        <w:rPr>
          <w:spacing w:val="26"/>
        </w:rPr>
        <w:t> </w:t>
      </w:r>
      <w:r>
        <w:rPr/>
        <w:t>(Liu</w:t>
      </w:r>
      <w:r>
        <w:rPr>
          <w:spacing w:val="27"/>
        </w:rPr>
        <w:t> </w:t>
      </w:r>
      <w:r>
        <w:rPr/>
        <w:t>et</w:t>
      </w:r>
      <w:r>
        <w:rPr>
          <w:spacing w:val="25"/>
        </w:rPr>
        <w:t> </w:t>
      </w:r>
      <w:r>
        <w:rPr/>
        <w:t>al.,</w:t>
      </w:r>
      <w:r>
        <w:rPr>
          <w:spacing w:val="25"/>
        </w:rPr>
        <w:t> </w:t>
      </w:r>
      <w:r>
        <w:rPr/>
        <w:t>2015b).</w:t>
      </w:r>
      <w:r>
        <w:rPr>
          <w:spacing w:val="25"/>
        </w:rPr>
        <w:t> </w:t>
      </w:r>
      <w:r>
        <w:rPr>
          <w:b/>
          <w:i/>
        </w:rPr>
        <w:t>In</w:t>
      </w:r>
      <w:r>
        <w:rPr>
          <w:b/>
          <w:i/>
          <w:spacing w:val="25"/>
        </w:rPr>
        <w:t> </w:t>
      </w:r>
      <w:r>
        <w:rPr>
          <w:b/>
          <w:i/>
        </w:rPr>
        <w:t>vivo</w:t>
      </w:r>
      <w:r>
        <w:rPr/>
        <w:t>,</w:t>
      </w:r>
      <w:r>
        <w:rPr>
          <w:spacing w:val="25"/>
        </w:rPr>
        <w:t> </w:t>
      </w:r>
      <w:r>
        <w:rPr/>
        <w:t>le</w:t>
      </w:r>
      <w:r>
        <w:rPr>
          <w:spacing w:val="25"/>
        </w:rPr>
        <w:t> </w:t>
      </w:r>
      <w:r>
        <w:rPr/>
        <w:t>3-BP</w:t>
      </w:r>
      <w:r>
        <w:rPr>
          <w:spacing w:val="25"/>
        </w:rPr>
        <w:t> </w:t>
      </w:r>
      <w:r>
        <w:rPr/>
        <w:t>associé</w:t>
      </w:r>
      <w:r>
        <w:rPr>
          <w:spacing w:val="23"/>
        </w:rPr>
        <w:t> </w:t>
      </w:r>
      <w:r>
        <w:rPr/>
        <w:t>à</w:t>
      </w:r>
      <w:r>
        <w:rPr>
          <w:spacing w:val="23"/>
        </w:rPr>
        <w:t> </w:t>
      </w:r>
      <w:r>
        <w:rPr/>
        <w:t>la</w:t>
      </w:r>
      <w:r>
        <w:rPr>
          <w:spacing w:val="23"/>
        </w:rPr>
        <w:t> </w:t>
      </w:r>
      <w:r>
        <w:rPr/>
        <w:t>daunorubicine</w:t>
      </w:r>
      <w:r>
        <w:rPr>
          <w:spacing w:val="23"/>
        </w:rPr>
        <w:t> </w:t>
      </w:r>
      <w:r>
        <w:rPr/>
        <w:t>stoppe</w:t>
      </w:r>
      <w:r>
        <w:rPr>
          <w:spacing w:val="23"/>
        </w:rPr>
        <w:t> </w:t>
      </w:r>
      <w:r>
        <w:rPr/>
        <w:t>la</w:t>
      </w:r>
    </w:p>
    <w:p>
      <w:pPr>
        <w:spacing w:after="0" w:line="276" w:lineRule="auto"/>
        <w:jc w:val="both"/>
        <w:sectPr>
          <w:pgSz w:w="11910" w:h="16840"/>
          <w:pgMar w:header="0" w:footer="995" w:top="1320" w:bottom="1240" w:left="1300" w:right="1300"/>
        </w:sectPr>
      </w:pPr>
    </w:p>
    <w:p>
      <w:pPr>
        <w:pStyle w:val="BodyText"/>
        <w:spacing w:line="276" w:lineRule="auto" w:before="72"/>
        <w:ind w:left="116"/>
      </w:pPr>
      <w:r>
        <w:rPr/>
        <w:t>croissance cellulaire de tumeurs mammaires implantées dans un modèle souris nude, et permet l’accumulation de la daunorubicine dans les cellules tumorales.</w:t>
      </w:r>
    </w:p>
    <w:p>
      <w:pPr>
        <w:pStyle w:val="BodyText"/>
        <w:spacing w:line="276" w:lineRule="auto" w:before="164"/>
        <w:ind w:left="116" w:right="112" w:firstLine="707"/>
        <w:jc w:val="both"/>
      </w:pPr>
      <w:r>
        <w:rPr/>
        <w:t>Le 3-BP ne peut pas être facilement utilisé dans le traitement des gliomes en raison de son</w:t>
      </w:r>
      <w:r>
        <w:rPr>
          <w:spacing w:val="-5"/>
        </w:rPr>
        <w:t> </w:t>
      </w:r>
      <w:r>
        <w:rPr/>
        <w:t>incapacité</w:t>
      </w:r>
      <w:r>
        <w:rPr>
          <w:spacing w:val="-6"/>
        </w:rPr>
        <w:t> </w:t>
      </w:r>
      <w:r>
        <w:rPr/>
        <w:t>à</w:t>
      </w:r>
      <w:r>
        <w:rPr>
          <w:spacing w:val="-6"/>
        </w:rPr>
        <w:t> </w:t>
      </w:r>
      <w:r>
        <w:rPr/>
        <w:t>traverser</w:t>
      </w:r>
      <w:r>
        <w:rPr>
          <w:spacing w:val="-3"/>
        </w:rPr>
        <w:t> </w:t>
      </w:r>
      <w:r>
        <w:rPr/>
        <w:t>la</w:t>
      </w:r>
      <w:r>
        <w:rPr>
          <w:spacing w:val="-5"/>
        </w:rPr>
        <w:t> </w:t>
      </w:r>
      <w:r>
        <w:rPr/>
        <w:t>barrière</w:t>
      </w:r>
      <w:r>
        <w:rPr>
          <w:spacing w:val="-6"/>
        </w:rPr>
        <w:t> </w:t>
      </w:r>
      <w:r>
        <w:rPr/>
        <w:t>hémato-encéphalique.</w:t>
      </w:r>
      <w:r>
        <w:rPr>
          <w:spacing w:val="-2"/>
        </w:rPr>
        <w:t> </w:t>
      </w:r>
      <w:r>
        <w:rPr/>
        <w:t>L’équipe</w:t>
      </w:r>
      <w:r>
        <w:rPr>
          <w:spacing w:val="-5"/>
        </w:rPr>
        <w:t> </w:t>
      </w:r>
      <w:r>
        <w:rPr/>
        <w:t>de</w:t>
      </w:r>
      <w:r>
        <w:rPr>
          <w:spacing w:val="-4"/>
        </w:rPr>
        <w:t> </w:t>
      </w:r>
      <w:r>
        <w:rPr/>
        <w:t>Wicks</w:t>
      </w:r>
      <w:r>
        <w:rPr>
          <w:spacing w:val="-5"/>
        </w:rPr>
        <w:t> </w:t>
      </w:r>
      <w:r>
        <w:rPr/>
        <w:t>et</w:t>
      </w:r>
      <w:r>
        <w:rPr>
          <w:spacing w:val="-4"/>
        </w:rPr>
        <w:t> </w:t>
      </w:r>
      <w:r>
        <w:rPr/>
        <w:t>al.</w:t>
      </w:r>
      <w:r>
        <w:rPr>
          <w:spacing w:val="-4"/>
        </w:rPr>
        <w:t> </w:t>
      </w:r>
      <w:r>
        <w:rPr/>
        <w:t>a</w:t>
      </w:r>
      <w:r>
        <w:rPr>
          <w:spacing w:val="-6"/>
        </w:rPr>
        <w:t> </w:t>
      </w:r>
      <w:r>
        <w:rPr/>
        <w:t>testé</w:t>
      </w:r>
      <w:r>
        <w:rPr>
          <w:spacing w:val="-6"/>
        </w:rPr>
        <w:t> </w:t>
      </w:r>
      <w:r>
        <w:rPr/>
        <w:t>son efficacité en association avec le témozolomide et en association avec la radiothérapie (Wicks et al., 2015). </w:t>
      </w:r>
      <w:r>
        <w:rPr>
          <w:b/>
          <w:i/>
        </w:rPr>
        <w:t>In vivo</w:t>
      </w:r>
      <w:r>
        <w:rPr/>
        <w:t>, dans un modèle de rat de gliome de haut grade (allogreffe), cette équipe démontre un effet synergique entre le 3-BP et le témozolomide, de même qu’avec la radiothérapie.</w:t>
      </w:r>
    </w:p>
    <w:p>
      <w:pPr>
        <w:pStyle w:val="BodyText"/>
        <w:spacing w:line="273" w:lineRule="auto" w:before="164"/>
        <w:ind w:left="116" w:right="115" w:firstLine="707"/>
        <w:jc w:val="both"/>
      </w:pPr>
      <w:r>
        <w:rPr/>
        <w:t>Un tableau plus exhaustif de l’ensemble des études </w:t>
      </w:r>
      <w:r>
        <w:rPr>
          <w:b/>
          <w:i/>
        </w:rPr>
        <w:t>in vitro </w:t>
      </w:r>
      <w:r>
        <w:rPr/>
        <w:t>et </w:t>
      </w:r>
      <w:r>
        <w:rPr>
          <w:b/>
          <w:i/>
        </w:rPr>
        <w:t>in vivo </w:t>
      </w:r>
      <w:r>
        <w:rPr/>
        <w:t>existantes peut être trouvé dans l’article de Azevedo-Silva et al., 2016.</w:t>
      </w:r>
    </w:p>
    <w:p>
      <w:pPr>
        <w:pStyle w:val="BodyText"/>
        <w:spacing w:line="276" w:lineRule="auto" w:before="167"/>
        <w:ind w:left="116" w:right="114" w:firstLine="707"/>
        <w:jc w:val="both"/>
      </w:pPr>
      <w:r>
        <w:rPr/>
        <w:t>L’association avec la </w:t>
      </w:r>
      <w:r>
        <w:rPr>
          <w:b/>
          <w:u w:val="thick"/>
        </w:rPr>
        <w:t>rapamycine</w:t>
      </w:r>
      <w:r>
        <w:rPr/>
        <w:t>, un inhibiteur de mTOR, a été évaluée dans un modèle</w:t>
      </w:r>
      <w:r>
        <w:rPr>
          <w:spacing w:val="-10"/>
        </w:rPr>
        <w:t> </w:t>
      </w:r>
      <w:r>
        <w:rPr/>
        <w:t>de</w:t>
      </w:r>
      <w:r>
        <w:rPr>
          <w:spacing w:val="-7"/>
        </w:rPr>
        <w:t> </w:t>
      </w:r>
      <w:r>
        <w:rPr/>
        <w:t>cancer</w:t>
      </w:r>
      <w:r>
        <w:rPr>
          <w:spacing w:val="-9"/>
        </w:rPr>
        <w:t> </w:t>
      </w:r>
      <w:r>
        <w:rPr/>
        <w:t>du</w:t>
      </w:r>
      <w:r>
        <w:rPr>
          <w:spacing w:val="-7"/>
        </w:rPr>
        <w:t> </w:t>
      </w:r>
      <w:r>
        <w:rPr/>
        <w:t>poumon</w:t>
      </w:r>
      <w:r>
        <w:rPr>
          <w:spacing w:val="-8"/>
        </w:rPr>
        <w:t> </w:t>
      </w:r>
      <w:r>
        <w:rPr/>
        <w:t>chez</w:t>
      </w:r>
      <w:r>
        <w:rPr>
          <w:spacing w:val="-6"/>
        </w:rPr>
        <w:t> </w:t>
      </w:r>
      <w:r>
        <w:rPr/>
        <w:t>la</w:t>
      </w:r>
      <w:r>
        <w:rPr>
          <w:spacing w:val="-9"/>
        </w:rPr>
        <w:t> </w:t>
      </w:r>
      <w:r>
        <w:rPr/>
        <w:t>souris.</w:t>
      </w:r>
      <w:r>
        <w:rPr>
          <w:spacing w:val="-6"/>
        </w:rPr>
        <w:t> </w:t>
      </w:r>
      <w:r>
        <w:rPr/>
        <w:t>La</w:t>
      </w:r>
      <w:r>
        <w:rPr>
          <w:spacing w:val="-7"/>
        </w:rPr>
        <w:t> </w:t>
      </w:r>
      <w:r>
        <w:rPr/>
        <w:t>rapamycine</w:t>
      </w:r>
      <w:r>
        <w:rPr>
          <w:spacing w:val="-10"/>
        </w:rPr>
        <w:t> </w:t>
      </w:r>
      <w:r>
        <w:rPr/>
        <w:t>et</w:t>
      </w:r>
      <w:r>
        <w:rPr>
          <w:spacing w:val="-8"/>
        </w:rPr>
        <w:t> </w:t>
      </w:r>
      <w:r>
        <w:rPr/>
        <w:t>le</w:t>
      </w:r>
      <w:r>
        <w:rPr>
          <w:spacing w:val="-10"/>
        </w:rPr>
        <w:t> </w:t>
      </w:r>
      <w:r>
        <w:rPr/>
        <w:t>3-BP,</w:t>
      </w:r>
      <w:r>
        <w:rPr>
          <w:spacing w:val="-9"/>
        </w:rPr>
        <w:t> </w:t>
      </w:r>
      <w:r>
        <w:rPr/>
        <w:t>administrés</w:t>
      </w:r>
      <w:r>
        <w:rPr>
          <w:spacing w:val="-8"/>
        </w:rPr>
        <w:t> </w:t>
      </w:r>
      <w:r>
        <w:rPr/>
        <w:t>par</w:t>
      </w:r>
      <w:r>
        <w:rPr>
          <w:spacing w:val="-9"/>
        </w:rPr>
        <w:t> </w:t>
      </w:r>
      <w:r>
        <w:rPr/>
        <w:t>aérosol, montrent chacun des effets préventifs dans la propagation du cancer. Un effet synergique a été démontré pour diminuer la prolifération cellulaire, et ce sans toxicité hépatique (Zhang et al., 2015).</w:t>
      </w:r>
    </w:p>
    <w:p>
      <w:pPr>
        <w:pStyle w:val="BodyText"/>
        <w:spacing w:line="276" w:lineRule="auto" w:before="164"/>
        <w:ind w:left="116" w:right="111" w:firstLine="707"/>
        <w:jc w:val="both"/>
      </w:pPr>
      <w:r>
        <w:rPr/>
        <w:t>L’association avec le </w:t>
      </w:r>
      <w:r>
        <w:rPr>
          <w:b/>
          <w:u w:val="thick"/>
        </w:rPr>
        <w:t>citrate de sodium</w:t>
      </w:r>
      <w:r>
        <w:rPr>
          <w:b/>
        </w:rPr>
        <w:t> </w:t>
      </w:r>
      <w:r>
        <w:rPr/>
        <w:t>a été évaluée dans des lignées cellulaires de cancer de l’estomac et dans un modèle souris nude (Wang et al., 2016). De manière cohérente avec les résultats individuels des deux molécules, </w:t>
      </w:r>
      <w:r>
        <w:rPr>
          <w:b/>
          <w:i/>
        </w:rPr>
        <w:t>in vitro</w:t>
      </w:r>
      <w:r>
        <w:rPr/>
        <w:t>, le 3-BP et le citrate de sodium stoppent la prolifération cellulaire, déclenchent le phénomène d’apoptose, et diminuent la production de lactate et d’ATP. L’action sur l’apoptose se comprend par la downrégulation de l’expression de protéines antiapoptotiques telles que Bcl-2, tandis que l’expression des protéines</w:t>
      </w:r>
      <w:r>
        <w:rPr>
          <w:spacing w:val="-11"/>
        </w:rPr>
        <w:t> </w:t>
      </w:r>
      <w:r>
        <w:rPr/>
        <w:t>pro-apoptotiques</w:t>
      </w:r>
      <w:r>
        <w:rPr>
          <w:spacing w:val="-11"/>
        </w:rPr>
        <w:t> </w:t>
      </w:r>
      <w:r>
        <w:rPr/>
        <w:t>comme</w:t>
      </w:r>
      <w:r>
        <w:rPr>
          <w:spacing w:val="-10"/>
        </w:rPr>
        <w:t> </w:t>
      </w:r>
      <w:r>
        <w:rPr/>
        <w:t>Bax</w:t>
      </w:r>
      <w:r>
        <w:rPr>
          <w:spacing w:val="-9"/>
        </w:rPr>
        <w:t> </w:t>
      </w:r>
      <w:r>
        <w:rPr/>
        <w:t>sont</w:t>
      </w:r>
      <w:r>
        <w:rPr>
          <w:spacing w:val="-11"/>
        </w:rPr>
        <w:t> </w:t>
      </w:r>
      <w:r>
        <w:rPr/>
        <w:t>uprégulées</w:t>
      </w:r>
      <w:r>
        <w:rPr>
          <w:spacing w:val="-8"/>
        </w:rPr>
        <w:t> </w:t>
      </w:r>
      <w:r>
        <w:rPr/>
        <w:t>(cf.</w:t>
      </w:r>
      <w:r>
        <w:rPr>
          <w:spacing w:val="-9"/>
        </w:rPr>
        <w:t> </w:t>
      </w:r>
      <w:r>
        <w:rPr/>
        <w:t>Annexe</w:t>
      </w:r>
      <w:r>
        <w:rPr>
          <w:spacing w:val="-12"/>
        </w:rPr>
        <w:t> </w:t>
      </w:r>
      <w:r>
        <w:rPr/>
        <w:t>1).</w:t>
      </w:r>
      <w:r>
        <w:rPr>
          <w:spacing w:val="-9"/>
        </w:rPr>
        <w:t> </w:t>
      </w:r>
      <w:r>
        <w:rPr/>
        <w:t>Dans</w:t>
      </w:r>
      <w:r>
        <w:rPr>
          <w:spacing w:val="-11"/>
        </w:rPr>
        <w:t> </w:t>
      </w:r>
      <w:r>
        <w:rPr/>
        <w:t>le</w:t>
      </w:r>
      <w:r>
        <w:rPr>
          <w:spacing w:val="-12"/>
        </w:rPr>
        <w:t> </w:t>
      </w:r>
      <w:r>
        <w:rPr/>
        <w:t>modèle</w:t>
      </w:r>
      <w:r>
        <w:rPr>
          <w:spacing w:val="-9"/>
        </w:rPr>
        <w:t> </w:t>
      </w:r>
      <w:r>
        <w:rPr>
          <w:b/>
          <w:i/>
        </w:rPr>
        <w:t>in</w:t>
      </w:r>
      <w:r>
        <w:rPr>
          <w:b/>
          <w:i/>
          <w:spacing w:val="-10"/>
        </w:rPr>
        <w:t> </w:t>
      </w:r>
      <w:r>
        <w:rPr>
          <w:b/>
          <w:i/>
        </w:rPr>
        <w:t>vivo</w:t>
      </w:r>
      <w:r>
        <w:rPr/>
        <w:t>, l’injection intrapéritonéale de 3-BP et de citrate de sodium supprime la croissance tumorale et induit l’apoptose des</w:t>
      </w:r>
      <w:r>
        <w:rPr>
          <w:spacing w:val="-4"/>
        </w:rPr>
        <w:t> </w:t>
      </w:r>
      <w:r>
        <w:rPr/>
        <w:t>cellules.</w:t>
      </w:r>
    </w:p>
    <w:p>
      <w:pPr>
        <w:pStyle w:val="BodyText"/>
        <w:rPr>
          <w:sz w:val="26"/>
        </w:rPr>
      </w:pPr>
    </w:p>
    <w:p>
      <w:pPr>
        <w:pStyle w:val="BodyText"/>
        <w:rPr>
          <w:sz w:val="30"/>
        </w:rPr>
      </w:pPr>
    </w:p>
    <w:p>
      <w:pPr>
        <w:pStyle w:val="Heading5"/>
        <w:numPr>
          <w:ilvl w:val="1"/>
          <w:numId w:val="14"/>
        </w:numPr>
        <w:tabs>
          <w:tab w:pos="2252" w:val="left" w:leader="none"/>
          <w:tab w:pos="2253" w:val="left" w:leader="none"/>
        </w:tabs>
        <w:spacing w:line="240" w:lineRule="auto" w:before="0" w:after="0"/>
        <w:ind w:left="2252" w:right="0" w:hanging="720"/>
        <w:jc w:val="left"/>
        <w:rPr>
          <w:i/>
        </w:rPr>
      </w:pPr>
      <w:bookmarkStart w:name="_bookmark89" w:id="143"/>
      <w:bookmarkEnd w:id="143"/>
      <w:r>
        <w:rPr>
          <w:b w:val="0"/>
          <w:i w:val="0"/>
        </w:rPr>
      </w:r>
      <w:bookmarkStart w:name="_bookmark89" w:id="144"/>
      <w:bookmarkEnd w:id="144"/>
      <w:r>
        <w:rPr>
          <w:i/>
        </w:rPr>
        <w:t>Le</w:t>
      </w:r>
      <w:r>
        <w:rPr>
          <w:i/>
          <w:spacing w:val="-5"/>
        </w:rPr>
        <w:t> </w:t>
      </w:r>
      <w:r>
        <w:rPr>
          <w:i/>
        </w:rPr>
        <w:t>méthyljasmonate</w:t>
      </w:r>
    </w:p>
    <w:p>
      <w:pPr>
        <w:pStyle w:val="BodyText"/>
        <w:rPr>
          <w:b/>
          <w:i/>
          <w:sz w:val="26"/>
        </w:rPr>
      </w:pPr>
    </w:p>
    <w:p>
      <w:pPr>
        <w:pStyle w:val="BodyText"/>
        <w:spacing w:line="276" w:lineRule="auto" w:before="196"/>
        <w:ind w:left="116" w:right="114" w:firstLine="707"/>
        <w:jc w:val="both"/>
      </w:pPr>
      <w:r>
        <w:rPr/>
        <w:t>De plus, le </w:t>
      </w:r>
      <w:r>
        <w:rPr>
          <w:b/>
          <w:u w:val="thick"/>
        </w:rPr>
        <w:t>méthyljasmonate</w:t>
      </w:r>
      <w:r>
        <w:rPr>
          <w:b/>
        </w:rPr>
        <w:t> </w:t>
      </w:r>
      <w:r>
        <w:rPr/>
        <w:t>pourrait également inhiber l’HK (Pathania et al., 2009). HKII</w:t>
      </w:r>
      <w:r>
        <w:rPr>
          <w:spacing w:val="-13"/>
        </w:rPr>
        <w:t> </w:t>
      </w:r>
      <w:r>
        <w:rPr/>
        <w:t>est</w:t>
      </w:r>
      <w:r>
        <w:rPr>
          <w:spacing w:val="-10"/>
        </w:rPr>
        <w:t> </w:t>
      </w:r>
      <w:r>
        <w:rPr/>
        <w:t>associée</w:t>
      </w:r>
      <w:r>
        <w:rPr>
          <w:spacing w:val="-12"/>
        </w:rPr>
        <w:t> </w:t>
      </w:r>
      <w:r>
        <w:rPr/>
        <w:t>avec</w:t>
      </w:r>
      <w:r>
        <w:rPr>
          <w:spacing w:val="-12"/>
        </w:rPr>
        <w:t> </w:t>
      </w:r>
      <w:r>
        <w:rPr/>
        <w:t>le</w:t>
      </w:r>
      <w:r>
        <w:rPr>
          <w:spacing w:val="-10"/>
        </w:rPr>
        <w:t> </w:t>
      </w:r>
      <w:r>
        <w:rPr/>
        <w:t>canal</w:t>
      </w:r>
      <w:r>
        <w:rPr>
          <w:spacing w:val="-8"/>
        </w:rPr>
        <w:t> </w:t>
      </w:r>
      <w:r>
        <w:rPr/>
        <w:t>anionique</w:t>
      </w:r>
      <w:r>
        <w:rPr>
          <w:spacing w:val="-12"/>
        </w:rPr>
        <w:t> </w:t>
      </w:r>
      <w:r>
        <w:rPr/>
        <w:t>voltage</w:t>
      </w:r>
      <w:r>
        <w:rPr>
          <w:spacing w:val="-12"/>
        </w:rPr>
        <w:t> </w:t>
      </w:r>
      <w:r>
        <w:rPr/>
        <w:t>dépendant</w:t>
      </w:r>
      <w:r>
        <w:rPr>
          <w:spacing w:val="-11"/>
        </w:rPr>
        <w:t> </w:t>
      </w:r>
      <w:r>
        <w:rPr/>
        <w:t>VDAC</w:t>
      </w:r>
      <w:r>
        <w:rPr>
          <w:spacing w:val="-8"/>
        </w:rPr>
        <w:t> </w:t>
      </w:r>
      <w:r>
        <w:rPr/>
        <w:t>dans</w:t>
      </w:r>
      <w:r>
        <w:rPr>
          <w:spacing w:val="-11"/>
        </w:rPr>
        <w:t> </w:t>
      </w:r>
      <w:r>
        <w:rPr/>
        <w:t>les</w:t>
      </w:r>
      <w:r>
        <w:rPr>
          <w:spacing w:val="-9"/>
        </w:rPr>
        <w:t> </w:t>
      </w:r>
      <w:r>
        <w:rPr/>
        <w:t>mitochondries</w:t>
      </w:r>
      <w:r>
        <w:rPr>
          <w:spacing w:val="-11"/>
        </w:rPr>
        <w:t> </w:t>
      </w:r>
      <w:r>
        <w:rPr/>
        <w:t>des cellules cancéreuses. Cette association semble protéger les cellules tumorales </w:t>
      </w:r>
      <w:r>
        <w:rPr>
          <w:spacing w:val="2"/>
        </w:rPr>
        <w:t>de </w:t>
      </w:r>
      <w:r>
        <w:rPr/>
        <w:t>la perméabilisation de la membrane externe de la mitochondrie. Le méthyljasmonate semble perturber spécifiquement cette interaction hydrophobe (Goldin et al., 2008), et en dissociant l’HK</w:t>
      </w:r>
      <w:r>
        <w:rPr>
          <w:spacing w:val="-8"/>
        </w:rPr>
        <w:t> </w:t>
      </w:r>
      <w:r>
        <w:rPr/>
        <w:t>de</w:t>
      </w:r>
      <w:r>
        <w:rPr>
          <w:spacing w:val="-8"/>
        </w:rPr>
        <w:t> </w:t>
      </w:r>
      <w:r>
        <w:rPr/>
        <w:t>la</w:t>
      </w:r>
      <w:r>
        <w:rPr>
          <w:spacing w:val="-8"/>
        </w:rPr>
        <w:t> </w:t>
      </w:r>
      <w:r>
        <w:rPr/>
        <w:t>mitochondrie,</w:t>
      </w:r>
      <w:r>
        <w:rPr>
          <w:spacing w:val="-10"/>
        </w:rPr>
        <w:t> </w:t>
      </w:r>
      <w:r>
        <w:rPr/>
        <w:t>cela</w:t>
      </w:r>
      <w:r>
        <w:rPr>
          <w:spacing w:val="-8"/>
        </w:rPr>
        <w:t> </w:t>
      </w:r>
      <w:r>
        <w:rPr/>
        <w:t>entraîne</w:t>
      </w:r>
      <w:r>
        <w:rPr>
          <w:spacing w:val="-8"/>
        </w:rPr>
        <w:t> </w:t>
      </w:r>
      <w:r>
        <w:rPr/>
        <w:t>un</w:t>
      </w:r>
      <w:r>
        <w:rPr>
          <w:spacing w:val="-7"/>
        </w:rPr>
        <w:t> </w:t>
      </w:r>
      <w:r>
        <w:rPr/>
        <w:t>relargage</w:t>
      </w:r>
      <w:r>
        <w:rPr>
          <w:spacing w:val="-6"/>
        </w:rPr>
        <w:t> </w:t>
      </w:r>
      <w:r>
        <w:rPr/>
        <w:t>du</w:t>
      </w:r>
      <w:r>
        <w:rPr>
          <w:spacing w:val="-7"/>
        </w:rPr>
        <w:t> </w:t>
      </w:r>
      <w:r>
        <w:rPr/>
        <w:t>cytochrome</w:t>
      </w:r>
      <w:r>
        <w:rPr>
          <w:spacing w:val="-8"/>
        </w:rPr>
        <w:t> </w:t>
      </w:r>
      <w:r>
        <w:rPr/>
        <w:t>c.</w:t>
      </w:r>
      <w:r>
        <w:rPr>
          <w:spacing w:val="-5"/>
        </w:rPr>
        <w:t> </w:t>
      </w:r>
      <w:r>
        <w:rPr/>
        <w:t>Les</w:t>
      </w:r>
      <w:r>
        <w:rPr>
          <w:spacing w:val="-7"/>
        </w:rPr>
        <w:t> </w:t>
      </w:r>
      <w:r>
        <w:rPr/>
        <w:t>mécanismes</w:t>
      </w:r>
      <w:r>
        <w:rPr>
          <w:spacing w:val="-7"/>
        </w:rPr>
        <w:t> </w:t>
      </w:r>
      <w:r>
        <w:rPr/>
        <w:t>d’action spécifiques sur les cellules cancéreuses (car le méthyljasmonate n’a pas d’effet sur les cellules normales) sont répertoriés dans la revue de Cesari et al.,</w:t>
      </w:r>
      <w:r>
        <w:rPr>
          <w:spacing w:val="-8"/>
        </w:rPr>
        <w:t> </w:t>
      </w:r>
      <w:r>
        <w:rPr/>
        <w:t>2014.</w:t>
      </w:r>
    </w:p>
    <w:p>
      <w:pPr>
        <w:pStyle w:val="BodyText"/>
        <w:spacing w:line="276" w:lineRule="auto" w:before="1"/>
        <w:ind w:left="116" w:right="112" w:firstLine="707"/>
        <w:jc w:val="both"/>
      </w:pPr>
      <w:r>
        <w:rPr/>
        <w:t>Les effets du méthyljasmonate ont été démontrés dans des fractions mitochondriales</w:t>
      </w:r>
      <w:r>
        <w:rPr>
          <w:spacing w:val="-31"/>
        </w:rPr>
        <w:t> </w:t>
      </w:r>
      <w:r>
        <w:rPr/>
        <w:t>de différentes</w:t>
      </w:r>
      <w:r>
        <w:rPr>
          <w:spacing w:val="-8"/>
        </w:rPr>
        <w:t> </w:t>
      </w:r>
      <w:r>
        <w:rPr/>
        <w:t>lignées</w:t>
      </w:r>
      <w:r>
        <w:rPr>
          <w:spacing w:val="-7"/>
        </w:rPr>
        <w:t> </w:t>
      </w:r>
      <w:r>
        <w:rPr/>
        <w:t>cancéreuses</w:t>
      </w:r>
      <w:r>
        <w:rPr>
          <w:spacing w:val="-8"/>
        </w:rPr>
        <w:t> </w:t>
      </w:r>
      <w:r>
        <w:rPr/>
        <w:t>murines</w:t>
      </w:r>
      <w:r>
        <w:rPr>
          <w:spacing w:val="-7"/>
        </w:rPr>
        <w:t> </w:t>
      </w:r>
      <w:r>
        <w:rPr/>
        <w:t>et</w:t>
      </w:r>
      <w:r>
        <w:rPr>
          <w:spacing w:val="-8"/>
        </w:rPr>
        <w:t> </w:t>
      </w:r>
      <w:r>
        <w:rPr/>
        <w:t>de</w:t>
      </w:r>
      <w:r>
        <w:rPr>
          <w:spacing w:val="-7"/>
        </w:rPr>
        <w:t> </w:t>
      </w:r>
      <w:r>
        <w:rPr/>
        <w:t>cellules</w:t>
      </w:r>
      <w:r>
        <w:rPr>
          <w:spacing w:val="-7"/>
        </w:rPr>
        <w:t> </w:t>
      </w:r>
      <w:r>
        <w:rPr/>
        <w:t>de</w:t>
      </w:r>
      <w:r>
        <w:rPr>
          <w:spacing w:val="-10"/>
        </w:rPr>
        <w:t> </w:t>
      </w:r>
      <w:r>
        <w:rPr/>
        <w:t>leucémie</w:t>
      </w:r>
      <w:r>
        <w:rPr>
          <w:spacing w:val="-7"/>
        </w:rPr>
        <w:t> </w:t>
      </w:r>
      <w:r>
        <w:rPr/>
        <w:t>lymphoblastique</w:t>
      </w:r>
      <w:r>
        <w:rPr>
          <w:spacing w:val="-10"/>
        </w:rPr>
        <w:t> </w:t>
      </w:r>
      <w:r>
        <w:rPr/>
        <w:t>T</w:t>
      </w:r>
      <w:r>
        <w:rPr>
          <w:spacing w:val="-9"/>
        </w:rPr>
        <w:t> </w:t>
      </w:r>
      <w:r>
        <w:rPr/>
        <w:t>humaine, mais</w:t>
      </w:r>
      <w:r>
        <w:rPr>
          <w:spacing w:val="-5"/>
        </w:rPr>
        <w:t> </w:t>
      </w:r>
      <w:r>
        <w:rPr/>
        <w:t>également</w:t>
      </w:r>
      <w:r>
        <w:rPr>
          <w:spacing w:val="-4"/>
        </w:rPr>
        <w:t> </w:t>
      </w:r>
      <w:r>
        <w:rPr>
          <w:b/>
          <w:i/>
        </w:rPr>
        <w:t>in</w:t>
      </w:r>
      <w:r>
        <w:rPr>
          <w:b/>
          <w:i/>
          <w:spacing w:val="-4"/>
        </w:rPr>
        <w:t> </w:t>
      </w:r>
      <w:r>
        <w:rPr>
          <w:b/>
          <w:i/>
        </w:rPr>
        <w:t>vitro</w:t>
      </w:r>
      <w:r>
        <w:rPr>
          <w:b/>
          <w:i/>
          <w:spacing w:val="-4"/>
        </w:rPr>
        <w:t> </w:t>
      </w:r>
      <w:r>
        <w:rPr/>
        <w:t>et</w:t>
      </w:r>
      <w:r>
        <w:rPr>
          <w:spacing w:val="-4"/>
        </w:rPr>
        <w:t> </w:t>
      </w:r>
      <w:r>
        <w:rPr>
          <w:b/>
          <w:i/>
        </w:rPr>
        <w:t>in</w:t>
      </w:r>
      <w:r>
        <w:rPr>
          <w:b/>
          <w:i/>
          <w:spacing w:val="-6"/>
        </w:rPr>
        <w:t> </w:t>
      </w:r>
      <w:r>
        <w:rPr>
          <w:b/>
          <w:i/>
        </w:rPr>
        <w:t>vivo</w:t>
      </w:r>
      <w:r>
        <w:rPr>
          <w:b/>
          <w:i/>
          <w:spacing w:val="-5"/>
        </w:rPr>
        <w:t> </w:t>
      </w:r>
      <w:r>
        <w:rPr/>
        <w:t>pour</w:t>
      </w:r>
      <w:r>
        <w:rPr>
          <w:spacing w:val="-6"/>
        </w:rPr>
        <w:t> </w:t>
      </w:r>
      <w:r>
        <w:rPr/>
        <w:t>des</w:t>
      </w:r>
      <w:r>
        <w:rPr>
          <w:spacing w:val="-5"/>
        </w:rPr>
        <w:t> </w:t>
      </w:r>
      <w:r>
        <w:rPr/>
        <w:t>cellules</w:t>
      </w:r>
      <w:r>
        <w:rPr>
          <w:spacing w:val="-5"/>
        </w:rPr>
        <w:t> </w:t>
      </w:r>
      <w:r>
        <w:rPr/>
        <w:t>de</w:t>
      </w:r>
      <w:r>
        <w:rPr>
          <w:spacing w:val="-6"/>
        </w:rPr>
        <w:t> </w:t>
      </w:r>
      <w:r>
        <w:rPr/>
        <w:t>myélome</w:t>
      </w:r>
      <w:r>
        <w:rPr>
          <w:spacing w:val="-6"/>
        </w:rPr>
        <w:t> </w:t>
      </w:r>
      <w:r>
        <w:rPr/>
        <w:t>multiple</w:t>
      </w:r>
      <w:r>
        <w:rPr>
          <w:spacing w:val="-3"/>
        </w:rPr>
        <w:t> </w:t>
      </w:r>
      <w:r>
        <w:rPr/>
        <w:t>(Klippel</w:t>
      </w:r>
      <w:r>
        <w:rPr>
          <w:spacing w:val="-4"/>
        </w:rPr>
        <w:t> </w:t>
      </w:r>
      <w:r>
        <w:rPr/>
        <w:t>et</w:t>
      </w:r>
      <w:r>
        <w:rPr>
          <w:spacing w:val="-4"/>
        </w:rPr>
        <w:t> </w:t>
      </w:r>
      <w:r>
        <w:rPr/>
        <w:t>al.,</w:t>
      </w:r>
      <w:r>
        <w:rPr>
          <w:spacing w:val="-5"/>
        </w:rPr>
        <w:t> </w:t>
      </w:r>
      <w:r>
        <w:rPr/>
        <w:t>2012). Son action synergique avec le cisplatine ou la radiothérapie est étudiée dans des lignées de cancer de l’utérus (Milrot et al.,</w:t>
      </w:r>
      <w:r>
        <w:rPr>
          <w:spacing w:val="-6"/>
        </w:rPr>
        <w:t> </w:t>
      </w:r>
      <w:r>
        <w:rPr/>
        <w:t>2013).</w:t>
      </w:r>
    </w:p>
    <w:p>
      <w:pPr>
        <w:spacing w:after="0" w:line="276" w:lineRule="auto"/>
        <w:jc w:val="both"/>
        <w:sectPr>
          <w:pgSz w:w="11910" w:h="16840"/>
          <w:pgMar w:header="0" w:footer="995" w:top="1320" w:bottom="1240" w:left="1300" w:right="1300"/>
        </w:sectPr>
      </w:pPr>
    </w:p>
    <w:p>
      <w:pPr>
        <w:pStyle w:val="Heading5"/>
        <w:numPr>
          <w:ilvl w:val="1"/>
          <w:numId w:val="14"/>
        </w:numPr>
        <w:tabs>
          <w:tab w:pos="2252" w:val="left" w:leader="none"/>
          <w:tab w:pos="2253" w:val="left" w:leader="none"/>
        </w:tabs>
        <w:spacing w:line="240" w:lineRule="auto" w:before="77" w:after="0"/>
        <w:ind w:left="2252" w:right="0" w:hanging="720"/>
        <w:jc w:val="left"/>
        <w:rPr>
          <w:i/>
        </w:rPr>
      </w:pPr>
      <w:bookmarkStart w:name="_bookmark90" w:id="145"/>
      <w:bookmarkEnd w:id="145"/>
      <w:r>
        <w:rPr>
          <w:b w:val="0"/>
          <w:i w:val="0"/>
        </w:rPr>
      </w:r>
      <w:bookmarkStart w:name="_bookmark90" w:id="146"/>
      <w:bookmarkEnd w:id="146"/>
      <w:r>
        <w:rPr>
          <w:i/>
        </w:rPr>
        <w:t>Le</w:t>
      </w:r>
      <w:r>
        <w:rPr>
          <w:i/>
        </w:rPr>
        <w:t> lonidamine</w:t>
      </w:r>
      <w:r>
        <w:rPr>
          <w:i/>
          <w:spacing w:val="-3"/>
        </w:rPr>
        <w:t> </w:t>
      </w:r>
      <w:r>
        <w:rPr>
          <w:i/>
        </w:rPr>
        <w:t>(LND)</w:t>
      </w:r>
    </w:p>
    <w:p>
      <w:pPr>
        <w:pStyle w:val="BodyText"/>
        <w:spacing w:before="10"/>
        <w:rPr>
          <w:b/>
          <w:i/>
          <w:sz w:val="30"/>
        </w:rPr>
      </w:pPr>
    </w:p>
    <w:p>
      <w:pPr>
        <w:pStyle w:val="BodyText"/>
        <w:spacing w:line="276" w:lineRule="auto"/>
        <w:ind w:left="116" w:right="112" w:firstLine="707"/>
        <w:jc w:val="both"/>
      </w:pPr>
      <w:r>
        <w:rPr/>
        <w:t>Le </w:t>
      </w:r>
      <w:r>
        <w:rPr>
          <w:b/>
          <w:u w:val="thick"/>
        </w:rPr>
        <w:t>lonidamine</w:t>
      </w:r>
      <w:r>
        <w:rPr>
          <w:b/>
        </w:rPr>
        <w:t> </w:t>
      </w:r>
      <w:r>
        <w:rPr/>
        <w:t>(LND) est un dérivé de l’acide indazole-3-carboxylique, connu depuis longtemps pour diminuer la consommation de dioxygène par les cellules (Floridi et al., 1981). Il inhibe en effet la glycolyse à travers l’inhibition de l’HK II liée aux mitochondries (diminution de la phosphorylation du glucose et donc de la quantité de métabolites</w:t>
      </w:r>
      <w:r>
        <w:rPr>
          <w:spacing w:val="-18"/>
        </w:rPr>
        <w:t> </w:t>
      </w:r>
      <w:r>
        <w:rPr/>
        <w:t>disponibles pour la glycolyse) (Cervantes-Madrid et al., 2015). </w:t>
      </w:r>
      <w:r>
        <w:rPr>
          <w:spacing w:val="-3"/>
        </w:rPr>
        <w:t>Le </w:t>
      </w:r>
      <w:r>
        <w:rPr/>
        <w:t>LND inhibe la production de lactate et contribue à l’accumulation de ce dernier </w:t>
      </w:r>
      <w:r>
        <w:rPr>
          <w:i/>
        </w:rPr>
        <w:t>via </w:t>
      </w:r>
      <w:r>
        <w:rPr/>
        <w:t>l’inhibition de l’efflux de lactate, effet que l’on retrouve </w:t>
      </w:r>
      <w:r>
        <w:rPr>
          <w:b/>
          <w:i/>
        </w:rPr>
        <w:t>in vivo </w:t>
      </w:r>
      <w:r>
        <w:rPr/>
        <w:t>comme </w:t>
      </w:r>
      <w:r>
        <w:rPr>
          <w:b/>
          <w:i/>
        </w:rPr>
        <w:t>in vitro</w:t>
      </w:r>
      <w:r>
        <w:rPr/>
        <w:t>. Dans de nombreuses études </w:t>
      </w:r>
      <w:r>
        <w:rPr>
          <w:b/>
          <w:i/>
        </w:rPr>
        <w:t>in vitro </w:t>
      </w:r>
      <w:r>
        <w:rPr/>
        <w:t>recensées par Pelicano et al., le LND inhibe la glycolyse et la respiration de manière dose dépendante, conduisant à la diminution du stock en ATP cellulaire (Pelicano et al., 2006). De plus, dans des lignées de cancer du sein, le LND augmente la cytotoxicité de nombreux agents alkylants, comme le cisplatine, ou encore la doxorubicine (démontré dans plusieurs lignées cellulaires par l’équipe de Nath et al., 2015). Enfin, il déclenche l’apoptose dans des lignées cellulaires de cancer du foie (Li et al.,</w:t>
      </w:r>
      <w:r>
        <w:rPr>
          <w:spacing w:val="-6"/>
        </w:rPr>
        <w:t> </w:t>
      </w:r>
      <w:r>
        <w:rPr/>
        <w:t>2002).</w:t>
      </w:r>
    </w:p>
    <w:p>
      <w:pPr>
        <w:pStyle w:val="BodyText"/>
        <w:rPr>
          <w:sz w:val="26"/>
        </w:rPr>
      </w:pPr>
    </w:p>
    <w:p>
      <w:pPr>
        <w:pStyle w:val="Heading5"/>
        <w:numPr>
          <w:ilvl w:val="1"/>
          <w:numId w:val="14"/>
        </w:numPr>
        <w:tabs>
          <w:tab w:pos="719" w:val="left" w:leader="none"/>
          <w:tab w:pos="2253" w:val="left" w:leader="none"/>
        </w:tabs>
        <w:spacing w:line="240" w:lineRule="auto" w:before="184" w:after="0"/>
        <w:ind w:left="2252" w:right="118" w:hanging="720"/>
        <w:jc w:val="right"/>
        <w:rPr>
          <w:i/>
        </w:rPr>
      </w:pPr>
      <w:bookmarkStart w:name="_bookmark91" w:id="147"/>
      <w:bookmarkEnd w:id="147"/>
      <w:r>
        <w:rPr>
          <w:b w:val="0"/>
          <w:i w:val="0"/>
        </w:rPr>
      </w:r>
      <w:bookmarkStart w:name="_bookmark91" w:id="148"/>
      <w:bookmarkEnd w:id="148"/>
      <w:r>
        <w:rPr>
          <w:i/>
        </w:rPr>
        <w:t>L</w:t>
      </w:r>
      <w:r>
        <w:rPr>
          <w:i/>
        </w:rPr>
        <w:t>’association du 2-DG, du LND et du 3-BP sensibilise aux</w:t>
      </w:r>
      <w:r>
        <w:rPr>
          <w:i/>
          <w:spacing w:val="-10"/>
        </w:rPr>
        <w:t> </w:t>
      </w:r>
      <w:r>
        <w:rPr>
          <w:i/>
        </w:rPr>
        <w:t>corticoïdes</w:t>
      </w:r>
    </w:p>
    <w:p>
      <w:pPr>
        <w:pStyle w:val="BodyText"/>
        <w:spacing w:before="7"/>
        <w:rPr>
          <w:b/>
          <w:i/>
          <w:sz w:val="30"/>
        </w:rPr>
      </w:pPr>
    </w:p>
    <w:p>
      <w:pPr>
        <w:pStyle w:val="BodyText"/>
        <w:spacing w:line="276" w:lineRule="auto"/>
        <w:ind w:left="116" w:right="112" w:firstLine="707"/>
        <w:jc w:val="both"/>
      </w:pPr>
      <w:r>
        <w:rPr/>
        <w:t>L’association de ces 3 molécules a été étudiée dans le contexte de leucémie lymphoblastique aïgue, dont l’échec thérapeutique est souvent dû à une résistance aux corticoïdes. L’étude de Hulleman et al. a montré que les gènes associés au métabolisme du glucose sont exprimés différemment entre les patients résistants ou non aux corticoïdes (Hulleman et al., 2009). Il semblerait que l’inhibition de la glycolyse permette de sensibiliser les patients résistants aux corticoïdes. </w:t>
      </w:r>
      <w:r>
        <w:rPr>
          <w:spacing w:val="-3"/>
        </w:rPr>
        <w:t>Le </w:t>
      </w:r>
      <w:r>
        <w:rPr/>
        <w:t>traitement </w:t>
      </w:r>
      <w:r>
        <w:rPr>
          <w:b/>
          <w:i/>
        </w:rPr>
        <w:t>in vitro </w:t>
      </w:r>
      <w:r>
        <w:rPr/>
        <w:t>de cellules résistantes à la prednisolone avec du 2-DG, du LND ou du 3-BP augmente la sensibilité aux</w:t>
      </w:r>
      <w:r>
        <w:rPr>
          <w:spacing w:val="-32"/>
        </w:rPr>
        <w:t> </w:t>
      </w:r>
      <w:r>
        <w:rPr/>
        <w:t>glucocorticoïdes. Ce n’est pas le cas sur les cellules sensibles</w:t>
      </w:r>
      <w:r>
        <w:rPr>
          <w:spacing w:val="-15"/>
        </w:rPr>
        <w:t> </w:t>
      </w:r>
      <w:r>
        <w:rPr/>
        <w:t>initialement.</w:t>
      </w:r>
    </w:p>
    <w:p>
      <w:pPr>
        <w:spacing w:after="0" w:line="276" w:lineRule="auto"/>
        <w:jc w:val="both"/>
        <w:sectPr>
          <w:pgSz w:w="11910" w:h="16840"/>
          <w:pgMar w:header="0" w:footer="995" w:top="1320" w:bottom="1240" w:left="1300" w:right="1300"/>
        </w:sectPr>
      </w:pPr>
    </w:p>
    <w:p>
      <w:pPr>
        <w:pStyle w:val="ListParagraph"/>
        <w:numPr>
          <w:ilvl w:val="0"/>
          <w:numId w:val="14"/>
        </w:numPr>
        <w:tabs>
          <w:tab w:pos="1110" w:val="left" w:leader="none"/>
        </w:tabs>
        <w:spacing w:line="240" w:lineRule="auto" w:before="70" w:after="0"/>
        <w:ind w:left="1110" w:right="0" w:hanging="360"/>
        <w:jc w:val="left"/>
        <w:rPr>
          <w:sz w:val="24"/>
        </w:rPr>
      </w:pPr>
      <w:bookmarkStart w:name="_bookmark92" w:id="149"/>
      <w:bookmarkEnd w:id="149"/>
      <w:r>
        <w:rPr/>
      </w:r>
      <w:bookmarkStart w:name="_bookmark92" w:id="150"/>
      <w:bookmarkEnd w:id="150"/>
      <w:r>
        <w:rPr>
          <w:i/>
          <w:sz w:val="24"/>
          <w:u w:val="single"/>
        </w:rPr>
        <w:t>Vi</w:t>
      </w:r>
      <w:r>
        <w:rPr>
          <w:i/>
          <w:sz w:val="24"/>
          <w:u w:val="single"/>
        </w:rPr>
        <w:t>a </w:t>
      </w:r>
      <w:r>
        <w:rPr>
          <w:sz w:val="24"/>
          <w:u w:val="single"/>
        </w:rPr>
        <w:t>l’inhibition de la Glycéraldéhyde 3-phosphate</w:t>
      </w:r>
      <w:r>
        <w:rPr>
          <w:spacing w:val="-13"/>
          <w:sz w:val="24"/>
          <w:u w:val="single"/>
        </w:rPr>
        <w:t> </w:t>
      </w:r>
      <w:r>
        <w:rPr>
          <w:sz w:val="24"/>
          <w:u w:val="single"/>
        </w:rPr>
        <w:t>déshydrogénase</w:t>
      </w:r>
    </w:p>
    <w:p>
      <w:pPr>
        <w:pStyle w:val="BodyText"/>
        <w:spacing w:line="256" w:lineRule="auto" w:before="204"/>
        <w:ind w:left="116" w:right="117" w:firstLine="707"/>
        <w:jc w:val="both"/>
      </w:pPr>
      <w:r>
        <w:rPr/>
        <w:t>L’étude</w:t>
      </w:r>
      <w:r>
        <w:rPr>
          <w:spacing w:val="-5"/>
        </w:rPr>
        <w:t> </w:t>
      </w:r>
      <w:r>
        <w:rPr/>
        <w:t>de</w:t>
      </w:r>
      <w:r>
        <w:rPr>
          <w:spacing w:val="-6"/>
        </w:rPr>
        <w:t> </w:t>
      </w:r>
      <w:r>
        <w:rPr/>
        <w:t>Ganapathy-Kanniappan</w:t>
      </w:r>
      <w:r>
        <w:rPr>
          <w:spacing w:val="-5"/>
        </w:rPr>
        <w:t> </w:t>
      </w:r>
      <w:r>
        <w:rPr/>
        <w:t>et</w:t>
      </w:r>
      <w:r>
        <w:rPr>
          <w:spacing w:val="-4"/>
        </w:rPr>
        <w:t> </w:t>
      </w:r>
      <w:r>
        <w:rPr/>
        <w:t>al.</w:t>
      </w:r>
      <w:r>
        <w:rPr>
          <w:spacing w:val="-4"/>
        </w:rPr>
        <w:t> </w:t>
      </w:r>
      <w:r>
        <w:rPr/>
        <w:t>suggère</w:t>
      </w:r>
      <w:r>
        <w:rPr>
          <w:spacing w:val="-4"/>
        </w:rPr>
        <w:t> </w:t>
      </w:r>
      <w:r>
        <w:rPr/>
        <w:t>que</w:t>
      </w:r>
      <w:r>
        <w:rPr>
          <w:spacing w:val="-6"/>
        </w:rPr>
        <w:t> </w:t>
      </w:r>
      <w:r>
        <w:rPr/>
        <w:t>la</w:t>
      </w:r>
      <w:r>
        <w:rPr>
          <w:spacing w:val="-5"/>
        </w:rPr>
        <w:t> </w:t>
      </w:r>
      <w:r>
        <w:rPr/>
        <w:t>pyruvylation</w:t>
      </w:r>
      <w:r>
        <w:rPr>
          <w:spacing w:val="-4"/>
        </w:rPr>
        <w:t> </w:t>
      </w:r>
      <w:r>
        <w:rPr/>
        <w:t>de</w:t>
      </w:r>
      <w:r>
        <w:rPr>
          <w:spacing w:val="-6"/>
        </w:rPr>
        <w:t> </w:t>
      </w:r>
      <w:r>
        <w:rPr/>
        <w:t>la</w:t>
      </w:r>
      <w:r>
        <w:rPr>
          <w:spacing w:val="-5"/>
        </w:rPr>
        <w:t> </w:t>
      </w:r>
      <w:r>
        <w:rPr/>
        <w:t>GAPDH</w:t>
      </w:r>
      <w:r>
        <w:rPr>
          <w:spacing w:val="-6"/>
        </w:rPr>
        <w:t> </w:t>
      </w:r>
      <w:r>
        <w:rPr/>
        <w:t>par le </w:t>
      </w:r>
      <w:r>
        <w:rPr>
          <w:b/>
        </w:rPr>
        <w:t>3-BP </w:t>
      </w:r>
      <w:r>
        <w:rPr/>
        <w:t>diminue son activité enzymatique (Ganapathy-Kanniappan et al.,</w:t>
      </w:r>
      <w:r>
        <w:rPr>
          <w:spacing w:val="-13"/>
        </w:rPr>
        <w:t> </w:t>
      </w:r>
      <w:r>
        <w:rPr/>
        <w:t>2009).</w:t>
      </w:r>
    </w:p>
    <w:p>
      <w:pPr>
        <w:pStyle w:val="BodyText"/>
        <w:spacing w:line="276" w:lineRule="auto" w:before="166"/>
        <w:ind w:left="116" w:right="115" w:firstLine="707"/>
        <w:jc w:val="both"/>
      </w:pPr>
      <w:r>
        <w:rPr/>
        <w:t>Le schéma suivant (Figure 25) résume les autres rôles du 3-BP, non seulement sur les enzymes</w:t>
      </w:r>
      <w:r>
        <w:rPr>
          <w:spacing w:val="-9"/>
        </w:rPr>
        <w:t> </w:t>
      </w:r>
      <w:r>
        <w:rPr/>
        <w:t>de</w:t>
      </w:r>
      <w:r>
        <w:rPr>
          <w:spacing w:val="-10"/>
        </w:rPr>
        <w:t> </w:t>
      </w:r>
      <w:r>
        <w:rPr/>
        <w:t>la</w:t>
      </w:r>
      <w:r>
        <w:rPr>
          <w:spacing w:val="-6"/>
        </w:rPr>
        <w:t> </w:t>
      </w:r>
      <w:r>
        <w:rPr/>
        <w:t>glycolyse,</w:t>
      </w:r>
      <w:r>
        <w:rPr>
          <w:spacing w:val="-6"/>
        </w:rPr>
        <w:t> </w:t>
      </w:r>
      <w:r>
        <w:rPr/>
        <w:t>mais</w:t>
      </w:r>
      <w:r>
        <w:rPr>
          <w:spacing w:val="-8"/>
        </w:rPr>
        <w:t> </w:t>
      </w:r>
      <w:r>
        <w:rPr/>
        <w:t>également</w:t>
      </w:r>
      <w:r>
        <w:rPr>
          <w:spacing w:val="-6"/>
        </w:rPr>
        <w:t> </w:t>
      </w:r>
      <w:r>
        <w:rPr/>
        <w:t>sur</w:t>
      </w:r>
      <w:r>
        <w:rPr>
          <w:spacing w:val="-9"/>
        </w:rPr>
        <w:t> </w:t>
      </w:r>
      <w:r>
        <w:rPr/>
        <w:t>des</w:t>
      </w:r>
      <w:r>
        <w:rPr>
          <w:spacing w:val="-6"/>
        </w:rPr>
        <w:t> </w:t>
      </w:r>
      <w:r>
        <w:rPr/>
        <w:t>acteurs</w:t>
      </w:r>
      <w:r>
        <w:rPr>
          <w:spacing w:val="-8"/>
        </w:rPr>
        <w:t> </w:t>
      </w:r>
      <w:r>
        <w:rPr/>
        <w:t>mitochondriaux</w:t>
      </w:r>
      <w:r>
        <w:rPr>
          <w:spacing w:val="-6"/>
        </w:rPr>
        <w:t> </w:t>
      </w:r>
      <w:r>
        <w:rPr/>
        <w:t>(non</w:t>
      </w:r>
      <w:r>
        <w:rPr>
          <w:spacing w:val="-9"/>
        </w:rPr>
        <w:t> </w:t>
      </w:r>
      <w:r>
        <w:rPr/>
        <w:t>développés</w:t>
      </w:r>
      <w:r>
        <w:rPr>
          <w:spacing w:val="-9"/>
        </w:rPr>
        <w:t> </w:t>
      </w:r>
      <w:r>
        <w:rPr/>
        <w:t>dans ce</w:t>
      </w:r>
      <w:r>
        <w:rPr>
          <w:spacing w:val="-3"/>
        </w:rPr>
        <w:t> </w:t>
      </w:r>
      <w:r>
        <w:rPr/>
        <w:t>travail).</w:t>
      </w:r>
    </w:p>
    <w:p>
      <w:pPr>
        <w:pStyle w:val="BodyText"/>
        <w:spacing w:before="3"/>
        <w:rPr>
          <w:sz w:val="11"/>
        </w:rPr>
      </w:pPr>
      <w:r>
        <w:rPr/>
        <w:drawing>
          <wp:anchor distT="0" distB="0" distL="0" distR="0" allowOverlap="1" layoutInCell="1" locked="0" behindDoc="0" simplePos="0" relativeHeight="1624">
            <wp:simplePos x="0" y="0"/>
            <wp:positionH relativeFrom="page">
              <wp:posOffset>1259205</wp:posOffset>
            </wp:positionH>
            <wp:positionV relativeFrom="paragraph">
              <wp:posOffset>107496</wp:posOffset>
            </wp:positionV>
            <wp:extent cx="5268044" cy="4648200"/>
            <wp:effectExtent l="0" t="0" r="0" b="0"/>
            <wp:wrapTopAndBottom/>
            <wp:docPr id="61" name="image29.jpeg" descr=""/>
            <wp:cNvGraphicFramePr>
              <a:graphicFrameLocks noChangeAspect="1"/>
            </wp:cNvGraphicFramePr>
            <a:graphic>
              <a:graphicData uri="http://schemas.openxmlformats.org/drawingml/2006/picture">
                <pic:pic>
                  <pic:nvPicPr>
                    <pic:cNvPr id="62" name="image29.jpeg"/>
                    <pic:cNvPicPr/>
                  </pic:nvPicPr>
                  <pic:blipFill>
                    <a:blip r:embed="rId35" cstate="print"/>
                    <a:stretch>
                      <a:fillRect/>
                    </a:stretch>
                  </pic:blipFill>
                  <pic:spPr>
                    <a:xfrm>
                      <a:off x="0" y="0"/>
                      <a:ext cx="5268044" cy="4648200"/>
                    </a:xfrm>
                    <a:prstGeom prst="rect">
                      <a:avLst/>
                    </a:prstGeom>
                  </pic:spPr>
                </pic:pic>
              </a:graphicData>
            </a:graphic>
          </wp:anchor>
        </w:drawing>
      </w:r>
    </w:p>
    <w:p>
      <w:pPr>
        <w:spacing w:line="508" w:lineRule="auto" w:before="167"/>
        <w:ind w:left="3325" w:right="3323" w:firstLine="0"/>
        <w:jc w:val="center"/>
        <w:rPr>
          <w:i/>
          <w:sz w:val="18"/>
        </w:rPr>
      </w:pPr>
      <w:bookmarkStart w:name="_bookmark93" w:id="151"/>
      <w:bookmarkEnd w:id="151"/>
      <w:r>
        <w:rPr/>
      </w:r>
      <w:r>
        <w:rPr>
          <w:i/>
          <w:color w:val="44536A"/>
          <w:sz w:val="18"/>
        </w:rPr>
        <w:t>Figure 25 : Modes d'action du 3-BP. </w:t>
      </w:r>
      <w:r>
        <w:rPr>
          <w:i/>
          <w:color w:val="44536A"/>
          <w:sz w:val="18"/>
        </w:rPr>
        <w:t>D'après Azevedo et al., 2016.</w:t>
      </w:r>
    </w:p>
    <w:p>
      <w:pPr>
        <w:pStyle w:val="BodyText"/>
        <w:spacing w:line="273" w:lineRule="auto" w:before="7"/>
        <w:ind w:left="116" w:right="119" w:firstLine="707"/>
        <w:jc w:val="both"/>
      </w:pPr>
      <w:r>
        <w:rPr/>
        <w:t>L’</w:t>
      </w:r>
      <w:r>
        <w:rPr>
          <w:b/>
          <w:u w:val="thick"/>
        </w:rPr>
        <w:t>iodoacétate</w:t>
      </w:r>
      <w:r>
        <w:rPr>
          <w:b/>
        </w:rPr>
        <w:t> </w:t>
      </w:r>
      <w:r>
        <w:rPr/>
        <w:t>semble également avoir des effets anticancéreux grâce à son inhibition de la GAPDH (Fahim et al., 2003).</w:t>
      </w:r>
    </w:p>
    <w:p>
      <w:pPr>
        <w:spacing w:after="0" w:line="273" w:lineRule="auto"/>
        <w:jc w:val="both"/>
        <w:sectPr>
          <w:pgSz w:w="11910" w:h="16840"/>
          <w:pgMar w:header="0" w:footer="995" w:top="1320" w:bottom="1240" w:left="1300" w:right="1300"/>
        </w:sectPr>
      </w:pPr>
    </w:p>
    <w:p>
      <w:pPr>
        <w:pStyle w:val="ListParagraph"/>
        <w:numPr>
          <w:ilvl w:val="0"/>
          <w:numId w:val="14"/>
        </w:numPr>
        <w:tabs>
          <w:tab w:pos="1110" w:val="left" w:leader="none"/>
        </w:tabs>
        <w:spacing w:line="240" w:lineRule="auto" w:before="72" w:after="0"/>
        <w:ind w:left="1110" w:right="0" w:hanging="360"/>
        <w:jc w:val="left"/>
        <w:rPr>
          <w:sz w:val="24"/>
        </w:rPr>
      </w:pPr>
      <w:bookmarkStart w:name="_bookmark94" w:id="152"/>
      <w:bookmarkEnd w:id="152"/>
      <w:r>
        <w:rPr/>
      </w:r>
      <w:bookmarkStart w:name="_bookmark94" w:id="153"/>
      <w:bookmarkEnd w:id="153"/>
      <w:r>
        <w:rPr>
          <w:i/>
          <w:sz w:val="24"/>
          <w:u w:val="single"/>
        </w:rPr>
        <w:t>Vi</w:t>
      </w:r>
      <w:r>
        <w:rPr>
          <w:i/>
          <w:sz w:val="24"/>
          <w:u w:val="single"/>
        </w:rPr>
        <w:t>a </w:t>
      </w:r>
      <w:r>
        <w:rPr>
          <w:sz w:val="24"/>
          <w:u w:val="single"/>
        </w:rPr>
        <w:t>la diminution de l’activité de la</w:t>
      </w:r>
      <w:r>
        <w:rPr>
          <w:spacing w:val="-8"/>
          <w:sz w:val="24"/>
          <w:u w:val="single"/>
        </w:rPr>
        <w:t> </w:t>
      </w:r>
      <w:r>
        <w:rPr>
          <w:sz w:val="24"/>
          <w:u w:val="single"/>
        </w:rPr>
        <w:t>PFK</w:t>
      </w:r>
    </w:p>
    <w:p>
      <w:pPr>
        <w:pStyle w:val="BodyText"/>
        <w:rPr>
          <w:sz w:val="20"/>
        </w:rPr>
      </w:pPr>
    </w:p>
    <w:p>
      <w:pPr>
        <w:pStyle w:val="BodyText"/>
        <w:spacing w:before="10"/>
        <w:rPr>
          <w:sz w:val="17"/>
        </w:rPr>
      </w:pPr>
    </w:p>
    <w:p>
      <w:pPr>
        <w:pStyle w:val="Heading5"/>
        <w:numPr>
          <w:ilvl w:val="1"/>
          <w:numId w:val="14"/>
        </w:numPr>
        <w:tabs>
          <w:tab w:pos="2252" w:val="left" w:leader="none"/>
          <w:tab w:pos="2253" w:val="left" w:leader="none"/>
        </w:tabs>
        <w:spacing w:line="240" w:lineRule="auto" w:before="90" w:after="0"/>
        <w:ind w:left="2252" w:right="0" w:hanging="720"/>
        <w:jc w:val="left"/>
        <w:rPr>
          <w:i/>
        </w:rPr>
      </w:pPr>
      <w:bookmarkStart w:name="_bookmark95" w:id="154"/>
      <w:bookmarkEnd w:id="154"/>
      <w:r>
        <w:rPr>
          <w:b w:val="0"/>
          <w:i w:val="0"/>
        </w:rPr>
      </w:r>
      <w:bookmarkStart w:name="_bookmark95" w:id="155"/>
      <w:bookmarkEnd w:id="155"/>
      <w:r>
        <w:rPr>
          <w:i/>
        </w:rPr>
        <w:t>Cibl</w:t>
      </w:r>
      <w:r>
        <w:rPr>
          <w:i/>
        </w:rPr>
        <w:t>er directement la</w:t>
      </w:r>
      <w:r>
        <w:rPr>
          <w:i/>
          <w:spacing w:val="-8"/>
        </w:rPr>
        <w:t> </w:t>
      </w:r>
      <w:r>
        <w:rPr>
          <w:i/>
        </w:rPr>
        <w:t>PFK</w:t>
      </w:r>
    </w:p>
    <w:p>
      <w:pPr>
        <w:pStyle w:val="BodyText"/>
        <w:rPr>
          <w:b/>
          <w:i/>
          <w:sz w:val="26"/>
        </w:rPr>
      </w:pPr>
    </w:p>
    <w:p>
      <w:pPr>
        <w:pStyle w:val="BodyText"/>
        <w:spacing w:line="276" w:lineRule="auto" w:before="215"/>
        <w:ind w:left="116" w:right="114" w:firstLine="707"/>
        <w:jc w:val="both"/>
      </w:pPr>
      <w:r>
        <w:rPr/>
        <w:t>Le </w:t>
      </w:r>
      <w:r>
        <w:rPr>
          <w:b/>
          <w:u w:val="thick"/>
        </w:rPr>
        <w:t>citrate</w:t>
      </w:r>
      <w:r>
        <w:rPr>
          <w:b/>
        </w:rPr>
        <w:t> </w:t>
      </w:r>
      <w:r>
        <w:rPr/>
        <w:t>est une molécule essentielle du métabolisme et permet de réguler la production énergétique cellulaire, comme nous l’avons expliqué dans le paragraphe I.D. En quantité suffisante, il exerce un rétrocontrôle négatif sur la glycolyse et le cycle de Krebs et stimule la néoglucogenèse et la synthèse de lipides. Le citrate est en effet un inhibiteur de la PFK1 et de la PFK2.</w:t>
      </w:r>
    </w:p>
    <w:p>
      <w:pPr>
        <w:pStyle w:val="BodyText"/>
        <w:spacing w:line="276" w:lineRule="auto" w:before="1"/>
        <w:ind w:left="116" w:right="119" w:firstLine="707"/>
        <w:jc w:val="both"/>
      </w:pPr>
      <w:r>
        <w:rPr/>
        <w:t>Son intérêt thérapeutique a été montré </w:t>
      </w:r>
      <w:r>
        <w:rPr>
          <w:b/>
          <w:i/>
        </w:rPr>
        <w:t>in vitro </w:t>
      </w:r>
      <w:r>
        <w:rPr/>
        <w:t>sur des lignées de cellules de carcinome gastrique (après 24 à 72 h de traitement à 5, 10 et 220 mM) (Lu et al., 2011).</w:t>
      </w:r>
    </w:p>
    <w:p>
      <w:pPr>
        <w:pStyle w:val="BodyText"/>
        <w:spacing w:line="278" w:lineRule="auto" w:before="1"/>
        <w:ind w:left="116" w:right="117" w:firstLine="707"/>
        <w:jc w:val="both"/>
      </w:pPr>
      <w:r>
        <w:rPr/>
        <w:t>De plus, un effet synergique avec le cisplatine a été montré sur des cellules de mésothéliome résistantes au cisplatine (Zhang et al., 2009).</w:t>
      </w:r>
    </w:p>
    <w:p>
      <w:pPr>
        <w:pStyle w:val="BodyText"/>
        <w:spacing w:line="276" w:lineRule="auto"/>
        <w:ind w:left="116" w:right="113" w:firstLine="707"/>
        <w:jc w:val="both"/>
      </w:pPr>
      <w:r>
        <w:rPr>
          <w:position w:val="2"/>
        </w:rPr>
        <w:t>En association avec un inhibiteur synthétique de la protéine anti-apoptotique Bcl-x</w:t>
      </w:r>
      <w:r>
        <w:rPr>
          <w:sz w:val="16"/>
        </w:rPr>
        <w:t>L</w:t>
      </w:r>
      <w:r>
        <w:rPr>
          <w:position w:val="2"/>
        </w:rPr>
        <w:t>, le </w:t>
      </w:r>
      <w:r>
        <w:rPr/>
        <w:t>citrate inhibe la prolifération cellulaire et déclenche l’apoptose dans des lignées cellulaires de cancer de l’ovaire de manière beaucoup plus performante que l’inhibiteur synthétique seul (Lincet et al., 2013).</w:t>
      </w:r>
    </w:p>
    <w:p>
      <w:pPr>
        <w:pStyle w:val="BodyText"/>
        <w:spacing w:before="9"/>
        <w:rPr>
          <w:sz w:val="27"/>
        </w:rPr>
      </w:pPr>
    </w:p>
    <w:p>
      <w:pPr>
        <w:pStyle w:val="BodyText"/>
        <w:spacing w:line="276" w:lineRule="auto"/>
        <w:ind w:left="116" w:right="114" w:firstLine="707"/>
        <w:jc w:val="both"/>
      </w:pPr>
      <w:r>
        <w:rPr/>
        <w:t>Le </w:t>
      </w:r>
      <w:r>
        <w:rPr>
          <w:b/>
          <w:u w:val="thick"/>
        </w:rPr>
        <w:t>3-PO</w:t>
      </w:r>
      <w:r>
        <w:rPr>
          <w:b/>
        </w:rPr>
        <w:t> </w:t>
      </w:r>
      <w:r>
        <w:rPr/>
        <w:t>(3-(3-pyridinyl)-1-(4-pyridinyl)-2-propène-1-one) inhibe l’activateur allostérique de la PFK1, le F2,6-P, ce qui entraine une inhibition de la glycolyse (Clem et al., 2008). Le 3-PO agit spécifiquement en inhibant la PFKFB3. </w:t>
      </w:r>
      <w:r>
        <w:rPr>
          <w:b/>
          <w:i/>
        </w:rPr>
        <w:t>In vivo</w:t>
      </w:r>
      <w:r>
        <w:rPr/>
        <w:t>, cela entraîne une suppression de la croissance tumorale. </w:t>
      </w:r>
      <w:r>
        <w:rPr>
          <w:b/>
          <w:i/>
        </w:rPr>
        <w:t>In vitro</w:t>
      </w:r>
      <w:r>
        <w:rPr/>
        <w:t>, le 3-PO semble être sélectif envers les cellules tumorales, par rapport aux cellules non tumorales.</w:t>
      </w:r>
    </w:p>
    <w:p>
      <w:pPr>
        <w:pStyle w:val="BodyText"/>
        <w:rPr>
          <w:sz w:val="26"/>
        </w:rPr>
      </w:pPr>
    </w:p>
    <w:p>
      <w:pPr>
        <w:pStyle w:val="Heading5"/>
        <w:numPr>
          <w:ilvl w:val="1"/>
          <w:numId w:val="14"/>
        </w:numPr>
        <w:tabs>
          <w:tab w:pos="2252" w:val="left" w:leader="none"/>
          <w:tab w:pos="2253" w:val="left" w:leader="none"/>
        </w:tabs>
        <w:spacing w:line="240" w:lineRule="auto" w:before="183" w:after="0"/>
        <w:ind w:left="2252" w:right="0" w:hanging="720"/>
        <w:jc w:val="left"/>
        <w:rPr>
          <w:i/>
        </w:rPr>
      </w:pPr>
      <w:bookmarkStart w:name="_bookmark96" w:id="156"/>
      <w:bookmarkEnd w:id="156"/>
      <w:r>
        <w:rPr>
          <w:b w:val="0"/>
          <w:i w:val="0"/>
        </w:rPr>
      </w:r>
      <w:bookmarkStart w:name="_bookmark96" w:id="157"/>
      <w:bookmarkEnd w:id="157"/>
      <w:r>
        <w:rPr>
          <w:i/>
        </w:rPr>
        <w:t>Cibl</w:t>
      </w:r>
      <w:r>
        <w:rPr>
          <w:i/>
        </w:rPr>
        <w:t>er indirectement la PFK en diminuant le pH</w:t>
      </w:r>
      <w:r>
        <w:rPr>
          <w:i/>
          <w:spacing w:val="-14"/>
        </w:rPr>
        <w:t> </w:t>
      </w:r>
      <w:r>
        <w:rPr>
          <w:i/>
        </w:rPr>
        <w:t>intracellulaire</w:t>
      </w:r>
    </w:p>
    <w:p>
      <w:pPr>
        <w:pStyle w:val="BodyText"/>
        <w:spacing w:before="9"/>
        <w:rPr>
          <w:b/>
          <w:i/>
          <w:sz w:val="30"/>
        </w:rPr>
      </w:pPr>
    </w:p>
    <w:p>
      <w:pPr>
        <w:pStyle w:val="BodyText"/>
        <w:spacing w:line="276" w:lineRule="auto"/>
        <w:ind w:left="116" w:right="113" w:firstLine="707"/>
        <w:jc w:val="both"/>
      </w:pPr>
      <w:r>
        <w:rPr/>
        <w:t>On</w:t>
      </w:r>
      <w:r>
        <w:rPr>
          <w:spacing w:val="-12"/>
        </w:rPr>
        <w:t> </w:t>
      </w:r>
      <w:r>
        <w:rPr/>
        <w:t>a</w:t>
      </w:r>
      <w:r>
        <w:rPr>
          <w:spacing w:val="-12"/>
        </w:rPr>
        <w:t> </w:t>
      </w:r>
      <w:r>
        <w:rPr/>
        <w:t>vu</w:t>
      </w:r>
      <w:r>
        <w:rPr>
          <w:spacing w:val="-11"/>
        </w:rPr>
        <w:t> </w:t>
      </w:r>
      <w:r>
        <w:rPr/>
        <w:t>précédemment</w:t>
      </w:r>
      <w:r>
        <w:rPr>
          <w:spacing w:val="-11"/>
        </w:rPr>
        <w:t> </w:t>
      </w:r>
      <w:r>
        <w:rPr/>
        <w:t>que</w:t>
      </w:r>
      <w:r>
        <w:rPr>
          <w:spacing w:val="-10"/>
        </w:rPr>
        <w:t> </w:t>
      </w:r>
      <w:r>
        <w:rPr/>
        <w:t>le</w:t>
      </w:r>
      <w:r>
        <w:rPr>
          <w:spacing w:val="-12"/>
        </w:rPr>
        <w:t> </w:t>
      </w:r>
      <w:r>
        <w:rPr/>
        <w:t>pH</w:t>
      </w:r>
      <w:r>
        <w:rPr>
          <w:spacing w:val="-12"/>
        </w:rPr>
        <w:t> </w:t>
      </w:r>
      <w:r>
        <w:rPr/>
        <w:t>intracellulaire</w:t>
      </w:r>
      <w:r>
        <w:rPr>
          <w:spacing w:val="-12"/>
        </w:rPr>
        <w:t> </w:t>
      </w:r>
      <w:r>
        <w:rPr/>
        <w:t>alcalin</w:t>
      </w:r>
      <w:r>
        <w:rPr>
          <w:spacing w:val="-9"/>
        </w:rPr>
        <w:t> </w:t>
      </w:r>
      <w:r>
        <w:rPr/>
        <w:t>de</w:t>
      </w:r>
      <w:r>
        <w:rPr>
          <w:spacing w:val="-12"/>
        </w:rPr>
        <w:t> </w:t>
      </w:r>
      <w:r>
        <w:rPr/>
        <w:t>la</w:t>
      </w:r>
      <w:r>
        <w:rPr>
          <w:spacing w:val="-9"/>
        </w:rPr>
        <w:t> </w:t>
      </w:r>
      <w:r>
        <w:rPr/>
        <w:t>cellule</w:t>
      </w:r>
      <w:r>
        <w:rPr>
          <w:spacing w:val="-9"/>
        </w:rPr>
        <w:t> </w:t>
      </w:r>
      <w:r>
        <w:rPr/>
        <w:t>cancéreuse</w:t>
      </w:r>
      <w:r>
        <w:rPr>
          <w:spacing w:val="-12"/>
        </w:rPr>
        <w:t> </w:t>
      </w:r>
      <w:r>
        <w:rPr/>
        <w:t>favorise l’activation de la PFK1 et donc la glycolyse. Les molécules agissant sur l’équilibre acido- basique de la cellule seront développées au III.</w:t>
      </w:r>
      <w:r>
        <w:rPr>
          <w:spacing w:val="-11"/>
        </w:rPr>
        <w:t> </w:t>
      </w:r>
      <w:r>
        <w:rPr/>
        <w:t>H.</w:t>
      </w:r>
    </w:p>
    <w:p>
      <w:pPr>
        <w:pStyle w:val="BodyText"/>
        <w:rPr>
          <w:sz w:val="26"/>
        </w:rPr>
      </w:pPr>
    </w:p>
    <w:p>
      <w:pPr>
        <w:pStyle w:val="ListParagraph"/>
        <w:numPr>
          <w:ilvl w:val="0"/>
          <w:numId w:val="14"/>
        </w:numPr>
        <w:tabs>
          <w:tab w:pos="1110" w:val="left" w:leader="none"/>
        </w:tabs>
        <w:spacing w:line="240" w:lineRule="auto" w:before="179" w:after="0"/>
        <w:ind w:left="1110" w:right="0" w:hanging="360"/>
        <w:jc w:val="left"/>
        <w:rPr>
          <w:sz w:val="24"/>
        </w:rPr>
      </w:pPr>
      <w:bookmarkStart w:name="_bookmark97" w:id="158"/>
      <w:bookmarkEnd w:id="158"/>
      <w:r>
        <w:rPr/>
      </w:r>
      <w:bookmarkStart w:name="_bookmark97" w:id="159"/>
      <w:bookmarkEnd w:id="159"/>
      <w:r>
        <w:rPr>
          <w:i/>
          <w:sz w:val="24"/>
          <w:u w:val="single"/>
        </w:rPr>
        <w:t>Vi</w:t>
      </w:r>
      <w:r>
        <w:rPr>
          <w:i/>
          <w:sz w:val="24"/>
          <w:u w:val="single"/>
        </w:rPr>
        <w:t>a </w:t>
      </w:r>
      <w:r>
        <w:rPr>
          <w:sz w:val="24"/>
          <w:u w:val="single"/>
        </w:rPr>
        <w:t>une action sur la pyruvate kinase</w:t>
      </w:r>
      <w:r>
        <w:rPr>
          <w:spacing w:val="-6"/>
          <w:sz w:val="24"/>
          <w:u w:val="single"/>
        </w:rPr>
        <w:t> </w:t>
      </w:r>
      <w:r>
        <w:rPr>
          <w:sz w:val="24"/>
          <w:u w:val="single"/>
        </w:rPr>
        <w:t>(PK)</w:t>
      </w:r>
    </w:p>
    <w:p>
      <w:pPr>
        <w:pStyle w:val="BodyText"/>
        <w:rPr>
          <w:sz w:val="20"/>
        </w:rPr>
      </w:pPr>
    </w:p>
    <w:p>
      <w:pPr>
        <w:pStyle w:val="BodyText"/>
        <w:spacing w:before="7"/>
        <w:rPr>
          <w:sz w:val="17"/>
        </w:rPr>
      </w:pPr>
    </w:p>
    <w:p>
      <w:pPr>
        <w:pStyle w:val="Heading5"/>
        <w:numPr>
          <w:ilvl w:val="1"/>
          <w:numId w:val="14"/>
        </w:numPr>
        <w:tabs>
          <w:tab w:pos="2252" w:val="left" w:leader="none"/>
          <w:tab w:pos="2253" w:val="left" w:leader="none"/>
        </w:tabs>
        <w:spacing w:line="240" w:lineRule="auto" w:before="90" w:after="0"/>
        <w:ind w:left="2252" w:right="0" w:hanging="720"/>
        <w:jc w:val="left"/>
        <w:rPr>
          <w:i/>
        </w:rPr>
      </w:pPr>
      <w:bookmarkStart w:name="_bookmark98" w:id="160"/>
      <w:bookmarkEnd w:id="160"/>
      <w:r>
        <w:rPr>
          <w:b w:val="0"/>
          <w:i w:val="0"/>
        </w:rPr>
      </w:r>
      <w:bookmarkStart w:name="_bookmark98" w:id="161"/>
      <w:bookmarkEnd w:id="161"/>
      <w:r>
        <w:rPr>
          <w:i/>
        </w:rPr>
        <w:t>L</w:t>
      </w:r>
      <w:r>
        <w:rPr>
          <w:i/>
        </w:rPr>
        <w:t>es inhibiteurs de la pyruvate kinase</w:t>
      </w:r>
      <w:r>
        <w:rPr>
          <w:i/>
          <w:spacing w:val="-7"/>
        </w:rPr>
        <w:t> </w:t>
      </w:r>
      <w:r>
        <w:rPr>
          <w:i/>
        </w:rPr>
        <w:t>(PK)</w:t>
      </w:r>
    </w:p>
    <w:p>
      <w:pPr>
        <w:pStyle w:val="BodyText"/>
        <w:rPr>
          <w:b/>
          <w:i/>
          <w:sz w:val="26"/>
        </w:rPr>
      </w:pPr>
    </w:p>
    <w:p>
      <w:pPr>
        <w:pStyle w:val="BodyText"/>
        <w:spacing w:line="273" w:lineRule="auto" w:before="217"/>
        <w:ind w:left="116" w:right="112" w:firstLine="707"/>
        <w:jc w:val="both"/>
      </w:pPr>
      <w:r>
        <w:rPr/>
        <w:t>Un analogue structurel de la somatostatine, le </w:t>
      </w:r>
      <w:r>
        <w:rPr>
          <w:b/>
          <w:u w:val="thick"/>
        </w:rPr>
        <w:t>TT-232</w:t>
      </w:r>
      <w:r>
        <w:rPr/>
        <w:t>, est un inhibiteur de la PKM2, qui nous l’avons vu précédemment, est l’isoforme la plus fréquemment retrouvée dans les cellules cancéreuses (Szokolóczi et al., 2005).</w:t>
      </w:r>
    </w:p>
    <w:p>
      <w:pPr>
        <w:pStyle w:val="BodyText"/>
        <w:spacing w:line="276" w:lineRule="auto" w:before="167"/>
        <w:ind w:left="116" w:right="114" w:firstLine="707"/>
        <w:jc w:val="both"/>
      </w:pPr>
      <w:r>
        <w:rPr/>
        <w:t>L’étude de Vander Heiden et al. a permis d’identifier de nombreux inhibiteurs spécifiques de la PKM2 (Vander Heiden et al., 2010). Ces molécules ciblent le site de fixation au F1,6-BP, qui active également les isoformes rénales et celles des globules rouges. Des</w:t>
      </w:r>
    </w:p>
    <w:p>
      <w:pPr>
        <w:spacing w:after="0" w:line="276" w:lineRule="auto"/>
        <w:jc w:val="both"/>
        <w:sectPr>
          <w:pgSz w:w="11910" w:h="16840"/>
          <w:pgMar w:header="0" w:footer="995" w:top="1320" w:bottom="1240" w:left="1300" w:right="1300"/>
        </w:sectPr>
      </w:pPr>
    </w:p>
    <w:p>
      <w:pPr>
        <w:pStyle w:val="BodyText"/>
        <w:spacing w:line="276" w:lineRule="auto" w:before="72"/>
        <w:ind w:left="116" w:right="113"/>
        <w:jc w:val="both"/>
      </w:pPr>
      <w:r>
        <w:rPr/>
        <w:t>problèmes</w:t>
      </w:r>
      <w:r>
        <w:rPr>
          <w:spacing w:val="-7"/>
        </w:rPr>
        <w:t> </w:t>
      </w:r>
      <w:r>
        <w:rPr/>
        <w:t>de</w:t>
      </w:r>
      <w:r>
        <w:rPr>
          <w:spacing w:val="-8"/>
        </w:rPr>
        <w:t> </w:t>
      </w:r>
      <w:r>
        <w:rPr/>
        <w:t>toxicité</w:t>
      </w:r>
      <w:r>
        <w:rPr>
          <w:spacing w:val="-8"/>
        </w:rPr>
        <w:t> </w:t>
      </w:r>
      <w:r>
        <w:rPr/>
        <w:t>pourraient</w:t>
      </w:r>
      <w:r>
        <w:rPr>
          <w:spacing w:val="-7"/>
        </w:rPr>
        <w:t> </w:t>
      </w:r>
      <w:r>
        <w:rPr/>
        <w:t>néanmoins</w:t>
      </w:r>
      <w:r>
        <w:rPr>
          <w:spacing w:val="-6"/>
        </w:rPr>
        <w:t> </w:t>
      </w:r>
      <w:r>
        <w:rPr/>
        <w:t>se</w:t>
      </w:r>
      <w:r>
        <w:rPr>
          <w:spacing w:val="-8"/>
        </w:rPr>
        <w:t> </w:t>
      </w:r>
      <w:r>
        <w:rPr/>
        <w:t>déclarer</w:t>
      </w:r>
      <w:r>
        <w:rPr>
          <w:spacing w:val="-8"/>
        </w:rPr>
        <w:t> </w:t>
      </w:r>
      <w:r>
        <w:rPr/>
        <w:t>si</w:t>
      </w:r>
      <w:r>
        <w:rPr>
          <w:spacing w:val="-7"/>
        </w:rPr>
        <w:t> </w:t>
      </w:r>
      <w:r>
        <w:rPr/>
        <w:t>l’activité</w:t>
      </w:r>
      <w:r>
        <w:rPr>
          <w:spacing w:val="-8"/>
        </w:rPr>
        <w:t> </w:t>
      </w:r>
      <w:r>
        <w:rPr/>
        <w:t>de</w:t>
      </w:r>
      <w:r>
        <w:rPr>
          <w:spacing w:val="-8"/>
        </w:rPr>
        <w:t> </w:t>
      </w:r>
      <w:r>
        <w:rPr/>
        <w:t>la</w:t>
      </w:r>
      <w:r>
        <w:rPr>
          <w:spacing w:val="-8"/>
        </w:rPr>
        <w:t> </w:t>
      </w:r>
      <w:r>
        <w:rPr/>
        <w:t>PK</w:t>
      </w:r>
      <w:r>
        <w:rPr>
          <w:spacing w:val="-8"/>
        </w:rPr>
        <w:t> </w:t>
      </w:r>
      <w:r>
        <w:rPr/>
        <w:t>est</w:t>
      </w:r>
      <w:r>
        <w:rPr>
          <w:spacing w:val="-7"/>
        </w:rPr>
        <w:t> </w:t>
      </w:r>
      <w:r>
        <w:rPr/>
        <w:t>inhibée</w:t>
      </w:r>
      <w:r>
        <w:rPr>
          <w:spacing w:val="-8"/>
        </w:rPr>
        <w:t> </w:t>
      </w:r>
      <w:r>
        <w:rPr/>
        <w:t>dans</w:t>
      </w:r>
      <w:r>
        <w:rPr>
          <w:spacing w:val="-7"/>
        </w:rPr>
        <w:t> </w:t>
      </w:r>
      <w:r>
        <w:rPr/>
        <w:t>le foie et les globules rouges (Dong et al., 2016). On comprend alors l’intérêt de l’étude de Chen et al., qui montre que la </w:t>
      </w:r>
      <w:r>
        <w:rPr>
          <w:b/>
          <w:u w:val="thick"/>
        </w:rPr>
        <w:t>shikonine</w:t>
      </w:r>
      <w:r>
        <w:rPr>
          <w:b/>
        </w:rPr>
        <w:t> </w:t>
      </w:r>
      <w:r>
        <w:rPr/>
        <w:t>(produit issu de la racine de </w:t>
      </w:r>
      <w:r>
        <w:rPr>
          <w:i/>
        </w:rPr>
        <w:t>Lithospermum erythrorhizon</w:t>
      </w:r>
      <w:r>
        <w:rPr/>
        <w:t>) et son énantiomère l’</w:t>
      </w:r>
      <w:r>
        <w:rPr>
          <w:b/>
          <w:u w:val="thick"/>
        </w:rPr>
        <w:t>alkannine</w:t>
      </w:r>
      <w:r>
        <w:rPr>
          <w:b/>
        </w:rPr>
        <w:t> </w:t>
      </w:r>
      <w:r>
        <w:rPr/>
        <w:t>inhibent la PKM2 à des concentrations telles que 50% de l’activité de la PKM2 est inhibée, sans affecter l’activité de la PKM1 ou des autres isoformes (Chen et al.,</w:t>
      </w:r>
      <w:r>
        <w:rPr>
          <w:spacing w:val="-4"/>
        </w:rPr>
        <w:t> </w:t>
      </w:r>
      <w:r>
        <w:rPr/>
        <w:t>2011).</w:t>
      </w:r>
    </w:p>
    <w:p>
      <w:pPr>
        <w:pStyle w:val="BodyText"/>
        <w:spacing w:line="273" w:lineRule="auto" w:before="164"/>
        <w:ind w:left="116" w:right="116" w:firstLine="707"/>
        <w:jc w:val="both"/>
      </w:pPr>
      <w:r>
        <w:rPr/>
        <w:t>L’alkannine</w:t>
      </w:r>
      <w:r>
        <w:rPr>
          <w:spacing w:val="-5"/>
        </w:rPr>
        <w:t> </w:t>
      </w:r>
      <w:r>
        <w:rPr>
          <w:b/>
          <w:i/>
        </w:rPr>
        <w:t>in</w:t>
      </w:r>
      <w:r>
        <w:rPr>
          <w:b/>
          <w:i/>
          <w:spacing w:val="-3"/>
        </w:rPr>
        <w:t> </w:t>
      </w:r>
      <w:r>
        <w:rPr>
          <w:b/>
          <w:i/>
        </w:rPr>
        <w:t>vitro</w:t>
      </w:r>
      <w:r>
        <w:rPr>
          <w:b/>
          <w:i/>
          <w:spacing w:val="-3"/>
        </w:rPr>
        <w:t> </w:t>
      </w:r>
      <w:r>
        <w:rPr/>
        <w:t>(1</w:t>
      </w:r>
      <w:r>
        <w:rPr>
          <w:spacing w:val="-5"/>
        </w:rPr>
        <w:t> </w:t>
      </w:r>
      <w:r>
        <w:rPr/>
        <w:t>μM,</w:t>
      </w:r>
      <w:r>
        <w:rPr>
          <w:spacing w:val="-4"/>
        </w:rPr>
        <w:t> </w:t>
      </w:r>
      <w:r>
        <w:rPr/>
        <w:t>3</w:t>
      </w:r>
      <w:r>
        <w:rPr>
          <w:spacing w:val="-4"/>
        </w:rPr>
        <w:t> </w:t>
      </w:r>
      <w:r>
        <w:rPr/>
        <w:t>μM</w:t>
      </w:r>
      <w:r>
        <w:rPr>
          <w:spacing w:val="-4"/>
        </w:rPr>
        <w:t> </w:t>
      </w:r>
      <w:r>
        <w:rPr/>
        <w:t>and</w:t>
      </w:r>
      <w:r>
        <w:rPr>
          <w:spacing w:val="-4"/>
        </w:rPr>
        <w:t> </w:t>
      </w:r>
      <w:r>
        <w:rPr/>
        <w:t>10</w:t>
      </w:r>
      <w:r>
        <w:rPr>
          <w:spacing w:val="-4"/>
        </w:rPr>
        <w:t> </w:t>
      </w:r>
      <w:r>
        <w:rPr/>
        <w:t>μM)</w:t>
      </w:r>
      <w:r>
        <w:rPr>
          <w:spacing w:val="-4"/>
        </w:rPr>
        <w:t> </w:t>
      </w:r>
      <w:r>
        <w:rPr/>
        <w:t>inhibe</w:t>
      </w:r>
      <w:r>
        <w:rPr>
          <w:spacing w:val="-5"/>
        </w:rPr>
        <w:t> </w:t>
      </w:r>
      <w:r>
        <w:rPr/>
        <w:t>la</w:t>
      </w:r>
      <w:r>
        <w:rPr>
          <w:spacing w:val="-4"/>
        </w:rPr>
        <w:t> </w:t>
      </w:r>
      <w:r>
        <w:rPr/>
        <w:t>croissance,</w:t>
      </w:r>
      <w:r>
        <w:rPr>
          <w:spacing w:val="-4"/>
        </w:rPr>
        <w:t> </w:t>
      </w:r>
      <w:r>
        <w:rPr/>
        <w:t>la</w:t>
      </w:r>
      <w:r>
        <w:rPr>
          <w:spacing w:val="-1"/>
        </w:rPr>
        <w:t> </w:t>
      </w:r>
      <w:r>
        <w:rPr/>
        <w:t>prolifération</w:t>
      </w:r>
      <w:r>
        <w:rPr>
          <w:spacing w:val="-4"/>
        </w:rPr>
        <w:t> </w:t>
      </w:r>
      <w:r>
        <w:rPr/>
        <w:t>et</w:t>
      </w:r>
      <w:r>
        <w:rPr>
          <w:spacing w:val="-3"/>
        </w:rPr>
        <w:t> </w:t>
      </w:r>
      <w:r>
        <w:rPr/>
        <w:t>la migration de lignées cellulaires de gliome de manière dose dépendante. Elle peut également inhiber la phosphorylation de mTOR (Gao et al.,</w:t>
      </w:r>
      <w:r>
        <w:rPr>
          <w:spacing w:val="-10"/>
        </w:rPr>
        <w:t> </w:t>
      </w:r>
      <w:r>
        <w:rPr/>
        <w:t>2015).</w:t>
      </w:r>
    </w:p>
    <w:p>
      <w:pPr>
        <w:pStyle w:val="BodyText"/>
        <w:spacing w:line="276" w:lineRule="auto" w:before="167"/>
        <w:ind w:left="116" w:right="112" w:firstLine="707"/>
        <w:jc w:val="both"/>
      </w:pPr>
      <w:r>
        <w:rPr/>
        <w:t>La shikonine permet de sensibiliser des lignées cellulaires de cancer du sein au paclitaxel (Li et al., 2014b). La combinaison des deux molécules semble, entre autres, inhiber la</w:t>
      </w:r>
      <w:r>
        <w:rPr>
          <w:spacing w:val="-9"/>
        </w:rPr>
        <w:t> </w:t>
      </w:r>
      <w:r>
        <w:rPr/>
        <w:t>protéine</w:t>
      </w:r>
      <w:r>
        <w:rPr>
          <w:spacing w:val="-7"/>
        </w:rPr>
        <w:t> </w:t>
      </w:r>
      <w:r>
        <w:rPr/>
        <w:t>Akt.</w:t>
      </w:r>
      <w:r>
        <w:rPr>
          <w:spacing w:val="-9"/>
        </w:rPr>
        <w:t> </w:t>
      </w:r>
      <w:r>
        <w:rPr>
          <w:b/>
          <w:i/>
        </w:rPr>
        <w:t>In</w:t>
      </w:r>
      <w:r>
        <w:rPr>
          <w:b/>
          <w:i/>
          <w:spacing w:val="-8"/>
        </w:rPr>
        <w:t> </w:t>
      </w:r>
      <w:r>
        <w:rPr>
          <w:b/>
          <w:i/>
        </w:rPr>
        <w:t>vivo</w:t>
      </w:r>
      <w:r>
        <w:rPr/>
        <w:t>,</w:t>
      </w:r>
      <w:r>
        <w:rPr>
          <w:spacing w:val="-9"/>
        </w:rPr>
        <w:t> </w:t>
      </w:r>
      <w:r>
        <w:rPr/>
        <w:t>dans</w:t>
      </w:r>
      <w:r>
        <w:rPr>
          <w:spacing w:val="-8"/>
        </w:rPr>
        <w:t> </w:t>
      </w:r>
      <w:r>
        <w:rPr/>
        <w:t>le</w:t>
      </w:r>
      <w:r>
        <w:rPr>
          <w:spacing w:val="-8"/>
        </w:rPr>
        <w:t> </w:t>
      </w:r>
      <w:r>
        <w:rPr/>
        <w:t>modèle</w:t>
      </w:r>
      <w:r>
        <w:rPr>
          <w:spacing w:val="-7"/>
        </w:rPr>
        <w:t> </w:t>
      </w:r>
      <w:r>
        <w:rPr/>
        <w:t>de</w:t>
      </w:r>
      <w:r>
        <w:rPr>
          <w:spacing w:val="-10"/>
        </w:rPr>
        <w:t> </w:t>
      </w:r>
      <w:r>
        <w:rPr/>
        <w:t>xénogreffe,</w:t>
      </w:r>
      <w:r>
        <w:rPr>
          <w:spacing w:val="-9"/>
        </w:rPr>
        <w:t> </w:t>
      </w:r>
      <w:r>
        <w:rPr/>
        <w:t>la</w:t>
      </w:r>
      <w:r>
        <w:rPr>
          <w:spacing w:val="-7"/>
        </w:rPr>
        <w:t> </w:t>
      </w:r>
      <w:r>
        <w:rPr/>
        <w:t>shikonine</w:t>
      </w:r>
      <w:r>
        <w:rPr>
          <w:spacing w:val="-9"/>
        </w:rPr>
        <w:t> </w:t>
      </w:r>
      <w:r>
        <w:rPr/>
        <w:t>en</w:t>
      </w:r>
      <w:r>
        <w:rPr>
          <w:spacing w:val="-7"/>
        </w:rPr>
        <w:t> </w:t>
      </w:r>
      <w:r>
        <w:rPr/>
        <w:t>association</w:t>
      </w:r>
      <w:r>
        <w:rPr>
          <w:spacing w:val="-8"/>
        </w:rPr>
        <w:t> </w:t>
      </w:r>
      <w:r>
        <w:rPr/>
        <w:t>au</w:t>
      </w:r>
      <w:r>
        <w:rPr>
          <w:spacing w:val="-9"/>
        </w:rPr>
        <w:t> </w:t>
      </w:r>
      <w:r>
        <w:rPr/>
        <w:t>paclitaxel prolonge la survie et permet de réduire la taille de la</w:t>
      </w:r>
      <w:r>
        <w:rPr>
          <w:spacing w:val="-9"/>
        </w:rPr>
        <w:t> </w:t>
      </w:r>
      <w:r>
        <w:rPr/>
        <w:t>tumeur.</w:t>
      </w:r>
    </w:p>
    <w:p>
      <w:pPr>
        <w:pStyle w:val="BodyText"/>
        <w:spacing w:line="276" w:lineRule="auto" w:before="164"/>
        <w:ind w:left="116" w:right="114" w:firstLine="707"/>
        <w:jc w:val="both"/>
      </w:pPr>
      <w:r>
        <w:rPr/>
        <w:t>L’ajout de F1,6-BP dans le milieu inhibe néanmoins l’action de ces molécules. L’utilisation de </w:t>
      </w:r>
      <w:r>
        <w:rPr>
          <w:b/>
          <w:u w:val="thick"/>
        </w:rPr>
        <w:t>small interfering ARN</w:t>
      </w:r>
      <w:r>
        <w:rPr>
          <w:b/>
        </w:rPr>
        <w:t> </w:t>
      </w:r>
      <w:r>
        <w:rPr/>
        <w:t>(siARN) ciblant la PKM2 augmente l’apoptose dans de nombreuses lignées cellulaires cancéreuses. Ce phénomène est moins présent dans les cultures de fibroblastes ou de cellules endothéliales normales, suggérant une spécificité tumorale.</w:t>
      </w:r>
      <w:r>
        <w:rPr>
          <w:spacing w:val="-16"/>
        </w:rPr>
        <w:t> </w:t>
      </w:r>
      <w:r>
        <w:rPr>
          <w:b/>
          <w:i/>
        </w:rPr>
        <w:t>In</w:t>
      </w:r>
      <w:r>
        <w:rPr>
          <w:b/>
          <w:i/>
          <w:spacing w:val="-15"/>
        </w:rPr>
        <w:t> </w:t>
      </w:r>
      <w:r>
        <w:rPr>
          <w:b/>
          <w:i/>
        </w:rPr>
        <w:t>vivo</w:t>
      </w:r>
      <w:r>
        <w:rPr/>
        <w:t>,</w:t>
      </w:r>
      <w:r>
        <w:rPr>
          <w:spacing w:val="-16"/>
        </w:rPr>
        <w:t> </w:t>
      </w:r>
      <w:r>
        <w:rPr/>
        <w:t>dans</w:t>
      </w:r>
      <w:r>
        <w:rPr>
          <w:spacing w:val="-13"/>
        </w:rPr>
        <w:t> </w:t>
      </w:r>
      <w:r>
        <w:rPr/>
        <w:t>un</w:t>
      </w:r>
      <w:r>
        <w:rPr>
          <w:spacing w:val="-15"/>
        </w:rPr>
        <w:t> </w:t>
      </w:r>
      <w:r>
        <w:rPr/>
        <w:t>modèle</w:t>
      </w:r>
      <w:r>
        <w:rPr>
          <w:spacing w:val="-17"/>
        </w:rPr>
        <w:t> </w:t>
      </w:r>
      <w:r>
        <w:rPr/>
        <w:t>de</w:t>
      </w:r>
      <w:r>
        <w:rPr>
          <w:spacing w:val="-17"/>
        </w:rPr>
        <w:t> </w:t>
      </w:r>
      <w:r>
        <w:rPr/>
        <w:t>xénogreffe,</w:t>
      </w:r>
      <w:r>
        <w:rPr>
          <w:spacing w:val="-14"/>
        </w:rPr>
        <w:t> </w:t>
      </w:r>
      <w:r>
        <w:rPr/>
        <w:t>ces</w:t>
      </w:r>
      <w:r>
        <w:rPr>
          <w:spacing w:val="-16"/>
        </w:rPr>
        <w:t> </w:t>
      </w:r>
      <w:r>
        <w:rPr/>
        <w:t>siARN</w:t>
      </w:r>
      <w:r>
        <w:rPr>
          <w:spacing w:val="-14"/>
        </w:rPr>
        <w:t> </w:t>
      </w:r>
      <w:r>
        <w:rPr/>
        <w:t>induisent</w:t>
      </w:r>
      <w:r>
        <w:rPr>
          <w:spacing w:val="-15"/>
        </w:rPr>
        <w:t> </w:t>
      </w:r>
      <w:r>
        <w:rPr/>
        <w:t>la</w:t>
      </w:r>
      <w:r>
        <w:rPr>
          <w:spacing w:val="-14"/>
        </w:rPr>
        <w:t> </w:t>
      </w:r>
      <w:r>
        <w:rPr/>
        <w:t>régression</w:t>
      </w:r>
      <w:r>
        <w:rPr>
          <w:spacing w:val="-16"/>
        </w:rPr>
        <w:t> </w:t>
      </w:r>
      <w:r>
        <w:rPr/>
        <w:t>des</w:t>
      </w:r>
      <w:r>
        <w:rPr>
          <w:spacing w:val="-13"/>
        </w:rPr>
        <w:t> </w:t>
      </w:r>
      <w:r>
        <w:rPr/>
        <w:t>tumeurs (Goldberg et Sharp,</w:t>
      </w:r>
      <w:r>
        <w:rPr>
          <w:spacing w:val="-3"/>
        </w:rPr>
        <w:t> </w:t>
      </w:r>
      <w:r>
        <w:rPr/>
        <w:t>2012).</w:t>
      </w:r>
    </w:p>
    <w:p>
      <w:pPr>
        <w:pStyle w:val="BodyText"/>
        <w:rPr>
          <w:sz w:val="26"/>
        </w:rPr>
      </w:pPr>
    </w:p>
    <w:p>
      <w:pPr>
        <w:pStyle w:val="BodyText"/>
        <w:spacing w:before="2"/>
        <w:rPr>
          <w:sz w:val="30"/>
        </w:rPr>
      </w:pPr>
    </w:p>
    <w:p>
      <w:pPr>
        <w:pStyle w:val="Heading5"/>
        <w:numPr>
          <w:ilvl w:val="1"/>
          <w:numId w:val="14"/>
        </w:numPr>
        <w:tabs>
          <w:tab w:pos="2252" w:val="left" w:leader="none"/>
          <w:tab w:pos="2253" w:val="left" w:leader="none"/>
        </w:tabs>
        <w:spacing w:line="240" w:lineRule="auto" w:before="1" w:after="0"/>
        <w:ind w:left="2252" w:right="0" w:hanging="720"/>
        <w:jc w:val="left"/>
        <w:rPr>
          <w:i/>
        </w:rPr>
      </w:pPr>
      <w:bookmarkStart w:name="_bookmark99" w:id="162"/>
      <w:bookmarkEnd w:id="162"/>
      <w:r>
        <w:rPr>
          <w:b w:val="0"/>
          <w:i w:val="0"/>
        </w:rPr>
      </w:r>
      <w:bookmarkStart w:name="_bookmark99" w:id="163"/>
      <w:bookmarkEnd w:id="163"/>
      <w:r>
        <w:rPr>
          <w:i/>
        </w:rPr>
        <w:t>L</w:t>
      </w:r>
      <w:r>
        <w:rPr>
          <w:i/>
        </w:rPr>
        <w:t>es activateurs de la pyruvate kinase</w:t>
      </w:r>
      <w:r>
        <w:rPr>
          <w:i/>
          <w:spacing w:val="-6"/>
        </w:rPr>
        <w:t> </w:t>
      </w:r>
      <w:r>
        <w:rPr>
          <w:i/>
        </w:rPr>
        <w:t>(PK)</w:t>
      </w:r>
    </w:p>
    <w:p>
      <w:pPr>
        <w:pStyle w:val="BodyText"/>
        <w:rPr>
          <w:b/>
          <w:i/>
          <w:sz w:val="26"/>
        </w:rPr>
      </w:pPr>
    </w:p>
    <w:p>
      <w:pPr>
        <w:pStyle w:val="BodyText"/>
        <w:spacing w:line="276" w:lineRule="auto" w:before="214"/>
        <w:ind w:left="116" w:right="114" w:firstLine="707"/>
        <w:jc w:val="both"/>
      </w:pPr>
      <w:r>
        <w:rPr/>
        <w:t>Par ailleurs, les activateurs de la PKM2 favorisent la formation de tétramères de la PKM2 (forme active), ce qui lève le goulot d’étranglement de la glycolyse (Anastasiou et al., 2012). Les intermédiaires de la glycolyse utilisés comme précurseurs de biosynthèse (voie de la sérine par exemple) pour la cellule cancéreuse ne sont donc plus disponibles pour la prolifération de la cellule cancéreuse (Kung et al., 2012).</w:t>
      </w:r>
    </w:p>
    <w:p>
      <w:pPr>
        <w:pStyle w:val="BodyText"/>
        <w:spacing w:line="273" w:lineRule="auto" w:before="164"/>
        <w:ind w:left="116" w:right="115" w:firstLine="707"/>
        <w:jc w:val="both"/>
      </w:pPr>
      <w:r>
        <w:rPr/>
        <w:t>Par exemple, le </w:t>
      </w:r>
      <w:r>
        <w:rPr>
          <w:b/>
          <w:u w:val="thick"/>
        </w:rPr>
        <w:t>PA-12</w:t>
      </w:r>
      <w:r>
        <w:rPr/>
        <w:t>, un activateur de la PKM2, limite la prolifération cellulaire </w:t>
      </w:r>
      <w:r>
        <w:rPr>
          <w:b/>
          <w:i/>
        </w:rPr>
        <w:t>in </w:t>
      </w:r>
      <w:r>
        <w:rPr>
          <w:b/>
          <w:i/>
        </w:rPr>
        <w:t>vitro </w:t>
      </w:r>
      <w:r>
        <w:rPr/>
        <w:t>dans des lignées cellulaires de cancer du poumon (Kim et al., 2015).</w:t>
      </w:r>
    </w:p>
    <w:p>
      <w:pPr>
        <w:spacing w:after="0" w:line="273" w:lineRule="auto"/>
        <w:jc w:val="both"/>
        <w:sectPr>
          <w:pgSz w:w="11910" w:h="16840"/>
          <w:pgMar w:header="0" w:footer="995" w:top="1320" w:bottom="1240" w:left="1300" w:right="1300"/>
        </w:sectPr>
      </w:pPr>
    </w:p>
    <w:p>
      <w:pPr>
        <w:pStyle w:val="Heading3"/>
        <w:numPr>
          <w:ilvl w:val="1"/>
          <w:numId w:val="4"/>
        </w:numPr>
        <w:tabs>
          <w:tab w:pos="1535" w:val="left" w:leader="none"/>
        </w:tabs>
        <w:spacing w:line="240" w:lineRule="auto" w:before="75" w:after="0"/>
        <w:ind w:left="1534" w:right="0" w:hanging="360"/>
        <w:jc w:val="left"/>
      </w:pPr>
      <w:bookmarkStart w:name="_bookmark100" w:id="164"/>
      <w:bookmarkEnd w:id="164"/>
      <w:r>
        <w:rPr>
          <w:b w:val="0"/>
        </w:rPr>
      </w:r>
      <w:bookmarkStart w:name="_bookmark100" w:id="165"/>
      <w:bookmarkEnd w:id="165"/>
      <w:r>
        <w:rPr/>
        <w:t>C</w:t>
      </w:r>
      <w:r>
        <w:rPr/>
        <w:t>ibler la voie des pentoses phosphates</w:t>
      </w:r>
      <w:r>
        <w:rPr>
          <w:spacing w:val="-17"/>
        </w:rPr>
        <w:t> </w:t>
      </w:r>
      <w:r>
        <w:rPr/>
        <w:t>(PPP)</w:t>
      </w:r>
    </w:p>
    <w:p>
      <w:pPr>
        <w:pStyle w:val="BodyText"/>
        <w:rPr>
          <w:b/>
          <w:sz w:val="30"/>
        </w:rPr>
      </w:pPr>
    </w:p>
    <w:p>
      <w:pPr>
        <w:pStyle w:val="BodyText"/>
        <w:spacing w:line="273" w:lineRule="auto" w:before="178"/>
        <w:ind w:left="116" w:firstLine="707"/>
      </w:pPr>
      <w:r>
        <w:rPr/>
        <w:t>Cette voie alternative du métabolisme du glucose permet de générer du pentose (synthèse des acides nucléiques indispensables à la cellule cancéreuse) et du NADPH.</w:t>
      </w:r>
    </w:p>
    <w:p>
      <w:pPr>
        <w:pStyle w:val="BodyText"/>
        <w:rPr>
          <w:sz w:val="26"/>
        </w:rPr>
      </w:pPr>
    </w:p>
    <w:p>
      <w:pPr>
        <w:pStyle w:val="BodyText"/>
        <w:rPr>
          <w:sz w:val="30"/>
        </w:rPr>
      </w:pPr>
    </w:p>
    <w:p>
      <w:pPr>
        <w:pStyle w:val="ListParagraph"/>
        <w:numPr>
          <w:ilvl w:val="0"/>
          <w:numId w:val="15"/>
        </w:numPr>
        <w:tabs>
          <w:tab w:pos="1110" w:val="left" w:leader="none"/>
        </w:tabs>
        <w:spacing w:line="240" w:lineRule="auto" w:before="0" w:after="0"/>
        <w:ind w:left="1110" w:right="0" w:hanging="360"/>
        <w:jc w:val="left"/>
        <w:rPr>
          <w:sz w:val="24"/>
        </w:rPr>
      </w:pPr>
      <w:bookmarkStart w:name="_bookmark101" w:id="166"/>
      <w:bookmarkEnd w:id="166"/>
      <w:r>
        <w:rPr/>
      </w:r>
      <w:bookmarkStart w:name="_bookmark101" w:id="167"/>
      <w:bookmarkEnd w:id="167"/>
      <w:r>
        <w:rPr>
          <w:sz w:val="24"/>
          <w:u w:val="single"/>
        </w:rPr>
        <w:t>I</w:t>
      </w:r>
      <w:r>
        <w:rPr>
          <w:sz w:val="24"/>
          <w:u w:val="single"/>
        </w:rPr>
        <w:t>nhiber la</w:t>
      </w:r>
      <w:r>
        <w:rPr>
          <w:spacing w:val="-7"/>
          <w:sz w:val="24"/>
          <w:u w:val="single"/>
        </w:rPr>
        <w:t> </w:t>
      </w:r>
      <w:r>
        <w:rPr>
          <w:sz w:val="24"/>
          <w:u w:val="single"/>
        </w:rPr>
        <w:t>transcétolase</w:t>
      </w:r>
    </w:p>
    <w:p>
      <w:pPr>
        <w:pStyle w:val="BodyText"/>
        <w:spacing w:before="3"/>
        <w:rPr>
          <w:sz w:val="23"/>
        </w:rPr>
      </w:pPr>
    </w:p>
    <w:p>
      <w:pPr>
        <w:pStyle w:val="BodyText"/>
        <w:spacing w:line="276" w:lineRule="auto" w:before="90"/>
        <w:ind w:left="116" w:right="112" w:firstLine="707"/>
        <w:jc w:val="both"/>
      </w:pPr>
      <w:r>
        <w:rPr/>
        <w:t>L’</w:t>
      </w:r>
      <w:r>
        <w:rPr>
          <w:b/>
          <w:u w:val="thick"/>
        </w:rPr>
        <w:t>oxythiamine</w:t>
      </w:r>
      <w:r>
        <w:rPr/>
        <w:t>,</w:t>
      </w:r>
      <w:r>
        <w:rPr>
          <w:spacing w:val="-14"/>
        </w:rPr>
        <w:t> </w:t>
      </w:r>
      <w:r>
        <w:rPr/>
        <w:t>un</w:t>
      </w:r>
      <w:r>
        <w:rPr>
          <w:spacing w:val="-16"/>
        </w:rPr>
        <w:t> </w:t>
      </w:r>
      <w:r>
        <w:rPr/>
        <w:t>antagoniste</w:t>
      </w:r>
      <w:r>
        <w:rPr>
          <w:spacing w:val="-16"/>
        </w:rPr>
        <w:t> </w:t>
      </w:r>
      <w:r>
        <w:rPr/>
        <w:t>de</w:t>
      </w:r>
      <w:r>
        <w:rPr>
          <w:spacing w:val="-17"/>
        </w:rPr>
        <w:t> </w:t>
      </w:r>
      <w:r>
        <w:rPr/>
        <w:t>la</w:t>
      </w:r>
      <w:r>
        <w:rPr>
          <w:spacing w:val="-14"/>
        </w:rPr>
        <w:t> </w:t>
      </w:r>
      <w:r>
        <w:rPr/>
        <w:t>thiamine,</w:t>
      </w:r>
      <w:r>
        <w:rPr>
          <w:spacing w:val="-16"/>
        </w:rPr>
        <w:t> </w:t>
      </w:r>
      <w:r>
        <w:rPr/>
        <w:t>inhibe</w:t>
      </w:r>
      <w:r>
        <w:rPr>
          <w:spacing w:val="-17"/>
        </w:rPr>
        <w:t> </w:t>
      </w:r>
      <w:r>
        <w:rPr/>
        <w:t>la</w:t>
      </w:r>
      <w:r>
        <w:rPr>
          <w:spacing w:val="-16"/>
        </w:rPr>
        <w:t> </w:t>
      </w:r>
      <w:r>
        <w:rPr/>
        <w:t>transcétolase,</w:t>
      </w:r>
      <w:r>
        <w:rPr>
          <w:spacing w:val="-13"/>
        </w:rPr>
        <w:t> </w:t>
      </w:r>
      <w:r>
        <w:rPr/>
        <w:t>enzyme</w:t>
      </w:r>
      <w:r>
        <w:rPr>
          <w:spacing w:val="-16"/>
        </w:rPr>
        <w:t> </w:t>
      </w:r>
      <w:r>
        <w:rPr/>
        <w:t>de</w:t>
      </w:r>
      <w:r>
        <w:rPr>
          <w:spacing w:val="-17"/>
        </w:rPr>
        <w:t> </w:t>
      </w:r>
      <w:r>
        <w:rPr/>
        <w:t>la</w:t>
      </w:r>
      <w:r>
        <w:rPr>
          <w:spacing w:val="-15"/>
        </w:rPr>
        <w:t> </w:t>
      </w:r>
      <w:r>
        <w:rPr/>
        <w:t>PPP (Raïs</w:t>
      </w:r>
      <w:r>
        <w:rPr>
          <w:spacing w:val="-6"/>
        </w:rPr>
        <w:t> </w:t>
      </w:r>
      <w:r>
        <w:rPr/>
        <w:t>et</w:t>
      </w:r>
      <w:r>
        <w:rPr>
          <w:spacing w:val="-6"/>
        </w:rPr>
        <w:t> </w:t>
      </w:r>
      <w:r>
        <w:rPr/>
        <w:t>al.,</w:t>
      </w:r>
      <w:r>
        <w:rPr>
          <w:spacing w:val="-6"/>
        </w:rPr>
        <w:t> </w:t>
      </w:r>
      <w:r>
        <w:rPr/>
        <w:t>1999).</w:t>
      </w:r>
      <w:r>
        <w:rPr>
          <w:spacing w:val="-6"/>
        </w:rPr>
        <w:t> </w:t>
      </w:r>
      <w:r>
        <w:rPr/>
        <w:t>Un</w:t>
      </w:r>
      <w:r>
        <w:rPr>
          <w:spacing w:val="-7"/>
        </w:rPr>
        <w:t> </w:t>
      </w:r>
      <w:r>
        <w:rPr/>
        <w:t>partiel</w:t>
      </w:r>
      <w:r>
        <w:rPr>
          <w:spacing w:val="-6"/>
        </w:rPr>
        <w:t> </w:t>
      </w:r>
      <w:r>
        <w:rPr/>
        <w:t>effet</w:t>
      </w:r>
      <w:r>
        <w:rPr>
          <w:spacing w:val="-6"/>
        </w:rPr>
        <w:t> </w:t>
      </w:r>
      <w:r>
        <w:rPr/>
        <w:t>anticancéreux</w:t>
      </w:r>
      <w:r>
        <w:rPr>
          <w:spacing w:val="-5"/>
        </w:rPr>
        <w:t> </w:t>
      </w:r>
      <w:r>
        <w:rPr/>
        <w:t>a</w:t>
      </w:r>
      <w:r>
        <w:rPr>
          <w:spacing w:val="-5"/>
        </w:rPr>
        <w:t> </w:t>
      </w:r>
      <w:r>
        <w:rPr/>
        <w:t>été</w:t>
      </w:r>
      <w:r>
        <w:rPr>
          <w:spacing w:val="-7"/>
        </w:rPr>
        <w:t> </w:t>
      </w:r>
      <w:r>
        <w:rPr/>
        <w:t>démontré</w:t>
      </w:r>
      <w:r>
        <w:rPr>
          <w:spacing w:val="-7"/>
        </w:rPr>
        <w:t> </w:t>
      </w:r>
      <w:r>
        <w:rPr>
          <w:b/>
          <w:i/>
        </w:rPr>
        <w:t>in</w:t>
      </w:r>
      <w:r>
        <w:rPr>
          <w:b/>
          <w:i/>
          <w:spacing w:val="-5"/>
        </w:rPr>
        <w:t> </w:t>
      </w:r>
      <w:r>
        <w:rPr>
          <w:b/>
          <w:i/>
        </w:rPr>
        <w:t>vitro</w:t>
      </w:r>
      <w:r>
        <w:rPr>
          <w:b/>
          <w:i/>
          <w:spacing w:val="-6"/>
        </w:rPr>
        <w:t> </w:t>
      </w:r>
      <w:r>
        <w:rPr/>
        <w:t>et</w:t>
      </w:r>
      <w:r>
        <w:rPr>
          <w:spacing w:val="-6"/>
        </w:rPr>
        <w:t> </w:t>
      </w:r>
      <w:r>
        <w:rPr>
          <w:b/>
          <w:i/>
        </w:rPr>
        <w:t>in</w:t>
      </w:r>
      <w:r>
        <w:rPr>
          <w:b/>
          <w:i/>
          <w:spacing w:val="-5"/>
        </w:rPr>
        <w:t> </w:t>
      </w:r>
      <w:r>
        <w:rPr>
          <w:b/>
          <w:i/>
        </w:rPr>
        <w:t>vivo</w:t>
      </w:r>
      <w:r>
        <w:rPr/>
        <w:t>.</w:t>
      </w:r>
      <w:r>
        <w:rPr>
          <w:spacing w:val="-6"/>
        </w:rPr>
        <w:t> </w:t>
      </w:r>
      <w:r>
        <w:rPr/>
        <w:t>Par</w:t>
      </w:r>
      <w:r>
        <w:rPr>
          <w:spacing w:val="-7"/>
        </w:rPr>
        <w:t> </w:t>
      </w:r>
      <w:r>
        <w:rPr/>
        <w:t>ailleurs, des modèles de souris où le gène de la transcétolase était totalement inhibé montrent une meilleure réponse au traitement avec le sorafénib (Xu et al.,</w:t>
      </w:r>
      <w:r>
        <w:rPr>
          <w:spacing w:val="-10"/>
        </w:rPr>
        <w:t> </w:t>
      </w:r>
      <w:r>
        <w:rPr/>
        <w:t>2016).</w:t>
      </w:r>
    </w:p>
    <w:p>
      <w:pPr>
        <w:pStyle w:val="BodyText"/>
        <w:rPr>
          <w:sz w:val="26"/>
        </w:rPr>
      </w:pPr>
    </w:p>
    <w:p>
      <w:pPr>
        <w:pStyle w:val="BodyText"/>
        <w:spacing w:before="9"/>
        <w:rPr>
          <w:sz w:val="29"/>
        </w:rPr>
      </w:pPr>
    </w:p>
    <w:p>
      <w:pPr>
        <w:pStyle w:val="ListParagraph"/>
        <w:numPr>
          <w:ilvl w:val="0"/>
          <w:numId w:val="15"/>
        </w:numPr>
        <w:tabs>
          <w:tab w:pos="1110" w:val="left" w:leader="none"/>
        </w:tabs>
        <w:spacing w:line="240" w:lineRule="auto" w:before="0" w:after="0"/>
        <w:ind w:left="1110" w:right="0" w:hanging="360"/>
        <w:jc w:val="left"/>
        <w:rPr>
          <w:sz w:val="24"/>
        </w:rPr>
      </w:pPr>
      <w:bookmarkStart w:name="_bookmark102" w:id="168"/>
      <w:bookmarkEnd w:id="168"/>
      <w:r>
        <w:rPr/>
      </w:r>
      <w:bookmarkStart w:name="_bookmark102" w:id="169"/>
      <w:bookmarkEnd w:id="169"/>
      <w:r>
        <w:rPr>
          <w:sz w:val="24"/>
          <w:u w:val="single"/>
        </w:rPr>
        <w:t>I</w:t>
      </w:r>
      <w:r>
        <w:rPr>
          <w:sz w:val="24"/>
          <w:u w:val="single"/>
        </w:rPr>
        <w:t>nhiber la Glucose-6 Phosphate Déshydrogénase</w:t>
      </w:r>
      <w:r>
        <w:rPr>
          <w:spacing w:val="-7"/>
          <w:sz w:val="24"/>
          <w:u w:val="single"/>
        </w:rPr>
        <w:t> </w:t>
      </w:r>
      <w:r>
        <w:rPr>
          <w:sz w:val="24"/>
          <w:u w:val="single"/>
        </w:rPr>
        <w:t>(G6PD)</w:t>
      </w:r>
    </w:p>
    <w:p>
      <w:pPr>
        <w:pStyle w:val="BodyText"/>
        <w:spacing w:before="3"/>
        <w:rPr>
          <w:sz w:val="23"/>
        </w:rPr>
      </w:pPr>
    </w:p>
    <w:p>
      <w:pPr>
        <w:pStyle w:val="BodyText"/>
        <w:spacing w:line="276" w:lineRule="auto" w:before="90"/>
        <w:ind w:left="116" w:right="114" w:firstLine="707"/>
        <w:jc w:val="both"/>
      </w:pPr>
      <w:r>
        <w:rPr/>
        <w:t>Le </w:t>
      </w:r>
      <w:r>
        <w:rPr>
          <w:b/>
          <w:u w:val="thick"/>
        </w:rPr>
        <w:t>6-AN</w:t>
      </w:r>
      <w:r>
        <w:rPr>
          <w:b/>
        </w:rPr>
        <w:t> </w:t>
      </w:r>
      <w:r>
        <w:rPr/>
        <w:t>(6-aminonicotinamide), un analogue du NADP, inhibe la G6PD, enzyme qui catalyse la première réaction de la PPP. Une diminution de l’activité de la G6PD diminue l’entrée du glucose dans la PPP et réduit ainsi une voie majeure de biosynthèse pour la cellule cancéreuse. On comprend facilement que le 6-AN montre une activité anticancéreuse </w:t>
      </w:r>
      <w:r>
        <w:rPr>
          <w:b/>
          <w:i/>
        </w:rPr>
        <w:t>in vitro</w:t>
      </w:r>
      <w:r>
        <w:rPr/>
        <w:t>, et il rendrait les lignées cellulaires plus sensibles à la radiothérapie (Varshney et al., 2005). En association avec le 2-DG, cet effet est renforcé. La neurotoxicité </w:t>
      </w:r>
      <w:r>
        <w:rPr>
          <w:b/>
          <w:i/>
        </w:rPr>
        <w:t>in vivo </w:t>
      </w:r>
      <w:r>
        <w:rPr/>
        <w:t>du 6-AN limite cependant son utilisation (Penkowa et al., 2004).</w:t>
      </w:r>
    </w:p>
    <w:p>
      <w:pPr>
        <w:pStyle w:val="BodyText"/>
        <w:spacing w:line="276" w:lineRule="auto" w:before="162"/>
        <w:ind w:left="116" w:right="122" w:firstLine="707"/>
        <w:jc w:val="both"/>
      </w:pPr>
      <w:r>
        <w:rPr/>
        <w:t>Par ailleurs, l’</w:t>
      </w:r>
      <w:r>
        <w:rPr>
          <w:b/>
          <w:u w:val="thick"/>
        </w:rPr>
        <w:t>imatinib</w:t>
      </w:r>
      <w:r>
        <w:rPr>
          <w:b/>
        </w:rPr>
        <w:t> </w:t>
      </w:r>
      <w:r>
        <w:rPr/>
        <w:t>semble également diminuer l’activité de la G6PD dans des lignées de cellules leucémiques (Pelicano et al., 2006).</w:t>
      </w:r>
    </w:p>
    <w:p>
      <w:pPr>
        <w:pStyle w:val="BodyText"/>
        <w:spacing w:line="273" w:lineRule="auto" w:before="164"/>
        <w:ind w:left="116" w:right="117" w:firstLine="707"/>
        <w:jc w:val="both"/>
      </w:pPr>
      <w:r>
        <w:rPr/>
        <w:t>Néanmoins,</w:t>
      </w:r>
      <w:r>
        <w:rPr>
          <w:spacing w:val="-14"/>
        </w:rPr>
        <w:t> </w:t>
      </w:r>
      <w:r>
        <w:rPr/>
        <w:t>une</w:t>
      </w:r>
      <w:r>
        <w:rPr>
          <w:spacing w:val="-15"/>
        </w:rPr>
        <w:t> </w:t>
      </w:r>
      <w:r>
        <w:rPr/>
        <w:t>déficience</w:t>
      </w:r>
      <w:r>
        <w:rPr>
          <w:spacing w:val="-15"/>
        </w:rPr>
        <w:t> </w:t>
      </w:r>
      <w:r>
        <w:rPr/>
        <w:t>naturelle</w:t>
      </w:r>
      <w:r>
        <w:rPr>
          <w:spacing w:val="-14"/>
        </w:rPr>
        <w:t> </w:t>
      </w:r>
      <w:r>
        <w:rPr/>
        <w:t>en</w:t>
      </w:r>
      <w:r>
        <w:rPr>
          <w:spacing w:val="-12"/>
        </w:rPr>
        <w:t> </w:t>
      </w:r>
      <w:r>
        <w:rPr/>
        <w:t>cette</w:t>
      </w:r>
      <w:r>
        <w:rPr>
          <w:spacing w:val="-15"/>
        </w:rPr>
        <w:t> </w:t>
      </w:r>
      <w:r>
        <w:rPr/>
        <w:t>enzyme</w:t>
      </w:r>
      <w:r>
        <w:rPr>
          <w:spacing w:val="-15"/>
        </w:rPr>
        <w:t> </w:t>
      </w:r>
      <w:r>
        <w:rPr/>
        <w:t>n’entraîne</w:t>
      </w:r>
      <w:r>
        <w:rPr>
          <w:spacing w:val="-15"/>
        </w:rPr>
        <w:t> </w:t>
      </w:r>
      <w:r>
        <w:rPr/>
        <w:t>pas</w:t>
      </w:r>
      <w:r>
        <w:rPr>
          <w:spacing w:val="-14"/>
        </w:rPr>
        <w:t> </w:t>
      </w:r>
      <w:r>
        <w:rPr/>
        <w:t>de</w:t>
      </w:r>
      <w:r>
        <w:rPr>
          <w:spacing w:val="-15"/>
        </w:rPr>
        <w:t> </w:t>
      </w:r>
      <w:r>
        <w:rPr/>
        <w:t>protection</w:t>
      </w:r>
      <w:r>
        <w:rPr>
          <w:spacing w:val="-14"/>
        </w:rPr>
        <w:t> </w:t>
      </w:r>
      <w:r>
        <w:rPr/>
        <w:t>contre la formation de cancers, probablement grâce aux effets compensateurs d’autres enzymes produisant du NADPH (Cocco,</w:t>
      </w:r>
      <w:r>
        <w:rPr>
          <w:spacing w:val="-5"/>
        </w:rPr>
        <w:t> </w:t>
      </w:r>
      <w:r>
        <w:rPr/>
        <w:t>1987).</w:t>
      </w:r>
    </w:p>
    <w:p>
      <w:pPr>
        <w:spacing w:after="0" w:line="273" w:lineRule="auto"/>
        <w:jc w:val="both"/>
        <w:sectPr>
          <w:pgSz w:w="11910" w:h="16840"/>
          <w:pgMar w:header="0" w:footer="995" w:top="1320" w:bottom="1240" w:left="1300" w:right="1300"/>
        </w:sectPr>
      </w:pPr>
    </w:p>
    <w:p>
      <w:pPr>
        <w:pStyle w:val="Heading3"/>
        <w:numPr>
          <w:ilvl w:val="1"/>
          <w:numId w:val="4"/>
        </w:numPr>
        <w:tabs>
          <w:tab w:pos="1535" w:val="left" w:leader="none"/>
        </w:tabs>
        <w:spacing w:line="240" w:lineRule="auto" w:before="75" w:after="0"/>
        <w:ind w:left="1534" w:right="0" w:hanging="360"/>
        <w:jc w:val="left"/>
      </w:pPr>
      <w:bookmarkStart w:name="_bookmark103" w:id="170"/>
      <w:bookmarkEnd w:id="170"/>
      <w:r>
        <w:rPr>
          <w:b w:val="0"/>
        </w:rPr>
      </w:r>
      <w:bookmarkStart w:name="_bookmark103" w:id="171"/>
      <w:bookmarkEnd w:id="171"/>
      <w:r>
        <w:rPr/>
        <w:t>C</w:t>
      </w:r>
      <w:r>
        <w:rPr/>
        <w:t>ibler le métabolisme de la</w:t>
      </w:r>
      <w:r>
        <w:rPr>
          <w:spacing w:val="-13"/>
        </w:rPr>
        <w:t> </w:t>
      </w:r>
      <w:r>
        <w:rPr/>
        <w:t>glutamine</w:t>
      </w:r>
    </w:p>
    <w:p>
      <w:pPr>
        <w:pStyle w:val="BodyText"/>
        <w:rPr>
          <w:b/>
          <w:sz w:val="30"/>
        </w:rPr>
      </w:pPr>
    </w:p>
    <w:p>
      <w:pPr>
        <w:pStyle w:val="BodyText"/>
        <w:spacing w:line="276" w:lineRule="auto" w:before="178"/>
        <w:ind w:left="116" w:right="115" w:firstLine="707"/>
        <w:jc w:val="both"/>
      </w:pPr>
      <w:r>
        <w:rPr/>
        <w:t>Si cibler le métabolisme du glucose de la cellule cancéreuse apparaît prometteur, l’utilisation</w:t>
      </w:r>
      <w:r>
        <w:rPr>
          <w:spacing w:val="-3"/>
        </w:rPr>
        <w:t> </w:t>
      </w:r>
      <w:r>
        <w:rPr/>
        <w:t>de</w:t>
      </w:r>
      <w:r>
        <w:rPr>
          <w:spacing w:val="-5"/>
        </w:rPr>
        <w:t> </w:t>
      </w:r>
      <w:r>
        <w:rPr/>
        <w:t>la</w:t>
      </w:r>
      <w:r>
        <w:rPr>
          <w:spacing w:val="-4"/>
        </w:rPr>
        <w:t> </w:t>
      </w:r>
      <w:r>
        <w:rPr/>
        <w:t>glutamine</w:t>
      </w:r>
      <w:r>
        <w:rPr>
          <w:spacing w:val="-5"/>
        </w:rPr>
        <w:t> </w:t>
      </w:r>
      <w:r>
        <w:rPr/>
        <w:t>pour</w:t>
      </w:r>
      <w:r>
        <w:rPr>
          <w:spacing w:val="-5"/>
        </w:rPr>
        <w:t> </w:t>
      </w:r>
      <w:r>
        <w:rPr/>
        <w:t>pallier</w:t>
      </w:r>
      <w:r>
        <w:rPr>
          <w:spacing w:val="-5"/>
        </w:rPr>
        <w:t> </w:t>
      </w:r>
      <w:r>
        <w:rPr/>
        <w:t>le</w:t>
      </w:r>
      <w:r>
        <w:rPr>
          <w:spacing w:val="-4"/>
        </w:rPr>
        <w:t> </w:t>
      </w:r>
      <w:r>
        <w:rPr/>
        <w:t>manque</w:t>
      </w:r>
      <w:r>
        <w:rPr>
          <w:spacing w:val="-5"/>
        </w:rPr>
        <w:t> </w:t>
      </w:r>
      <w:r>
        <w:rPr/>
        <w:t>de</w:t>
      </w:r>
      <w:r>
        <w:rPr>
          <w:spacing w:val="-5"/>
        </w:rPr>
        <w:t> </w:t>
      </w:r>
      <w:r>
        <w:rPr/>
        <w:t>glucose</w:t>
      </w:r>
      <w:r>
        <w:rPr>
          <w:spacing w:val="-5"/>
        </w:rPr>
        <w:t> </w:t>
      </w:r>
      <w:r>
        <w:rPr/>
        <w:t>est</w:t>
      </w:r>
      <w:r>
        <w:rPr>
          <w:spacing w:val="-3"/>
        </w:rPr>
        <w:t> </w:t>
      </w:r>
      <w:r>
        <w:rPr/>
        <w:t>possible</w:t>
      </w:r>
      <w:r>
        <w:rPr>
          <w:spacing w:val="-4"/>
        </w:rPr>
        <w:t> </w:t>
      </w:r>
      <w:r>
        <w:rPr/>
        <w:t>pour</w:t>
      </w:r>
      <w:r>
        <w:rPr>
          <w:spacing w:val="-5"/>
        </w:rPr>
        <w:t> </w:t>
      </w:r>
      <w:r>
        <w:rPr/>
        <w:t>de</w:t>
      </w:r>
      <w:r>
        <w:rPr>
          <w:spacing w:val="-5"/>
        </w:rPr>
        <w:t> </w:t>
      </w:r>
      <w:r>
        <w:rPr/>
        <w:t>nombreuses cellules cancéreuses. Il faut donc également s’intéresser aux inhibiteurs du métabolime de la glutamine.</w:t>
      </w:r>
    </w:p>
    <w:p>
      <w:pPr>
        <w:pStyle w:val="ListParagraph"/>
        <w:numPr>
          <w:ilvl w:val="0"/>
          <w:numId w:val="16"/>
        </w:numPr>
        <w:tabs>
          <w:tab w:pos="1110" w:val="left" w:leader="none"/>
        </w:tabs>
        <w:spacing w:line="240" w:lineRule="auto" w:before="163" w:after="0"/>
        <w:ind w:left="1110" w:right="0" w:hanging="360"/>
        <w:jc w:val="left"/>
        <w:rPr>
          <w:sz w:val="24"/>
        </w:rPr>
      </w:pPr>
      <w:bookmarkStart w:name="_bookmark104" w:id="172"/>
      <w:bookmarkEnd w:id="172"/>
      <w:r>
        <w:rPr/>
      </w:r>
      <w:bookmarkStart w:name="_bookmark104" w:id="173"/>
      <w:bookmarkEnd w:id="173"/>
      <w:r>
        <w:rPr>
          <w:sz w:val="24"/>
          <w:u w:val="single"/>
        </w:rPr>
        <w:t>C</w:t>
      </w:r>
      <w:r>
        <w:rPr>
          <w:sz w:val="24"/>
          <w:u w:val="single"/>
        </w:rPr>
        <w:t>ibler la</w:t>
      </w:r>
      <w:r>
        <w:rPr>
          <w:spacing w:val="-9"/>
          <w:sz w:val="24"/>
          <w:u w:val="single"/>
        </w:rPr>
        <w:t> </w:t>
      </w:r>
      <w:r>
        <w:rPr>
          <w:sz w:val="24"/>
          <w:u w:val="single"/>
        </w:rPr>
        <w:t>glutaminase</w:t>
      </w:r>
    </w:p>
    <w:p>
      <w:pPr>
        <w:pStyle w:val="BodyText"/>
        <w:rPr>
          <w:sz w:val="20"/>
        </w:rPr>
      </w:pPr>
    </w:p>
    <w:p>
      <w:pPr>
        <w:pStyle w:val="BodyText"/>
        <w:spacing w:before="2"/>
        <w:rPr>
          <w:sz w:val="17"/>
        </w:rPr>
      </w:pPr>
    </w:p>
    <w:p>
      <w:pPr>
        <w:pStyle w:val="BodyText"/>
        <w:spacing w:line="276" w:lineRule="auto" w:before="90"/>
        <w:ind w:left="116" w:right="115" w:firstLine="707"/>
        <w:jc w:val="both"/>
      </w:pPr>
      <w:r>
        <w:rPr/>
        <w:t>Le bis-2-(5-phénylacétimido-1,2,4,thiadiazol-2-yl)éthyl sulfide (</w:t>
      </w:r>
      <w:r>
        <w:rPr>
          <w:b/>
          <w:u w:val="thick"/>
        </w:rPr>
        <w:t>BPTES</w:t>
      </w:r>
      <w:r>
        <w:rPr>
          <w:u w:val="thick"/>
        </w:rPr>
        <w:t>)</w:t>
      </w:r>
      <w:r>
        <w:rPr/>
        <w:t> semblerait inhiber la croissance d’un certain nombre de cancers induits chez la souris. Cette molécule inhibe en effet la glutaminase de manière allostérique (Robinson et al., 2007).</w:t>
      </w:r>
    </w:p>
    <w:p>
      <w:pPr>
        <w:pStyle w:val="BodyText"/>
        <w:spacing w:line="276" w:lineRule="auto" w:before="164"/>
        <w:ind w:left="116" w:right="116" w:firstLine="707"/>
        <w:jc w:val="both"/>
      </w:pPr>
      <w:r>
        <w:rPr/>
        <w:t>Le </w:t>
      </w:r>
      <w:r>
        <w:rPr>
          <w:b/>
          <w:u w:val="thick"/>
        </w:rPr>
        <w:t>composé 968</w:t>
      </w:r>
      <w:r>
        <w:rPr>
          <w:b/>
        </w:rPr>
        <w:t> </w:t>
      </w:r>
      <w:r>
        <w:rPr/>
        <w:t>inhibe la glutaminase C. Il freine le développement des cellules cancéreuses dans des lignées de cancer du sein et de lymphome B (Wang et al., 2010). En association avec l’erlotinib, il permet d’inhiber la prolifération cellulaire de cellules de cancer du poumon non à petites cellules résistants à l’erlotinib (Xie et al., 2016).</w:t>
      </w:r>
    </w:p>
    <w:p>
      <w:pPr>
        <w:pStyle w:val="BodyText"/>
        <w:spacing w:line="276" w:lineRule="auto" w:before="164"/>
        <w:ind w:left="116" w:right="112" w:firstLine="707"/>
        <w:jc w:val="both"/>
      </w:pPr>
      <w:r>
        <w:rPr/>
        <w:t>Le </w:t>
      </w:r>
      <w:r>
        <w:rPr>
          <w:b/>
          <w:u w:val="thick"/>
        </w:rPr>
        <w:t>composé 839</w:t>
      </w:r>
      <w:r>
        <w:rPr>
          <w:b/>
        </w:rPr>
        <w:t> </w:t>
      </w:r>
      <w:r>
        <w:rPr/>
        <w:t>limite également la croissance tumorale dans des modèles de xénogreffe de cancer du sein triple négatif, seul et en association avec le paclitaxel (Gross et al., 2014).</w:t>
      </w:r>
    </w:p>
    <w:p>
      <w:pPr>
        <w:pStyle w:val="BodyText"/>
        <w:spacing w:line="276" w:lineRule="auto" w:before="164"/>
        <w:ind w:left="116" w:right="113" w:firstLine="707"/>
        <w:jc w:val="both"/>
      </w:pPr>
      <w:r>
        <w:rPr/>
        <w:t>L’utilisation de l’analogue de la glutamine, le </w:t>
      </w:r>
      <w:r>
        <w:rPr>
          <w:b/>
          <w:u w:val="thick"/>
        </w:rPr>
        <w:t>6-Diazo-5-oxo-L-norleucine (DON)</w:t>
      </w:r>
      <w:r>
        <w:rPr>
          <w:b/>
        </w:rPr>
        <w:t> </w:t>
      </w:r>
      <w:r>
        <w:rPr/>
        <w:t>permet de limiter la croissance tumorale et d’augmenter la survie dans un modèle de souris de cancer métastatique (Shelton et al., 2010). Son association au </w:t>
      </w:r>
      <w:r>
        <w:rPr>
          <w:b/>
          <w:u w:val="thick"/>
        </w:rPr>
        <w:t>lonidamine</w:t>
      </w:r>
      <w:r>
        <w:rPr>
          <w:b/>
        </w:rPr>
        <w:t> </w:t>
      </w:r>
      <w:r>
        <w:rPr/>
        <w:t>montre des résultats prometteurs : l’inhibiteur de la glycolyse et l’inhibiteur de la glutaminolyse semblent agir en synergie (Cervantes-Madrid et al., 2015).</w:t>
      </w:r>
    </w:p>
    <w:p>
      <w:pPr>
        <w:pStyle w:val="BodyText"/>
        <w:rPr>
          <w:sz w:val="26"/>
        </w:rPr>
      </w:pPr>
    </w:p>
    <w:p>
      <w:pPr>
        <w:pStyle w:val="BodyText"/>
        <w:spacing w:before="8"/>
        <w:rPr>
          <w:sz w:val="29"/>
        </w:rPr>
      </w:pPr>
    </w:p>
    <w:p>
      <w:pPr>
        <w:pStyle w:val="ListParagraph"/>
        <w:numPr>
          <w:ilvl w:val="0"/>
          <w:numId w:val="16"/>
        </w:numPr>
        <w:tabs>
          <w:tab w:pos="1110" w:val="left" w:leader="none"/>
        </w:tabs>
        <w:spacing w:line="240" w:lineRule="auto" w:before="1" w:after="0"/>
        <w:ind w:left="1110" w:right="0" w:hanging="360"/>
        <w:jc w:val="left"/>
        <w:rPr>
          <w:sz w:val="24"/>
        </w:rPr>
      </w:pPr>
      <w:bookmarkStart w:name="_bookmark105" w:id="174"/>
      <w:bookmarkEnd w:id="174"/>
      <w:r>
        <w:rPr/>
      </w:r>
      <w:bookmarkStart w:name="_bookmark105" w:id="175"/>
      <w:bookmarkEnd w:id="175"/>
      <w:r>
        <w:rPr>
          <w:sz w:val="24"/>
          <w:u w:val="single"/>
        </w:rPr>
        <w:t>C</w:t>
      </w:r>
      <w:r>
        <w:rPr>
          <w:sz w:val="24"/>
          <w:u w:val="single"/>
        </w:rPr>
        <w:t>ibler la glutamate</w:t>
      </w:r>
      <w:r>
        <w:rPr>
          <w:spacing w:val="-10"/>
          <w:sz w:val="24"/>
          <w:u w:val="single"/>
        </w:rPr>
        <w:t> </w:t>
      </w:r>
      <w:r>
        <w:rPr>
          <w:sz w:val="24"/>
          <w:u w:val="single"/>
        </w:rPr>
        <w:t>déshydrogénase</w:t>
      </w:r>
    </w:p>
    <w:p>
      <w:pPr>
        <w:pStyle w:val="BodyText"/>
        <w:rPr>
          <w:sz w:val="20"/>
        </w:rPr>
      </w:pPr>
    </w:p>
    <w:p>
      <w:pPr>
        <w:pStyle w:val="BodyText"/>
        <w:spacing w:before="3"/>
        <w:rPr>
          <w:sz w:val="17"/>
        </w:rPr>
      </w:pPr>
    </w:p>
    <w:p>
      <w:pPr>
        <w:pStyle w:val="BodyText"/>
        <w:spacing w:line="273" w:lineRule="auto" w:before="90"/>
        <w:ind w:left="116" w:right="114" w:firstLine="707"/>
        <w:jc w:val="both"/>
      </w:pPr>
      <w:r>
        <w:rPr/>
        <w:t>Dans un modèle cellulaire issu de glioblastome, l’utilisation d’un </w:t>
      </w:r>
      <w:r>
        <w:rPr>
          <w:b/>
          <w:u w:val="thick"/>
        </w:rPr>
        <w:t>siARN</w:t>
      </w:r>
      <w:r>
        <w:rPr>
          <w:b/>
        </w:rPr>
        <w:t> </w:t>
      </w:r>
      <w:r>
        <w:rPr/>
        <w:t>ciblant la glutamate déshydrogénase permet de diminuer la prolifération cellulaire (Yang et al., 2009).</w:t>
      </w:r>
    </w:p>
    <w:p>
      <w:pPr>
        <w:pStyle w:val="BodyText"/>
        <w:spacing w:line="273" w:lineRule="auto" w:before="166"/>
        <w:ind w:left="116" w:right="115" w:firstLine="707"/>
        <w:jc w:val="both"/>
      </w:pPr>
      <w:r>
        <w:rPr/>
        <w:t>L’utilisation</w:t>
      </w:r>
      <w:r>
        <w:rPr>
          <w:spacing w:val="-16"/>
        </w:rPr>
        <w:t> </w:t>
      </w:r>
      <w:r>
        <w:rPr/>
        <w:t>de</w:t>
      </w:r>
      <w:r>
        <w:rPr>
          <w:spacing w:val="-17"/>
        </w:rPr>
        <w:t> </w:t>
      </w:r>
      <w:r>
        <w:rPr/>
        <w:t>l’inhibiteur</w:t>
      </w:r>
      <w:r>
        <w:rPr>
          <w:spacing w:val="-15"/>
        </w:rPr>
        <w:t> </w:t>
      </w:r>
      <w:r>
        <w:rPr>
          <w:b/>
          <w:u w:val="thick"/>
        </w:rPr>
        <w:t>R162</w:t>
      </w:r>
      <w:r>
        <w:rPr>
          <w:b/>
          <w:spacing w:val="-16"/>
        </w:rPr>
        <w:t> </w:t>
      </w:r>
      <w:r>
        <w:rPr/>
        <w:t>par</w:t>
      </w:r>
      <w:r>
        <w:rPr>
          <w:spacing w:val="-17"/>
        </w:rPr>
        <w:t> </w:t>
      </w:r>
      <w:r>
        <w:rPr/>
        <w:t>l’équipe</w:t>
      </w:r>
      <w:r>
        <w:rPr>
          <w:spacing w:val="-17"/>
        </w:rPr>
        <w:t> </w:t>
      </w:r>
      <w:r>
        <w:rPr/>
        <w:t>de</w:t>
      </w:r>
      <w:r>
        <w:rPr>
          <w:spacing w:val="-16"/>
        </w:rPr>
        <w:t> </w:t>
      </w:r>
      <w:r>
        <w:rPr/>
        <w:t>Jin</w:t>
      </w:r>
      <w:r>
        <w:rPr>
          <w:spacing w:val="-15"/>
        </w:rPr>
        <w:t> </w:t>
      </w:r>
      <w:r>
        <w:rPr/>
        <w:t>et</w:t>
      </w:r>
      <w:r>
        <w:rPr>
          <w:spacing w:val="-15"/>
        </w:rPr>
        <w:t> </w:t>
      </w:r>
      <w:r>
        <w:rPr/>
        <w:t>al.</w:t>
      </w:r>
      <w:r>
        <w:rPr>
          <w:spacing w:val="-15"/>
        </w:rPr>
        <w:t> </w:t>
      </w:r>
      <w:r>
        <w:rPr/>
        <w:t>entraîne</w:t>
      </w:r>
      <w:r>
        <w:rPr>
          <w:spacing w:val="-16"/>
        </w:rPr>
        <w:t> </w:t>
      </w:r>
      <w:r>
        <w:rPr/>
        <w:t>un</w:t>
      </w:r>
      <w:r>
        <w:rPr>
          <w:spacing w:val="-14"/>
        </w:rPr>
        <w:t> </w:t>
      </w:r>
      <w:r>
        <w:rPr/>
        <w:t>déséquilibre</w:t>
      </w:r>
      <w:r>
        <w:rPr>
          <w:spacing w:val="-17"/>
        </w:rPr>
        <w:t> </w:t>
      </w:r>
      <w:r>
        <w:rPr/>
        <w:t>redox dans la cellule cancéreuse, limitant la prolifération cellulaire et la croissance tumorale (Jin et al.,</w:t>
      </w:r>
      <w:r>
        <w:rPr>
          <w:spacing w:val="-2"/>
        </w:rPr>
        <w:t> </w:t>
      </w:r>
      <w:r>
        <w:rPr/>
        <w:t>2015).</w:t>
      </w:r>
    </w:p>
    <w:p>
      <w:pPr>
        <w:pStyle w:val="ListParagraph"/>
        <w:numPr>
          <w:ilvl w:val="0"/>
          <w:numId w:val="16"/>
        </w:numPr>
        <w:tabs>
          <w:tab w:pos="1110" w:val="left" w:leader="none"/>
        </w:tabs>
        <w:spacing w:line="240" w:lineRule="auto" w:before="166" w:after="0"/>
        <w:ind w:left="1110" w:right="0" w:hanging="360"/>
        <w:jc w:val="left"/>
        <w:rPr>
          <w:sz w:val="24"/>
        </w:rPr>
      </w:pPr>
      <w:bookmarkStart w:name="_bookmark106" w:id="176"/>
      <w:bookmarkEnd w:id="176"/>
      <w:r>
        <w:rPr/>
      </w:r>
      <w:bookmarkStart w:name="_bookmark106" w:id="177"/>
      <w:bookmarkEnd w:id="177"/>
      <w:r>
        <w:rPr>
          <w:sz w:val="24"/>
          <w:u w:val="single"/>
        </w:rPr>
        <w:t>C</w:t>
      </w:r>
      <w:r>
        <w:rPr>
          <w:sz w:val="24"/>
          <w:u w:val="single"/>
        </w:rPr>
        <w:t>ibler les</w:t>
      </w:r>
      <w:r>
        <w:rPr>
          <w:spacing w:val="-7"/>
          <w:sz w:val="24"/>
          <w:u w:val="single"/>
        </w:rPr>
        <w:t> </w:t>
      </w:r>
      <w:r>
        <w:rPr>
          <w:sz w:val="24"/>
          <w:u w:val="single"/>
        </w:rPr>
        <w:t>transaminations</w:t>
      </w:r>
    </w:p>
    <w:p>
      <w:pPr>
        <w:spacing w:before="79" w:after="23"/>
        <w:ind w:left="116" w:right="0" w:firstLine="0"/>
        <w:jc w:val="left"/>
        <w:rPr>
          <w:i/>
          <w:sz w:val="18"/>
        </w:rPr>
      </w:pPr>
      <w:bookmarkStart w:name="_bookmark107" w:id="178"/>
      <w:bookmarkEnd w:id="178"/>
      <w:r>
        <w:rPr/>
      </w:r>
      <w:r>
        <w:rPr>
          <w:i/>
          <w:color w:val="44536A"/>
          <w:sz w:val="18"/>
        </w:rPr>
        <w:t>Tableau 1 : Cibler les transaminations</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022"/>
        <w:gridCol w:w="3022"/>
      </w:tblGrid>
      <w:tr>
        <w:trPr>
          <w:trHeight w:val="440" w:hRule="atLeast"/>
        </w:trPr>
        <w:tc>
          <w:tcPr>
            <w:tcW w:w="3020" w:type="dxa"/>
          </w:tcPr>
          <w:p>
            <w:pPr>
              <w:pStyle w:val="TableParagraph"/>
              <w:spacing w:line="244" w:lineRule="exact"/>
              <w:ind w:left="105"/>
              <w:rPr>
                <w:sz w:val="22"/>
              </w:rPr>
            </w:pPr>
            <w:r>
              <w:rPr>
                <w:sz w:val="22"/>
              </w:rPr>
              <w:t>Cible</w:t>
            </w:r>
          </w:p>
        </w:tc>
        <w:tc>
          <w:tcPr>
            <w:tcW w:w="3022" w:type="dxa"/>
          </w:tcPr>
          <w:p>
            <w:pPr>
              <w:pStyle w:val="TableParagraph"/>
              <w:spacing w:line="244" w:lineRule="exact"/>
              <w:ind w:left="105"/>
              <w:rPr>
                <w:sz w:val="22"/>
              </w:rPr>
            </w:pPr>
            <w:r>
              <w:rPr>
                <w:sz w:val="22"/>
              </w:rPr>
              <w:t>Molécule utilisée</w:t>
            </w:r>
          </w:p>
        </w:tc>
        <w:tc>
          <w:tcPr>
            <w:tcW w:w="3022" w:type="dxa"/>
          </w:tcPr>
          <w:p>
            <w:pPr>
              <w:pStyle w:val="TableParagraph"/>
              <w:spacing w:line="244" w:lineRule="exact"/>
              <w:ind w:left="105"/>
              <w:rPr>
                <w:sz w:val="22"/>
              </w:rPr>
            </w:pPr>
            <w:r>
              <w:rPr>
                <w:sz w:val="22"/>
              </w:rPr>
              <w:t>Source</w:t>
            </w:r>
          </w:p>
        </w:tc>
      </w:tr>
      <w:tr>
        <w:trPr>
          <w:trHeight w:val="440" w:hRule="atLeast"/>
        </w:trPr>
        <w:tc>
          <w:tcPr>
            <w:tcW w:w="3020" w:type="dxa"/>
          </w:tcPr>
          <w:p>
            <w:pPr>
              <w:pStyle w:val="TableParagraph"/>
              <w:spacing w:line="244" w:lineRule="exact"/>
              <w:ind w:left="105"/>
              <w:rPr>
                <w:sz w:val="22"/>
              </w:rPr>
            </w:pPr>
            <w:r>
              <w:rPr>
                <w:sz w:val="22"/>
              </w:rPr>
              <w:t>Alanine Transaminase</w:t>
            </w:r>
          </w:p>
        </w:tc>
        <w:tc>
          <w:tcPr>
            <w:tcW w:w="3022" w:type="dxa"/>
          </w:tcPr>
          <w:p>
            <w:pPr>
              <w:pStyle w:val="TableParagraph"/>
              <w:spacing w:line="249" w:lineRule="exact"/>
              <w:ind w:left="105"/>
              <w:rPr>
                <w:b/>
                <w:sz w:val="22"/>
              </w:rPr>
            </w:pPr>
            <w:r>
              <w:rPr>
                <w:b/>
                <w:sz w:val="22"/>
                <w:u w:val="thick"/>
              </w:rPr>
              <w:t>L-cycloserine</w:t>
            </w:r>
          </w:p>
        </w:tc>
        <w:tc>
          <w:tcPr>
            <w:tcW w:w="3022" w:type="dxa"/>
          </w:tcPr>
          <w:p>
            <w:pPr>
              <w:pStyle w:val="TableParagraph"/>
              <w:spacing w:line="244" w:lineRule="exact"/>
              <w:ind w:left="105"/>
              <w:rPr>
                <w:sz w:val="22"/>
              </w:rPr>
            </w:pPr>
            <w:r>
              <w:rPr>
                <w:sz w:val="22"/>
              </w:rPr>
              <w:t>Beuster et al., 2011</w:t>
            </w:r>
          </w:p>
        </w:tc>
      </w:tr>
      <w:tr>
        <w:trPr>
          <w:trHeight w:val="440" w:hRule="atLeast"/>
        </w:trPr>
        <w:tc>
          <w:tcPr>
            <w:tcW w:w="3020" w:type="dxa"/>
          </w:tcPr>
          <w:p>
            <w:pPr>
              <w:pStyle w:val="TableParagraph"/>
              <w:spacing w:line="244" w:lineRule="exact"/>
              <w:ind w:left="105"/>
              <w:rPr>
                <w:sz w:val="22"/>
              </w:rPr>
            </w:pPr>
            <w:r>
              <w:rPr>
                <w:sz w:val="22"/>
              </w:rPr>
              <w:t>Aspartate Transaminase</w:t>
            </w:r>
          </w:p>
        </w:tc>
        <w:tc>
          <w:tcPr>
            <w:tcW w:w="3022" w:type="dxa"/>
          </w:tcPr>
          <w:p>
            <w:pPr>
              <w:pStyle w:val="TableParagraph"/>
              <w:spacing w:line="249" w:lineRule="exact"/>
              <w:ind w:left="105"/>
              <w:rPr>
                <w:b/>
                <w:sz w:val="22"/>
              </w:rPr>
            </w:pPr>
            <w:r>
              <w:rPr>
                <w:b/>
                <w:sz w:val="22"/>
                <w:u w:val="thick"/>
              </w:rPr>
              <w:t>Amino Oxyacetate</w:t>
            </w:r>
          </w:p>
        </w:tc>
        <w:tc>
          <w:tcPr>
            <w:tcW w:w="3022" w:type="dxa"/>
          </w:tcPr>
          <w:p>
            <w:pPr>
              <w:pStyle w:val="TableParagraph"/>
              <w:spacing w:line="244" w:lineRule="exact"/>
              <w:ind w:left="105"/>
              <w:rPr>
                <w:sz w:val="22"/>
              </w:rPr>
            </w:pPr>
            <w:r>
              <w:rPr>
                <w:sz w:val="22"/>
              </w:rPr>
              <w:t>Thornburg et al., 2008</w:t>
            </w:r>
          </w:p>
        </w:tc>
      </w:tr>
    </w:tbl>
    <w:p>
      <w:pPr>
        <w:spacing w:after="0" w:line="244" w:lineRule="exact"/>
        <w:rPr>
          <w:sz w:val="22"/>
        </w:rPr>
        <w:sectPr>
          <w:pgSz w:w="11910" w:h="16840"/>
          <w:pgMar w:header="0" w:footer="995" w:top="1320" w:bottom="1240" w:left="1300" w:right="1300"/>
        </w:sectPr>
      </w:pPr>
    </w:p>
    <w:p>
      <w:pPr>
        <w:pStyle w:val="Heading3"/>
        <w:numPr>
          <w:ilvl w:val="1"/>
          <w:numId w:val="4"/>
        </w:numPr>
        <w:tabs>
          <w:tab w:pos="1535" w:val="left" w:leader="none"/>
        </w:tabs>
        <w:spacing w:line="240" w:lineRule="auto" w:before="75" w:after="0"/>
        <w:ind w:left="1534" w:right="0" w:hanging="360"/>
        <w:jc w:val="left"/>
      </w:pPr>
      <w:bookmarkStart w:name="_bookmark108" w:id="179"/>
      <w:bookmarkEnd w:id="179"/>
      <w:r>
        <w:rPr>
          <w:b w:val="0"/>
        </w:rPr>
      </w:r>
      <w:bookmarkStart w:name="_bookmark108" w:id="180"/>
      <w:bookmarkEnd w:id="180"/>
      <w:r>
        <w:rPr/>
        <w:t>C</w:t>
      </w:r>
      <w:r>
        <w:rPr/>
        <w:t>ibler le facteur</w:t>
      </w:r>
      <w:r>
        <w:rPr>
          <w:spacing w:val="-6"/>
        </w:rPr>
        <w:t> </w:t>
      </w:r>
      <w:r>
        <w:rPr/>
        <w:t>HIF-1</w:t>
      </w:r>
    </w:p>
    <w:p>
      <w:pPr>
        <w:pStyle w:val="BodyText"/>
        <w:rPr>
          <w:b/>
          <w:sz w:val="30"/>
        </w:rPr>
      </w:pPr>
    </w:p>
    <w:p>
      <w:pPr>
        <w:pStyle w:val="BodyText"/>
        <w:spacing w:line="273" w:lineRule="auto" w:before="178"/>
        <w:ind w:left="116" w:firstLine="707"/>
      </w:pPr>
      <w:r>
        <w:rPr/>
        <w:t>Ce</w:t>
      </w:r>
      <w:r>
        <w:rPr>
          <w:spacing w:val="-13"/>
        </w:rPr>
        <w:t> </w:t>
      </w:r>
      <w:r>
        <w:rPr/>
        <w:t>facteur</w:t>
      </w:r>
      <w:r>
        <w:rPr>
          <w:spacing w:val="-12"/>
        </w:rPr>
        <w:t> </w:t>
      </w:r>
      <w:r>
        <w:rPr/>
        <w:t>oncogène</w:t>
      </w:r>
      <w:r>
        <w:rPr>
          <w:spacing w:val="-11"/>
        </w:rPr>
        <w:t> </w:t>
      </w:r>
      <w:r>
        <w:rPr/>
        <w:t>en</w:t>
      </w:r>
      <w:r>
        <w:rPr>
          <w:spacing w:val="-12"/>
        </w:rPr>
        <w:t> </w:t>
      </w:r>
      <w:r>
        <w:rPr/>
        <w:t>lien</w:t>
      </w:r>
      <w:r>
        <w:rPr>
          <w:spacing w:val="-12"/>
        </w:rPr>
        <w:t> </w:t>
      </w:r>
      <w:r>
        <w:rPr/>
        <w:t>avec</w:t>
      </w:r>
      <w:r>
        <w:rPr>
          <w:spacing w:val="-11"/>
        </w:rPr>
        <w:t> </w:t>
      </w:r>
      <w:r>
        <w:rPr/>
        <w:t>le</w:t>
      </w:r>
      <w:r>
        <w:rPr>
          <w:spacing w:val="-13"/>
        </w:rPr>
        <w:t> </w:t>
      </w:r>
      <w:r>
        <w:rPr/>
        <w:t>métabolisme</w:t>
      </w:r>
      <w:r>
        <w:rPr>
          <w:spacing w:val="-13"/>
        </w:rPr>
        <w:t> </w:t>
      </w:r>
      <w:r>
        <w:rPr/>
        <w:t>énergétique</w:t>
      </w:r>
      <w:r>
        <w:rPr>
          <w:spacing w:val="-11"/>
        </w:rPr>
        <w:t> </w:t>
      </w:r>
      <w:r>
        <w:rPr/>
        <w:t>de</w:t>
      </w:r>
      <w:r>
        <w:rPr>
          <w:spacing w:val="-13"/>
        </w:rPr>
        <w:t> </w:t>
      </w:r>
      <w:r>
        <w:rPr/>
        <w:t>la</w:t>
      </w:r>
      <w:r>
        <w:rPr>
          <w:spacing w:val="-13"/>
        </w:rPr>
        <w:t> </w:t>
      </w:r>
      <w:r>
        <w:rPr/>
        <w:t>cellule</w:t>
      </w:r>
      <w:r>
        <w:rPr>
          <w:spacing w:val="-13"/>
        </w:rPr>
        <w:t> </w:t>
      </w:r>
      <w:r>
        <w:rPr/>
        <w:t>peut</w:t>
      </w:r>
      <w:r>
        <w:rPr>
          <w:spacing w:val="-12"/>
        </w:rPr>
        <w:t> </w:t>
      </w:r>
      <w:r>
        <w:rPr/>
        <w:t>être</w:t>
      </w:r>
      <w:r>
        <w:rPr>
          <w:spacing w:val="-13"/>
        </w:rPr>
        <w:t> </w:t>
      </w:r>
      <w:r>
        <w:rPr/>
        <w:t>ciblé de différentes manières, comme le représente le schéma suivant (Figure</w:t>
      </w:r>
      <w:r>
        <w:rPr>
          <w:spacing w:val="-9"/>
        </w:rPr>
        <w:t> </w:t>
      </w:r>
      <w:r>
        <w:rPr/>
        <w:t>26).</w:t>
      </w:r>
    </w:p>
    <w:p>
      <w:pPr>
        <w:pStyle w:val="BodyText"/>
        <w:spacing w:before="6"/>
        <w:rPr>
          <w:sz w:val="11"/>
        </w:rPr>
      </w:pPr>
      <w:r>
        <w:rPr/>
        <w:drawing>
          <wp:anchor distT="0" distB="0" distL="0" distR="0" allowOverlap="1" layoutInCell="1" locked="0" behindDoc="0" simplePos="0" relativeHeight="1648">
            <wp:simplePos x="0" y="0"/>
            <wp:positionH relativeFrom="page">
              <wp:posOffset>1349375</wp:posOffset>
            </wp:positionH>
            <wp:positionV relativeFrom="paragraph">
              <wp:posOffset>109009</wp:posOffset>
            </wp:positionV>
            <wp:extent cx="4572508" cy="3429000"/>
            <wp:effectExtent l="0" t="0" r="0" b="0"/>
            <wp:wrapTopAndBottom/>
            <wp:docPr id="63" name="image30.jpeg" descr=""/>
            <wp:cNvGraphicFramePr>
              <a:graphicFrameLocks noChangeAspect="1"/>
            </wp:cNvGraphicFramePr>
            <a:graphic>
              <a:graphicData uri="http://schemas.openxmlformats.org/drawingml/2006/picture">
                <pic:pic>
                  <pic:nvPicPr>
                    <pic:cNvPr id="64" name="image30.jpeg"/>
                    <pic:cNvPicPr/>
                  </pic:nvPicPr>
                  <pic:blipFill>
                    <a:blip r:embed="rId36" cstate="print"/>
                    <a:stretch>
                      <a:fillRect/>
                    </a:stretch>
                  </pic:blipFill>
                  <pic:spPr>
                    <a:xfrm>
                      <a:off x="0" y="0"/>
                      <a:ext cx="4572508" cy="3429000"/>
                    </a:xfrm>
                    <a:prstGeom prst="rect">
                      <a:avLst/>
                    </a:prstGeom>
                  </pic:spPr>
                </pic:pic>
              </a:graphicData>
            </a:graphic>
          </wp:anchor>
        </w:drawing>
      </w:r>
    </w:p>
    <w:p>
      <w:pPr>
        <w:spacing w:before="169"/>
        <w:ind w:left="2096" w:right="0" w:firstLine="0"/>
        <w:jc w:val="left"/>
        <w:rPr>
          <w:i/>
          <w:sz w:val="18"/>
        </w:rPr>
      </w:pPr>
      <w:bookmarkStart w:name="_bookmark109" w:id="181"/>
      <w:bookmarkEnd w:id="181"/>
      <w:r>
        <w:rPr/>
      </w:r>
      <w:r>
        <w:rPr>
          <w:i/>
          <w:color w:val="44536A"/>
          <w:sz w:val="18"/>
        </w:rPr>
        <w:t>Figure 26 : Les inhibiteurs de HIF-1 peuvent agir à différents niveaux.</w:t>
      </w:r>
    </w:p>
    <w:p>
      <w:pPr>
        <w:pStyle w:val="BodyText"/>
        <w:rPr>
          <w:i/>
          <w:sz w:val="20"/>
        </w:rPr>
      </w:pPr>
    </w:p>
    <w:p>
      <w:pPr>
        <w:pStyle w:val="BodyText"/>
        <w:rPr>
          <w:i/>
          <w:sz w:val="20"/>
        </w:rPr>
      </w:pPr>
    </w:p>
    <w:p>
      <w:pPr>
        <w:pStyle w:val="BodyText"/>
        <w:spacing w:before="8"/>
        <w:rPr>
          <w:i/>
          <w:sz w:val="19"/>
        </w:rPr>
      </w:pPr>
    </w:p>
    <w:p>
      <w:pPr>
        <w:pStyle w:val="ListParagraph"/>
        <w:numPr>
          <w:ilvl w:val="0"/>
          <w:numId w:val="17"/>
        </w:numPr>
        <w:tabs>
          <w:tab w:pos="1110" w:val="left" w:leader="none"/>
        </w:tabs>
        <w:spacing w:line="240" w:lineRule="auto" w:before="0" w:after="0"/>
        <w:ind w:left="1110" w:right="0" w:hanging="360"/>
        <w:jc w:val="left"/>
        <w:rPr>
          <w:sz w:val="24"/>
        </w:rPr>
      </w:pPr>
      <w:bookmarkStart w:name="_bookmark110" w:id="182"/>
      <w:bookmarkEnd w:id="182"/>
      <w:r>
        <w:rPr/>
      </w:r>
      <w:bookmarkStart w:name="_bookmark110" w:id="183"/>
      <w:bookmarkEnd w:id="183"/>
      <w:r>
        <w:rPr>
          <w:sz w:val="24"/>
          <w:u w:val="single"/>
        </w:rPr>
        <w:t>C</w:t>
      </w:r>
      <w:r>
        <w:rPr>
          <w:sz w:val="24"/>
          <w:u w:val="single"/>
        </w:rPr>
        <w:t>ibler l’ARN messager de HIF-1-</w:t>
      </w:r>
      <w:r>
        <w:rPr>
          <w:rFonts w:ascii="Symbol" w:hAnsi="Symbol"/>
          <w:sz w:val="24"/>
          <w:u w:val="single"/>
        </w:rPr>
        <w:t></w:t>
      </w:r>
      <w:r>
        <w:rPr>
          <w:sz w:val="24"/>
          <w:u w:val="single"/>
        </w:rPr>
        <w:t> et sa</w:t>
      </w:r>
      <w:r>
        <w:rPr>
          <w:spacing w:val="-16"/>
          <w:sz w:val="24"/>
          <w:u w:val="single"/>
        </w:rPr>
        <w:t> </w:t>
      </w:r>
      <w:r>
        <w:rPr>
          <w:sz w:val="24"/>
          <w:u w:val="single"/>
        </w:rPr>
        <w:t>transcription</w:t>
      </w:r>
    </w:p>
    <w:p>
      <w:pPr>
        <w:pStyle w:val="BodyText"/>
        <w:rPr>
          <w:sz w:val="20"/>
        </w:rPr>
      </w:pPr>
    </w:p>
    <w:p>
      <w:pPr>
        <w:pStyle w:val="BodyText"/>
        <w:spacing w:before="9"/>
        <w:rPr>
          <w:sz w:val="21"/>
        </w:rPr>
      </w:pPr>
    </w:p>
    <w:p>
      <w:pPr>
        <w:pStyle w:val="BodyText"/>
        <w:spacing w:line="276" w:lineRule="auto"/>
        <w:ind w:left="116" w:right="114" w:firstLine="707"/>
        <w:jc w:val="both"/>
      </w:pPr>
      <w:r>
        <w:rPr/>
        <w:t>Le </w:t>
      </w:r>
      <w:r>
        <w:rPr>
          <w:b/>
          <w:u w:val="thick"/>
        </w:rPr>
        <w:t>SN-38</w:t>
      </w:r>
      <w:r>
        <w:rPr>
          <w:b/>
        </w:rPr>
        <w:t> </w:t>
      </w:r>
      <w:r>
        <w:rPr/>
        <w:t>est le métabolite actif de l’</w:t>
      </w:r>
      <w:r>
        <w:rPr>
          <w:b/>
          <w:u w:val="thick"/>
        </w:rPr>
        <w:t>irinotécan</w:t>
      </w:r>
      <w:r>
        <w:rPr/>
        <w:t>, un inhibiteur de la toposisomérase 1 (enzyme permettant la transcription de l’ADN). Le SN-38 a également une action sur la transcription de l’ARNm de HIF-1-</w:t>
      </w:r>
      <w:r>
        <w:rPr>
          <w:rFonts w:ascii="Symbol" w:hAnsi="Symbol"/>
        </w:rPr>
        <w:t></w:t>
      </w:r>
      <w:r>
        <w:rPr/>
        <w:t> (Kamiyama et al., 2005). L’irinotécan montre des propriétés synergiques avec l’axitinib dans le traitement du cancer du pancréas (Canu et al., 2011). Il est utilisé en chimiothérapie classique pour le traitement des cancers colorectaux. Le SN-38 limite quant à lui la prolifération tumorale </w:t>
      </w:r>
      <w:r>
        <w:rPr>
          <w:b/>
          <w:i/>
        </w:rPr>
        <w:t>in vitro </w:t>
      </w:r>
      <w:r>
        <w:rPr/>
        <w:t>et </w:t>
      </w:r>
      <w:r>
        <w:rPr>
          <w:b/>
          <w:i/>
        </w:rPr>
        <w:t>in vivo </w:t>
      </w:r>
      <w:r>
        <w:rPr/>
        <w:t>dans un modèle de cancer du poumon (Maurya et al., 2011).</w:t>
      </w:r>
    </w:p>
    <w:p>
      <w:pPr>
        <w:pStyle w:val="BodyText"/>
        <w:spacing w:line="276" w:lineRule="auto" w:before="163"/>
        <w:ind w:left="116" w:right="116" w:firstLine="707"/>
        <w:jc w:val="both"/>
      </w:pPr>
      <w:r>
        <w:rPr>
          <w:b/>
          <w:u w:val="thick"/>
        </w:rPr>
        <w:t>EZN-2968</w:t>
      </w:r>
      <w:r>
        <w:rPr>
          <w:b/>
        </w:rPr>
        <w:t> </w:t>
      </w:r>
      <w:r>
        <w:rPr/>
        <w:t>est un antagoniste de l’ARNm de HIF-1-</w:t>
      </w:r>
      <w:r>
        <w:rPr>
          <w:rFonts w:ascii="Symbol" w:hAnsi="Symbol"/>
        </w:rPr>
        <w:t></w:t>
      </w:r>
      <w:r>
        <w:rPr/>
        <w:t>. </w:t>
      </w:r>
      <w:r>
        <w:rPr>
          <w:b/>
          <w:i/>
        </w:rPr>
        <w:t>In vitro</w:t>
      </w:r>
      <w:r>
        <w:rPr/>
        <w:t>, dans des lignées cellulaires de cancer de prostate et de glioblastome, EZN-2968 induit une inhibition de la croissance des cellules tumorales. </w:t>
      </w:r>
      <w:r>
        <w:rPr>
          <w:b/>
          <w:i/>
        </w:rPr>
        <w:t>In vivo</w:t>
      </w:r>
      <w:r>
        <w:rPr/>
        <w:t>, dans un modèle de souris nude de cancer de la prostate, le traitement à base de EZN-2968 entraîne une réduction de la masse tumorale (Greenberger et al., 2008).</w:t>
      </w:r>
    </w:p>
    <w:p>
      <w:pPr>
        <w:spacing w:after="0" w:line="276" w:lineRule="auto"/>
        <w:jc w:val="both"/>
        <w:sectPr>
          <w:pgSz w:w="11910" w:h="16840"/>
          <w:pgMar w:header="0" w:footer="995" w:top="1320" w:bottom="1240" w:left="1300" w:right="1300"/>
        </w:sectPr>
      </w:pPr>
    </w:p>
    <w:p>
      <w:pPr>
        <w:pStyle w:val="BodyText"/>
        <w:spacing w:line="276" w:lineRule="auto" w:before="72"/>
        <w:ind w:left="116" w:right="116" w:firstLine="707"/>
        <w:jc w:val="both"/>
      </w:pPr>
      <w:r>
        <w:rPr/>
        <w:t>L’utilisation du </w:t>
      </w:r>
      <w:r>
        <w:rPr>
          <w:b/>
          <w:u w:val="thick"/>
        </w:rPr>
        <w:t>EZN-2208</w:t>
      </w:r>
      <w:r>
        <w:rPr/>
        <w:t>, agissant sur l’ARNm de HIF-1-</w:t>
      </w:r>
      <w:r>
        <w:rPr>
          <w:rFonts w:ascii="Symbol" w:hAnsi="Symbol"/>
        </w:rPr>
        <w:t></w:t>
      </w:r>
      <w:r>
        <w:rPr/>
        <w:t>, limite l’angiogenèse </w:t>
      </w:r>
      <w:r>
        <w:rPr>
          <w:b/>
          <w:i/>
        </w:rPr>
        <w:t>in </w:t>
      </w:r>
      <w:r>
        <w:rPr>
          <w:b/>
          <w:i/>
        </w:rPr>
        <w:t>vitro</w:t>
      </w:r>
      <w:r>
        <w:rPr>
          <w:b/>
          <w:i/>
          <w:spacing w:val="-6"/>
        </w:rPr>
        <w:t> </w:t>
      </w:r>
      <w:r>
        <w:rPr/>
        <w:t>et</w:t>
      </w:r>
      <w:r>
        <w:rPr>
          <w:spacing w:val="-6"/>
        </w:rPr>
        <w:t> </w:t>
      </w:r>
      <w:r>
        <w:rPr>
          <w:b/>
          <w:i/>
        </w:rPr>
        <w:t>in</w:t>
      </w:r>
      <w:r>
        <w:rPr>
          <w:b/>
          <w:i/>
          <w:spacing w:val="-5"/>
        </w:rPr>
        <w:t> </w:t>
      </w:r>
      <w:r>
        <w:rPr>
          <w:b/>
          <w:i/>
        </w:rPr>
        <w:t>vivo</w:t>
      </w:r>
      <w:r>
        <w:rPr>
          <w:b/>
          <w:i/>
          <w:spacing w:val="-6"/>
        </w:rPr>
        <w:t> </w:t>
      </w:r>
      <w:r>
        <w:rPr/>
        <w:t>(xénogreffe</w:t>
      </w:r>
      <w:r>
        <w:rPr>
          <w:spacing w:val="-8"/>
        </w:rPr>
        <w:t> </w:t>
      </w:r>
      <w:r>
        <w:rPr/>
        <w:t>de</w:t>
      </w:r>
      <w:r>
        <w:rPr>
          <w:spacing w:val="-5"/>
        </w:rPr>
        <w:t> </w:t>
      </w:r>
      <w:r>
        <w:rPr/>
        <w:t>gliome)</w:t>
      </w:r>
      <w:r>
        <w:rPr>
          <w:spacing w:val="-6"/>
        </w:rPr>
        <w:t> </w:t>
      </w:r>
      <w:r>
        <w:rPr/>
        <w:t>(Sapra</w:t>
      </w:r>
      <w:r>
        <w:rPr>
          <w:spacing w:val="-8"/>
        </w:rPr>
        <w:t> </w:t>
      </w:r>
      <w:r>
        <w:rPr/>
        <w:t>et</w:t>
      </w:r>
      <w:r>
        <w:rPr>
          <w:spacing w:val="-6"/>
        </w:rPr>
        <w:t> </w:t>
      </w:r>
      <w:r>
        <w:rPr/>
        <w:t>al.,</w:t>
      </w:r>
      <w:r>
        <w:rPr>
          <w:spacing w:val="-6"/>
        </w:rPr>
        <w:t> </w:t>
      </w:r>
      <w:r>
        <w:rPr/>
        <w:t>2011).</w:t>
      </w:r>
      <w:r>
        <w:rPr>
          <w:spacing w:val="-6"/>
        </w:rPr>
        <w:t> </w:t>
      </w:r>
      <w:r>
        <w:rPr/>
        <w:t>Son</w:t>
      </w:r>
      <w:r>
        <w:rPr>
          <w:spacing w:val="-6"/>
        </w:rPr>
        <w:t> </w:t>
      </w:r>
      <w:r>
        <w:rPr/>
        <w:t>utilisation</w:t>
      </w:r>
      <w:r>
        <w:rPr>
          <w:spacing w:val="-6"/>
        </w:rPr>
        <w:t> </w:t>
      </w:r>
      <w:r>
        <w:rPr/>
        <w:t>pour</w:t>
      </w:r>
      <w:r>
        <w:rPr>
          <w:spacing w:val="-7"/>
        </w:rPr>
        <w:t> </w:t>
      </w:r>
      <w:r>
        <w:rPr/>
        <w:t>le</w:t>
      </w:r>
      <w:r>
        <w:rPr>
          <w:spacing w:val="-7"/>
        </w:rPr>
        <w:t> </w:t>
      </w:r>
      <w:r>
        <w:rPr/>
        <w:t>traitement</w:t>
      </w:r>
      <w:r>
        <w:rPr>
          <w:spacing w:val="-6"/>
        </w:rPr>
        <w:t> </w:t>
      </w:r>
      <w:r>
        <w:rPr/>
        <w:t>du lymphome non Hodgkinien apparaît efficace (Sapra et al.,</w:t>
      </w:r>
      <w:r>
        <w:rPr>
          <w:spacing w:val="-11"/>
        </w:rPr>
        <w:t> </w:t>
      </w:r>
      <w:r>
        <w:rPr/>
        <w:t>2009).</w:t>
      </w:r>
    </w:p>
    <w:p>
      <w:pPr>
        <w:pStyle w:val="BodyText"/>
        <w:rPr>
          <w:sz w:val="26"/>
        </w:rPr>
      </w:pPr>
    </w:p>
    <w:p>
      <w:pPr>
        <w:pStyle w:val="BodyText"/>
        <w:spacing w:before="7"/>
        <w:rPr>
          <w:sz w:val="29"/>
        </w:rPr>
      </w:pPr>
    </w:p>
    <w:p>
      <w:pPr>
        <w:pStyle w:val="ListParagraph"/>
        <w:numPr>
          <w:ilvl w:val="0"/>
          <w:numId w:val="17"/>
        </w:numPr>
        <w:tabs>
          <w:tab w:pos="1110" w:val="left" w:leader="none"/>
        </w:tabs>
        <w:spacing w:line="240" w:lineRule="auto" w:before="0" w:after="0"/>
        <w:ind w:left="1110" w:right="0" w:hanging="360"/>
        <w:jc w:val="left"/>
        <w:rPr>
          <w:sz w:val="24"/>
        </w:rPr>
      </w:pPr>
      <w:bookmarkStart w:name="_bookmark111" w:id="184"/>
      <w:bookmarkEnd w:id="184"/>
      <w:r>
        <w:rPr/>
      </w:r>
      <w:bookmarkStart w:name="_bookmark111" w:id="185"/>
      <w:bookmarkEnd w:id="185"/>
      <w:r>
        <w:rPr>
          <w:sz w:val="24"/>
          <w:u w:val="single"/>
        </w:rPr>
        <w:t>I</w:t>
      </w:r>
      <w:r>
        <w:rPr>
          <w:sz w:val="24"/>
          <w:u w:val="single"/>
        </w:rPr>
        <w:t>nhiber les modifications post-transcriptionnelles et la traduction</w:t>
      </w:r>
      <w:r>
        <w:rPr>
          <w:spacing w:val="-14"/>
          <w:sz w:val="24"/>
          <w:u w:val="single"/>
        </w:rPr>
        <w:t> </w:t>
      </w:r>
      <w:r>
        <w:rPr>
          <w:sz w:val="24"/>
          <w:u w:val="single"/>
        </w:rPr>
        <w:t>protéique</w:t>
      </w:r>
    </w:p>
    <w:p>
      <w:pPr>
        <w:pStyle w:val="BodyText"/>
        <w:rPr>
          <w:sz w:val="20"/>
        </w:rPr>
      </w:pPr>
    </w:p>
    <w:p>
      <w:pPr>
        <w:pStyle w:val="BodyText"/>
        <w:spacing w:before="3"/>
        <w:rPr>
          <w:sz w:val="17"/>
        </w:rPr>
      </w:pPr>
    </w:p>
    <w:p>
      <w:pPr>
        <w:pStyle w:val="BodyText"/>
        <w:spacing w:line="276" w:lineRule="auto" w:before="90"/>
        <w:ind w:left="116" w:right="113" w:firstLine="707"/>
        <w:jc w:val="both"/>
      </w:pPr>
      <w:r>
        <w:rPr/>
        <w:t>Le traitement de cellules cancéreuses du sein et de la prostate à l’aide du </w:t>
      </w:r>
      <w:r>
        <w:rPr>
          <w:b/>
          <w:u w:val="thick"/>
        </w:rPr>
        <w:t>Diphényl</w:t>
      </w:r>
      <w:r>
        <w:rPr>
          <w:b/>
        </w:rPr>
        <w:t> </w:t>
      </w:r>
      <w:r>
        <w:rPr>
          <w:b/>
          <w:u w:val="thick"/>
        </w:rPr>
        <w:t>difluorocétone (EF24)</w:t>
      </w:r>
      <w:r>
        <w:rPr>
          <w:b/>
        </w:rPr>
        <w:t> </w:t>
      </w:r>
      <w:r>
        <w:rPr/>
        <w:t>entraîne l’inhibition de l’activité transcriptionnelle de HIF-1-</w:t>
      </w:r>
      <w:r>
        <w:rPr>
          <w:rFonts w:ascii="Symbol" w:hAnsi="Symbol"/>
        </w:rPr>
        <w:t></w:t>
      </w:r>
      <w:r>
        <w:rPr/>
        <w:t> L’EF24 agit au niveau des modifications post transcriptionnelles de HIF-1-</w:t>
      </w:r>
      <w:r>
        <w:rPr>
          <w:rFonts w:ascii="Symbol" w:hAnsi="Symbol"/>
        </w:rPr>
        <w:t></w:t>
      </w:r>
      <w:r>
        <w:rPr/>
        <w:t> (Thomas et al., 2008). Comme expliqué précédemment (II.D.2), HIF-1-</w:t>
      </w:r>
      <w:r>
        <w:rPr>
          <w:rFonts w:ascii="Symbol" w:hAnsi="Symbol"/>
        </w:rPr>
        <w:t></w:t>
      </w:r>
      <w:r>
        <w:rPr/>
        <w:t> est un facteur régulant la glycolyse aérobie d’une part, et l’expression des GLUT1 d’autre part. L’utilisation d’inhibiteur de HIF- 1-</w:t>
      </w:r>
      <w:r>
        <w:rPr>
          <w:rFonts w:ascii="Symbol" w:hAnsi="Symbol"/>
        </w:rPr>
        <w:t></w:t>
      </w:r>
      <w:r>
        <w:rPr/>
        <w:t> joue donc sur ces deux voies, et conduit à la diminution de la prolifération des cellules cancéreuses.</w:t>
      </w:r>
    </w:p>
    <w:p>
      <w:pPr>
        <w:pStyle w:val="BodyText"/>
        <w:spacing w:line="276" w:lineRule="auto" w:before="161"/>
        <w:ind w:left="116" w:right="113" w:firstLine="707"/>
        <w:jc w:val="both"/>
      </w:pPr>
      <w:r>
        <w:rPr/>
        <w:t>Ensuite,</w:t>
      </w:r>
      <w:r>
        <w:rPr>
          <w:spacing w:val="-11"/>
        </w:rPr>
        <w:t> </w:t>
      </w:r>
      <w:r>
        <w:rPr/>
        <w:t>la</w:t>
      </w:r>
      <w:r>
        <w:rPr>
          <w:spacing w:val="-12"/>
        </w:rPr>
        <w:t> </w:t>
      </w:r>
      <w:r>
        <w:rPr>
          <w:b/>
          <w:u w:val="thick"/>
        </w:rPr>
        <w:t>digoxine</w:t>
      </w:r>
      <w:r>
        <w:rPr/>
        <w:t>,</w:t>
      </w:r>
      <w:r>
        <w:rPr>
          <w:spacing w:val="-11"/>
        </w:rPr>
        <w:t> </w:t>
      </w:r>
      <w:r>
        <w:rPr/>
        <w:t>glycoside</w:t>
      </w:r>
      <w:r>
        <w:rPr>
          <w:spacing w:val="-11"/>
        </w:rPr>
        <w:t> </w:t>
      </w:r>
      <w:r>
        <w:rPr/>
        <w:t>cardiotonique,</w:t>
      </w:r>
      <w:r>
        <w:rPr>
          <w:spacing w:val="-11"/>
        </w:rPr>
        <w:t> </w:t>
      </w:r>
      <w:r>
        <w:rPr/>
        <w:t>inhibe</w:t>
      </w:r>
      <w:r>
        <w:rPr>
          <w:spacing w:val="-12"/>
        </w:rPr>
        <w:t> </w:t>
      </w:r>
      <w:r>
        <w:rPr/>
        <w:t>la</w:t>
      </w:r>
      <w:r>
        <w:rPr>
          <w:spacing w:val="-12"/>
        </w:rPr>
        <w:t> </w:t>
      </w:r>
      <w:r>
        <w:rPr/>
        <w:t>traduction</w:t>
      </w:r>
      <w:r>
        <w:rPr>
          <w:spacing w:val="-11"/>
        </w:rPr>
        <w:t> </w:t>
      </w:r>
      <w:r>
        <w:rPr/>
        <w:t>d’une</w:t>
      </w:r>
      <w:r>
        <w:rPr>
          <w:spacing w:val="-13"/>
        </w:rPr>
        <w:t> </w:t>
      </w:r>
      <w:r>
        <w:rPr/>
        <w:t>unité</w:t>
      </w:r>
      <w:r>
        <w:rPr>
          <w:spacing w:val="-11"/>
        </w:rPr>
        <w:t> </w:t>
      </w:r>
      <w:r>
        <w:rPr/>
        <w:t>protéique de HIF-1-</w:t>
      </w:r>
      <w:r>
        <w:rPr>
          <w:rFonts w:ascii="Symbol" w:hAnsi="Symbol"/>
        </w:rPr>
        <w:t></w:t>
      </w:r>
      <w:r>
        <w:rPr/>
        <w:t>. Cela réduit l’expression des gènes codant pour l’HK et les GLUT. La diminution de la prolifération cellulaire </w:t>
      </w:r>
      <w:r>
        <w:rPr>
          <w:b/>
          <w:i/>
        </w:rPr>
        <w:t>in vitro </w:t>
      </w:r>
      <w:r>
        <w:rPr/>
        <w:t>dans des modèles de cancer de la prostate en fait un excellent candidat (Platz et al., 2011). Dans des modèles de souris de lymphome, l’injection intrapéritonéale de 0,5 ou 2 mg/kg de digoxine inhibe la croissance tumorale de manière dose dépendante (Zhang et al.,</w:t>
      </w:r>
      <w:r>
        <w:rPr>
          <w:spacing w:val="-2"/>
        </w:rPr>
        <w:t> </w:t>
      </w:r>
      <w:r>
        <w:rPr/>
        <w:t>2008).</w:t>
      </w:r>
    </w:p>
    <w:p>
      <w:pPr>
        <w:pStyle w:val="BodyText"/>
        <w:spacing w:line="276" w:lineRule="auto" w:before="163"/>
        <w:ind w:left="116" w:right="114" w:firstLine="707"/>
        <w:jc w:val="both"/>
      </w:pPr>
      <w:r>
        <w:rPr/>
        <w:t>Enfin,</w:t>
      </w:r>
      <w:r>
        <w:rPr>
          <w:spacing w:val="-6"/>
        </w:rPr>
        <w:t> </w:t>
      </w:r>
      <w:r>
        <w:rPr/>
        <w:t>le</w:t>
      </w:r>
      <w:r>
        <w:rPr>
          <w:spacing w:val="-7"/>
        </w:rPr>
        <w:t> </w:t>
      </w:r>
      <w:r>
        <w:rPr>
          <w:b/>
          <w:u w:val="thick"/>
        </w:rPr>
        <w:t>topotécan</w:t>
      </w:r>
      <w:r>
        <w:rPr/>
        <w:t>,</w:t>
      </w:r>
      <w:r>
        <w:rPr>
          <w:spacing w:val="-6"/>
        </w:rPr>
        <w:t> </w:t>
      </w:r>
      <w:r>
        <w:rPr/>
        <w:t>un</w:t>
      </w:r>
      <w:r>
        <w:rPr>
          <w:spacing w:val="-4"/>
        </w:rPr>
        <w:t> </w:t>
      </w:r>
      <w:r>
        <w:rPr/>
        <w:t>inhibiteur</w:t>
      </w:r>
      <w:r>
        <w:rPr>
          <w:spacing w:val="-7"/>
        </w:rPr>
        <w:t> </w:t>
      </w:r>
      <w:r>
        <w:rPr/>
        <w:t>de</w:t>
      </w:r>
      <w:r>
        <w:rPr>
          <w:spacing w:val="-7"/>
        </w:rPr>
        <w:t> </w:t>
      </w:r>
      <w:r>
        <w:rPr/>
        <w:t>la</w:t>
      </w:r>
      <w:r>
        <w:rPr>
          <w:spacing w:val="-4"/>
        </w:rPr>
        <w:t> </w:t>
      </w:r>
      <w:r>
        <w:rPr/>
        <w:t>topoisomérase</w:t>
      </w:r>
      <w:r>
        <w:rPr>
          <w:spacing w:val="-6"/>
        </w:rPr>
        <w:t> </w:t>
      </w:r>
      <w:r>
        <w:rPr/>
        <w:t>1,</w:t>
      </w:r>
      <w:r>
        <w:rPr>
          <w:spacing w:val="-4"/>
        </w:rPr>
        <w:t> </w:t>
      </w:r>
      <w:r>
        <w:rPr/>
        <w:t>agit</w:t>
      </w:r>
      <w:r>
        <w:rPr>
          <w:spacing w:val="-3"/>
        </w:rPr>
        <w:t> </w:t>
      </w:r>
      <w:r>
        <w:rPr/>
        <w:t>également</w:t>
      </w:r>
      <w:r>
        <w:rPr>
          <w:spacing w:val="-4"/>
        </w:rPr>
        <w:t> </w:t>
      </w:r>
      <w:r>
        <w:rPr/>
        <w:t>au</w:t>
      </w:r>
      <w:r>
        <w:rPr>
          <w:spacing w:val="-4"/>
        </w:rPr>
        <w:t> </w:t>
      </w:r>
      <w:r>
        <w:rPr/>
        <w:t>niveau</w:t>
      </w:r>
      <w:r>
        <w:rPr>
          <w:spacing w:val="-6"/>
        </w:rPr>
        <w:t> </w:t>
      </w:r>
      <w:r>
        <w:rPr/>
        <w:t>de</w:t>
      </w:r>
      <w:r>
        <w:rPr>
          <w:spacing w:val="-5"/>
        </w:rPr>
        <w:t> </w:t>
      </w:r>
      <w:r>
        <w:rPr/>
        <w:t>la traduction protéique de HIF-1-</w:t>
      </w:r>
      <w:r>
        <w:rPr>
          <w:rFonts w:ascii="Symbol" w:hAnsi="Symbol"/>
        </w:rPr>
        <w:t></w:t>
      </w:r>
      <w:r>
        <w:rPr/>
        <w:t> (Rapisarda et al., 2004). Son utilisation en association avec le pazopanib montre des effets prometteurs </w:t>
      </w:r>
      <w:r>
        <w:rPr>
          <w:b/>
          <w:i/>
        </w:rPr>
        <w:t>in vitro </w:t>
      </w:r>
      <w:r>
        <w:rPr/>
        <w:t>dans le traitement du cancer du sein (Di Desidero et al.,</w:t>
      </w:r>
      <w:r>
        <w:rPr>
          <w:spacing w:val="-5"/>
        </w:rPr>
        <w:t> </w:t>
      </w:r>
      <w:r>
        <w:rPr/>
        <w:t>2015).</w:t>
      </w:r>
    </w:p>
    <w:p>
      <w:pPr>
        <w:pStyle w:val="BodyText"/>
        <w:rPr>
          <w:sz w:val="26"/>
        </w:rPr>
      </w:pPr>
    </w:p>
    <w:p>
      <w:pPr>
        <w:pStyle w:val="BodyText"/>
        <w:spacing w:before="6"/>
        <w:rPr>
          <w:sz w:val="29"/>
        </w:rPr>
      </w:pPr>
    </w:p>
    <w:p>
      <w:pPr>
        <w:pStyle w:val="BodyText"/>
        <w:ind w:left="750"/>
      </w:pPr>
      <w:bookmarkStart w:name="_bookmark112" w:id="186"/>
      <w:bookmarkEnd w:id="186"/>
      <w:r>
        <w:rPr/>
      </w:r>
      <w:r>
        <w:rPr>
          <w:rFonts w:ascii="Symbol" w:hAnsi="Symbol"/>
        </w:rPr>
        <w:t></w:t>
      </w:r>
      <w:r>
        <w:rPr/>
        <w:t>   </w:t>
      </w:r>
      <w:r>
        <w:rPr>
          <w:u w:val="single"/>
        </w:rPr>
        <w:t>Inhiber les versions protéiques de HIF-1-</w:t>
      </w:r>
      <w:r>
        <w:rPr>
          <w:rFonts w:ascii="Symbol" w:hAnsi="Symbol"/>
          <w:u w:val="single"/>
        </w:rPr>
        <w:t></w:t>
      </w:r>
      <w:r>
        <w:rPr>
          <w:u w:val="single"/>
        </w:rPr>
        <w:t> et de HIF-1</w:t>
      </w:r>
    </w:p>
    <w:p>
      <w:pPr>
        <w:pStyle w:val="BodyText"/>
        <w:rPr>
          <w:sz w:val="20"/>
        </w:rPr>
      </w:pPr>
    </w:p>
    <w:p>
      <w:pPr>
        <w:pStyle w:val="BodyText"/>
        <w:spacing w:before="7"/>
        <w:rPr>
          <w:sz w:val="17"/>
        </w:rPr>
      </w:pPr>
    </w:p>
    <w:p>
      <w:pPr>
        <w:pStyle w:val="BodyText"/>
        <w:spacing w:line="276" w:lineRule="auto" w:before="90"/>
        <w:ind w:left="116" w:right="113" w:firstLine="707"/>
        <w:jc w:val="both"/>
      </w:pPr>
      <w:r>
        <w:rPr>
          <w:b/>
          <w:u w:val="thick"/>
        </w:rPr>
        <w:t>PX-478</w:t>
      </w:r>
      <w:r>
        <w:rPr>
          <w:b/>
        </w:rPr>
        <w:t> </w:t>
      </w:r>
      <w:r>
        <w:rPr/>
        <w:t>(acide S-2-amino-3-[4'-N,N,-bis(2-chloroéthyl)amino]phényl propionique N- oxyde dihydrochloride) est un inhibiteur de HIF-1-</w:t>
      </w:r>
      <w:r>
        <w:rPr>
          <w:rFonts w:ascii="Symbol" w:hAnsi="Symbol"/>
        </w:rPr>
        <w:t></w:t>
      </w:r>
      <w:r>
        <w:rPr/>
        <w:t> , et donc de l’activité de HIF-1. Son activité</w:t>
      </w:r>
      <w:r>
        <w:rPr>
          <w:spacing w:val="-17"/>
        </w:rPr>
        <w:t> </w:t>
      </w:r>
      <w:r>
        <w:rPr/>
        <w:t>antitumorale</w:t>
      </w:r>
      <w:r>
        <w:rPr>
          <w:spacing w:val="-14"/>
        </w:rPr>
        <w:t> </w:t>
      </w:r>
      <w:r>
        <w:rPr/>
        <w:t>est</w:t>
      </w:r>
      <w:r>
        <w:rPr>
          <w:spacing w:val="-15"/>
        </w:rPr>
        <w:t> </w:t>
      </w:r>
      <w:r>
        <w:rPr/>
        <w:t>démontrée</w:t>
      </w:r>
      <w:r>
        <w:rPr>
          <w:spacing w:val="-17"/>
        </w:rPr>
        <w:t> </w:t>
      </w:r>
      <w:r>
        <w:rPr/>
        <w:t>pour</w:t>
      </w:r>
      <w:r>
        <w:rPr>
          <w:spacing w:val="-14"/>
        </w:rPr>
        <w:t> </w:t>
      </w:r>
      <w:r>
        <w:rPr/>
        <w:t>des</w:t>
      </w:r>
      <w:r>
        <w:rPr>
          <w:spacing w:val="-13"/>
        </w:rPr>
        <w:t> </w:t>
      </w:r>
      <w:r>
        <w:rPr/>
        <w:t>xénogreffes</w:t>
      </w:r>
      <w:r>
        <w:rPr>
          <w:spacing w:val="-16"/>
        </w:rPr>
        <w:t> </w:t>
      </w:r>
      <w:r>
        <w:rPr/>
        <w:t>de</w:t>
      </w:r>
      <w:r>
        <w:rPr>
          <w:spacing w:val="-15"/>
        </w:rPr>
        <w:t> </w:t>
      </w:r>
      <w:r>
        <w:rPr/>
        <w:t>tumeurs</w:t>
      </w:r>
      <w:r>
        <w:rPr>
          <w:spacing w:val="-16"/>
        </w:rPr>
        <w:t> </w:t>
      </w:r>
      <w:r>
        <w:rPr/>
        <w:t>humaines</w:t>
      </w:r>
      <w:r>
        <w:rPr>
          <w:spacing w:val="-16"/>
        </w:rPr>
        <w:t> </w:t>
      </w:r>
      <w:r>
        <w:rPr/>
        <w:t>comme</w:t>
      </w:r>
      <w:r>
        <w:rPr>
          <w:spacing w:val="-17"/>
        </w:rPr>
        <w:t> </w:t>
      </w:r>
      <w:r>
        <w:rPr/>
        <w:t>le</w:t>
      </w:r>
      <w:r>
        <w:rPr>
          <w:spacing w:val="-11"/>
        </w:rPr>
        <w:t> </w:t>
      </w:r>
      <w:r>
        <w:rPr/>
        <w:t>cancer du côlon (Welsh et al.,</w:t>
      </w:r>
      <w:r>
        <w:rPr>
          <w:spacing w:val="-5"/>
        </w:rPr>
        <w:t> </w:t>
      </w:r>
      <w:r>
        <w:rPr/>
        <w:t>2004).</w:t>
      </w:r>
    </w:p>
    <w:p>
      <w:pPr>
        <w:pStyle w:val="BodyText"/>
        <w:spacing w:line="276" w:lineRule="auto" w:before="163"/>
        <w:ind w:left="116" w:right="115" w:firstLine="707"/>
        <w:jc w:val="both"/>
      </w:pPr>
      <w:r>
        <w:rPr/>
        <w:t>Le développement de </w:t>
      </w:r>
      <w:r>
        <w:rPr>
          <w:b/>
          <w:u w:val="thick"/>
        </w:rPr>
        <w:t>siARN</w:t>
      </w:r>
      <w:r>
        <w:rPr>
          <w:b/>
        </w:rPr>
        <w:t> </w:t>
      </w:r>
      <w:r>
        <w:rPr/>
        <w:t>dirigé contre HIF-1 permet d’induire l’apoptose de cellules de mélanome malin (Chen et al., 2016).</w:t>
      </w:r>
    </w:p>
    <w:p>
      <w:pPr>
        <w:pStyle w:val="BodyText"/>
        <w:spacing w:line="276" w:lineRule="auto" w:before="163"/>
        <w:ind w:left="116" w:right="112" w:firstLine="707"/>
        <w:jc w:val="both"/>
      </w:pPr>
      <w:r>
        <w:rPr/>
        <w:t>La revue de Masoud et Li présente également d’autres inhibiteurs qui ne ciblent pas directement les versions protéiques de HIF-1 mais les protéines avec lesquelles ce dernier interagit</w:t>
      </w:r>
      <w:r>
        <w:rPr>
          <w:spacing w:val="-2"/>
        </w:rPr>
        <w:t> </w:t>
      </w:r>
      <w:r>
        <w:rPr/>
        <w:t>(Masoud</w:t>
      </w:r>
      <w:r>
        <w:rPr>
          <w:spacing w:val="-4"/>
        </w:rPr>
        <w:t> </w:t>
      </w:r>
      <w:r>
        <w:rPr/>
        <w:t>et</w:t>
      </w:r>
      <w:r>
        <w:rPr>
          <w:spacing w:val="-1"/>
        </w:rPr>
        <w:t> </w:t>
      </w:r>
      <w:r>
        <w:rPr/>
        <w:t>Li,</w:t>
      </w:r>
      <w:r>
        <w:rPr>
          <w:spacing w:val="-4"/>
        </w:rPr>
        <w:t> </w:t>
      </w:r>
      <w:r>
        <w:rPr/>
        <w:t>2015).</w:t>
      </w:r>
      <w:r>
        <w:rPr>
          <w:spacing w:val="-4"/>
        </w:rPr>
        <w:t> </w:t>
      </w:r>
      <w:r>
        <w:rPr/>
        <w:t>De</w:t>
      </w:r>
      <w:r>
        <w:rPr>
          <w:spacing w:val="-5"/>
        </w:rPr>
        <w:t> </w:t>
      </w:r>
      <w:r>
        <w:rPr/>
        <w:t>manière</w:t>
      </w:r>
      <w:r>
        <w:rPr>
          <w:spacing w:val="-6"/>
        </w:rPr>
        <w:t> </w:t>
      </w:r>
      <w:r>
        <w:rPr/>
        <w:t>indirecte,</w:t>
      </w:r>
      <w:r>
        <w:rPr>
          <w:spacing w:val="-4"/>
        </w:rPr>
        <w:t> </w:t>
      </w:r>
      <w:r>
        <w:rPr/>
        <w:t>ces</w:t>
      </w:r>
      <w:r>
        <w:rPr>
          <w:spacing w:val="-4"/>
        </w:rPr>
        <w:t> </w:t>
      </w:r>
      <w:r>
        <w:rPr/>
        <w:t>protéines</w:t>
      </w:r>
      <w:r>
        <w:rPr>
          <w:spacing w:val="-4"/>
        </w:rPr>
        <w:t> </w:t>
      </w:r>
      <w:r>
        <w:rPr/>
        <w:t>participent</w:t>
      </w:r>
      <w:r>
        <w:rPr>
          <w:spacing w:val="-3"/>
        </w:rPr>
        <w:t> </w:t>
      </w:r>
      <w:r>
        <w:rPr/>
        <w:t>à</w:t>
      </w:r>
      <w:r>
        <w:rPr>
          <w:spacing w:val="-5"/>
        </w:rPr>
        <w:t> </w:t>
      </w:r>
      <w:r>
        <w:rPr/>
        <w:t>la</w:t>
      </w:r>
      <w:r>
        <w:rPr>
          <w:spacing w:val="-4"/>
        </w:rPr>
        <w:t> </w:t>
      </w:r>
      <w:r>
        <w:rPr/>
        <w:t>stabilisation du facteur HIF-1 et leur inhibition conduit à une activité anormale de la</w:t>
      </w:r>
      <w:r>
        <w:rPr>
          <w:spacing w:val="-17"/>
        </w:rPr>
        <w:t> </w:t>
      </w:r>
      <w:r>
        <w:rPr/>
        <w:t>protéine.</w:t>
      </w:r>
    </w:p>
    <w:p>
      <w:pPr>
        <w:spacing w:after="0" w:line="276" w:lineRule="auto"/>
        <w:jc w:val="both"/>
        <w:sectPr>
          <w:pgSz w:w="11910" w:h="16840"/>
          <w:pgMar w:header="0" w:footer="995" w:top="1320" w:bottom="1240" w:left="1300" w:right="1300"/>
        </w:sectPr>
      </w:pPr>
    </w:p>
    <w:p>
      <w:pPr>
        <w:pStyle w:val="Heading3"/>
        <w:numPr>
          <w:ilvl w:val="1"/>
          <w:numId w:val="4"/>
        </w:numPr>
        <w:tabs>
          <w:tab w:pos="1535" w:val="left" w:leader="none"/>
        </w:tabs>
        <w:spacing w:line="240" w:lineRule="auto" w:before="75" w:after="0"/>
        <w:ind w:left="1534" w:right="0" w:hanging="360"/>
        <w:jc w:val="left"/>
      </w:pPr>
      <w:bookmarkStart w:name="_bookmark113" w:id="187"/>
      <w:bookmarkEnd w:id="187"/>
      <w:r>
        <w:rPr>
          <w:b w:val="0"/>
        </w:rPr>
      </w:r>
      <w:bookmarkStart w:name="_bookmark113" w:id="188"/>
      <w:bookmarkEnd w:id="188"/>
      <w:r>
        <w:rPr/>
        <w:t>C</w:t>
      </w:r>
      <w:r>
        <w:rPr/>
        <w:t>ibler la voie AMPK (AMP-activated protein</w:t>
      </w:r>
      <w:r>
        <w:rPr>
          <w:spacing w:val="-22"/>
        </w:rPr>
        <w:t> </w:t>
      </w:r>
      <w:r>
        <w:rPr/>
        <w:t>kinase)-mTOR</w:t>
      </w:r>
    </w:p>
    <w:p>
      <w:pPr>
        <w:pStyle w:val="BodyText"/>
        <w:rPr>
          <w:b/>
          <w:sz w:val="30"/>
        </w:rPr>
      </w:pPr>
    </w:p>
    <w:p>
      <w:pPr>
        <w:pStyle w:val="BodyText"/>
        <w:spacing w:line="276" w:lineRule="auto" w:before="178"/>
        <w:ind w:left="116" w:right="115" w:firstLine="707"/>
        <w:jc w:val="both"/>
      </w:pPr>
      <w:r>
        <w:rPr/>
        <w:t>Nous avons vu précédemment que l’activation de mTOR est un facteur d’agressivité tumorale, et que l’AMPK inhibe mTOR. L’hyperglycémie et l’hyperinsulinémie sont deux facteurs impliqués dans la tumorigenèse </w:t>
      </w:r>
      <w:r>
        <w:rPr>
          <w:i/>
        </w:rPr>
        <w:t>via </w:t>
      </w:r>
      <w:r>
        <w:rPr/>
        <w:t>différentes voies qui mènent directement ou indirectement à l’activation de mTOR.</w:t>
      </w:r>
    </w:p>
    <w:p>
      <w:pPr>
        <w:pStyle w:val="BodyText"/>
        <w:rPr>
          <w:sz w:val="26"/>
        </w:rPr>
      </w:pPr>
    </w:p>
    <w:p>
      <w:pPr>
        <w:pStyle w:val="BodyText"/>
        <w:spacing w:before="8"/>
        <w:rPr>
          <w:sz w:val="29"/>
        </w:rPr>
      </w:pPr>
    </w:p>
    <w:p>
      <w:pPr>
        <w:pStyle w:val="ListParagraph"/>
        <w:numPr>
          <w:ilvl w:val="0"/>
          <w:numId w:val="18"/>
        </w:numPr>
        <w:tabs>
          <w:tab w:pos="1110" w:val="left" w:leader="none"/>
        </w:tabs>
        <w:spacing w:line="240" w:lineRule="auto" w:before="1" w:after="0"/>
        <w:ind w:left="116" w:right="0" w:firstLine="634"/>
        <w:jc w:val="left"/>
        <w:rPr>
          <w:sz w:val="24"/>
        </w:rPr>
      </w:pPr>
      <w:bookmarkStart w:name="_bookmark114" w:id="189"/>
      <w:bookmarkEnd w:id="189"/>
      <w:r>
        <w:rPr/>
      </w:r>
      <w:bookmarkStart w:name="_bookmark114" w:id="190"/>
      <w:bookmarkEnd w:id="190"/>
      <w:r>
        <w:rPr>
          <w:sz w:val="24"/>
          <w:u w:val="single"/>
        </w:rPr>
        <w:t>L</w:t>
      </w:r>
      <w:r>
        <w:rPr>
          <w:sz w:val="24"/>
          <w:u w:val="single"/>
        </w:rPr>
        <w:t>a</w:t>
      </w:r>
      <w:r>
        <w:rPr>
          <w:spacing w:val="-4"/>
          <w:sz w:val="24"/>
          <w:u w:val="single"/>
        </w:rPr>
        <w:t> </w:t>
      </w:r>
      <w:r>
        <w:rPr>
          <w:sz w:val="24"/>
          <w:u w:val="single"/>
        </w:rPr>
        <w:t>metformine</w:t>
      </w:r>
    </w:p>
    <w:p>
      <w:pPr>
        <w:pStyle w:val="BodyText"/>
        <w:rPr>
          <w:sz w:val="20"/>
        </w:rPr>
      </w:pPr>
    </w:p>
    <w:p>
      <w:pPr>
        <w:pStyle w:val="BodyText"/>
        <w:spacing w:before="3"/>
        <w:rPr>
          <w:sz w:val="17"/>
        </w:rPr>
      </w:pPr>
    </w:p>
    <w:p>
      <w:pPr>
        <w:pStyle w:val="BodyText"/>
        <w:spacing w:line="276" w:lineRule="auto" w:before="90"/>
        <w:ind w:left="116" w:right="112" w:firstLine="707"/>
        <w:jc w:val="both"/>
      </w:pPr>
      <w:r>
        <w:rPr/>
        <w:t>L’intérêt</w:t>
      </w:r>
      <w:r>
        <w:rPr>
          <w:spacing w:val="-7"/>
        </w:rPr>
        <w:t> </w:t>
      </w:r>
      <w:r>
        <w:rPr/>
        <w:t>de</w:t>
      </w:r>
      <w:r>
        <w:rPr>
          <w:spacing w:val="-8"/>
        </w:rPr>
        <w:t> </w:t>
      </w:r>
      <w:r>
        <w:rPr/>
        <w:t>l’utilisation</w:t>
      </w:r>
      <w:r>
        <w:rPr>
          <w:spacing w:val="-6"/>
        </w:rPr>
        <w:t> </w:t>
      </w:r>
      <w:r>
        <w:rPr/>
        <w:t>de</w:t>
      </w:r>
      <w:r>
        <w:rPr>
          <w:spacing w:val="-8"/>
        </w:rPr>
        <w:t> </w:t>
      </w:r>
      <w:r>
        <w:rPr/>
        <w:t>ce</w:t>
      </w:r>
      <w:r>
        <w:rPr>
          <w:spacing w:val="-8"/>
        </w:rPr>
        <w:t> </w:t>
      </w:r>
      <w:r>
        <w:rPr/>
        <w:t>médicament</w:t>
      </w:r>
      <w:r>
        <w:rPr>
          <w:spacing w:val="-7"/>
        </w:rPr>
        <w:t> </w:t>
      </w:r>
      <w:r>
        <w:rPr/>
        <w:t>en</w:t>
      </w:r>
      <w:r>
        <w:rPr>
          <w:spacing w:val="-6"/>
        </w:rPr>
        <w:t> </w:t>
      </w:r>
      <w:r>
        <w:rPr/>
        <w:t>cancérologie</w:t>
      </w:r>
      <w:r>
        <w:rPr>
          <w:spacing w:val="-8"/>
        </w:rPr>
        <w:t> </w:t>
      </w:r>
      <w:r>
        <w:rPr/>
        <w:t>est</w:t>
      </w:r>
      <w:r>
        <w:rPr>
          <w:spacing w:val="-7"/>
        </w:rPr>
        <w:t> </w:t>
      </w:r>
      <w:r>
        <w:rPr/>
        <w:t>dû</w:t>
      </w:r>
      <w:r>
        <w:rPr>
          <w:spacing w:val="-7"/>
        </w:rPr>
        <w:t> </w:t>
      </w:r>
      <w:r>
        <w:rPr/>
        <w:t>aux</w:t>
      </w:r>
      <w:r>
        <w:rPr>
          <w:spacing w:val="-5"/>
        </w:rPr>
        <w:t> </w:t>
      </w:r>
      <w:r>
        <w:rPr/>
        <w:t>résultats</w:t>
      </w:r>
      <w:r>
        <w:rPr>
          <w:spacing w:val="-7"/>
        </w:rPr>
        <w:t> </w:t>
      </w:r>
      <w:r>
        <w:rPr/>
        <w:t>d’études épidémiologiques montrant une incidence réduite de cancer chez des patients diabétiques de type 2 prenant comme traitement de la metformine (Libby et al., 2009). </w:t>
      </w:r>
      <w:r>
        <w:rPr>
          <w:b/>
          <w:u w:val="thick"/>
        </w:rPr>
        <w:t>La metformine</w:t>
      </w:r>
      <w:r>
        <w:rPr>
          <w:b/>
        </w:rPr>
        <w:t> </w:t>
      </w:r>
      <w:r>
        <w:rPr/>
        <w:t>est initialement connue comme un activateur de l’AMPK, utilisée pour soigner le diabète de </w:t>
      </w:r>
      <w:r>
        <w:rPr>
          <w:spacing w:val="1"/>
        </w:rPr>
        <w:t> </w:t>
      </w:r>
      <w:r>
        <w:rPr/>
        <w:t>type</w:t>
      </w:r>
    </w:p>
    <w:p>
      <w:pPr>
        <w:pStyle w:val="ListParagraph"/>
        <w:numPr>
          <w:ilvl w:val="0"/>
          <w:numId w:val="18"/>
        </w:numPr>
        <w:tabs>
          <w:tab w:pos="355" w:val="left" w:leader="none"/>
        </w:tabs>
        <w:spacing w:line="276" w:lineRule="auto" w:before="0" w:after="0"/>
        <w:ind w:left="116" w:right="113" w:firstLine="0"/>
        <w:jc w:val="both"/>
        <w:rPr>
          <w:sz w:val="24"/>
        </w:rPr>
      </w:pPr>
      <w:r>
        <w:rPr>
          <w:sz w:val="24"/>
        </w:rPr>
        <w:t>Elle</w:t>
      </w:r>
      <w:r>
        <w:rPr>
          <w:spacing w:val="-4"/>
          <w:sz w:val="24"/>
        </w:rPr>
        <w:t> </w:t>
      </w:r>
      <w:r>
        <w:rPr>
          <w:sz w:val="24"/>
        </w:rPr>
        <w:t>inhibe</w:t>
      </w:r>
      <w:r>
        <w:rPr>
          <w:spacing w:val="-5"/>
          <w:sz w:val="24"/>
        </w:rPr>
        <w:t> </w:t>
      </w:r>
      <w:r>
        <w:rPr>
          <w:sz w:val="24"/>
        </w:rPr>
        <w:t>également</w:t>
      </w:r>
      <w:r>
        <w:rPr>
          <w:spacing w:val="-3"/>
          <w:sz w:val="24"/>
        </w:rPr>
        <w:t> </w:t>
      </w:r>
      <w:r>
        <w:rPr>
          <w:sz w:val="24"/>
        </w:rPr>
        <w:t>le</w:t>
      </w:r>
      <w:r>
        <w:rPr>
          <w:spacing w:val="-4"/>
          <w:sz w:val="24"/>
        </w:rPr>
        <w:t> </w:t>
      </w:r>
      <w:r>
        <w:rPr>
          <w:sz w:val="24"/>
        </w:rPr>
        <w:t>complexe</w:t>
      </w:r>
      <w:r>
        <w:rPr>
          <w:spacing w:val="-2"/>
          <w:sz w:val="24"/>
        </w:rPr>
        <w:t> </w:t>
      </w:r>
      <w:r>
        <w:rPr>
          <w:sz w:val="24"/>
        </w:rPr>
        <w:t>I</w:t>
      </w:r>
      <w:r>
        <w:rPr>
          <w:spacing w:val="-5"/>
          <w:sz w:val="24"/>
        </w:rPr>
        <w:t> </w:t>
      </w:r>
      <w:r>
        <w:rPr>
          <w:sz w:val="24"/>
        </w:rPr>
        <w:t>de</w:t>
      </w:r>
      <w:r>
        <w:rPr>
          <w:spacing w:val="-5"/>
          <w:sz w:val="24"/>
        </w:rPr>
        <w:t> </w:t>
      </w:r>
      <w:r>
        <w:rPr>
          <w:sz w:val="24"/>
        </w:rPr>
        <w:t>la</w:t>
      </w:r>
      <w:r>
        <w:rPr>
          <w:spacing w:val="-5"/>
          <w:sz w:val="24"/>
        </w:rPr>
        <w:t> </w:t>
      </w:r>
      <w:r>
        <w:rPr>
          <w:sz w:val="24"/>
        </w:rPr>
        <w:t>chaine</w:t>
      </w:r>
      <w:r>
        <w:rPr>
          <w:spacing w:val="-3"/>
          <w:sz w:val="24"/>
        </w:rPr>
        <w:t> </w:t>
      </w:r>
      <w:r>
        <w:rPr>
          <w:sz w:val="24"/>
        </w:rPr>
        <w:t>de</w:t>
      </w:r>
      <w:r>
        <w:rPr>
          <w:spacing w:val="-5"/>
          <w:sz w:val="24"/>
        </w:rPr>
        <w:t> </w:t>
      </w:r>
      <w:r>
        <w:rPr>
          <w:sz w:val="24"/>
        </w:rPr>
        <w:t>transports</w:t>
      </w:r>
      <w:r>
        <w:rPr>
          <w:spacing w:val="-4"/>
          <w:sz w:val="24"/>
        </w:rPr>
        <w:t> </w:t>
      </w:r>
      <w:r>
        <w:rPr>
          <w:sz w:val="24"/>
        </w:rPr>
        <w:t>d’électrons</w:t>
      </w:r>
      <w:r>
        <w:rPr>
          <w:spacing w:val="-3"/>
          <w:sz w:val="24"/>
        </w:rPr>
        <w:t> </w:t>
      </w:r>
      <w:r>
        <w:rPr>
          <w:i/>
          <w:sz w:val="24"/>
        </w:rPr>
        <w:t>via</w:t>
      </w:r>
      <w:r>
        <w:rPr>
          <w:i/>
          <w:spacing w:val="-3"/>
          <w:sz w:val="24"/>
        </w:rPr>
        <w:t> </w:t>
      </w:r>
      <w:r>
        <w:rPr>
          <w:sz w:val="24"/>
        </w:rPr>
        <w:t>l’inhibition</w:t>
      </w:r>
      <w:r>
        <w:rPr>
          <w:spacing w:val="-3"/>
          <w:sz w:val="24"/>
        </w:rPr>
        <w:t> </w:t>
      </w:r>
      <w:r>
        <w:rPr>
          <w:sz w:val="24"/>
        </w:rPr>
        <w:t>de la réduction de l’ubiquinone. Elle stimule de manière indépendante la production de ROS par le complexe I flavine (Andrzejewski et al., 2014). Son rôle direct sur la mitochondrie semble en faire une molécule particulièrement intéressante en thérapie anticancéreuse (Griss et al., 2015). Ce rôle en ferait également une molécule intéressante en termes de prévention (Cazzaniga et Bonanni,</w:t>
      </w:r>
      <w:r>
        <w:rPr>
          <w:spacing w:val="-2"/>
          <w:sz w:val="24"/>
        </w:rPr>
        <w:t> </w:t>
      </w:r>
      <w:r>
        <w:rPr>
          <w:sz w:val="24"/>
        </w:rPr>
        <w:t>2015).</w:t>
      </w:r>
    </w:p>
    <w:p>
      <w:pPr>
        <w:pStyle w:val="BodyText"/>
        <w:spacing w:line="276" w:lineRule="auto" w:before="164"/>
        <w:ind w:left="116" w:right="114" w:firstLine="707"/>
        <w:jc w:val="both"/>
      </w:pPr>
      <w:r>
        <w:rPr/>
        <w:t>Si certains biais des études épidémiologiques ont été soulignés (Suissa et Azoulay, 2012) et que d’autres études rétrospectives ne démontrent pas de rôle de la metformine pour améliorer la survie des patients diabétiques (Wu et al., 2016), le développement récent des recherches sur la metformine souligne le rôle essentiel qu’elle a à jouer en thérapie anticancéreuse.</w:t>
      </w:r>
    </w:p>
    <w:p>
      <w:pPr>
        <w:pStyle w:val="BodyText"/>
        <w:spacing w:line="276" w:lineRule="auto" w:before="164"/>
        <w:ind w:left="116" w:right="113" w:firstLine="707"/>
        <w:jc w:val="both"/>
      </w:pPr>
      <w:r>
        <w:rPr/>
        <w:t>L’effet</w:t>
      </w:r>
      <w:r>
        <w:rPr>
          <w:spacing w:val="-3"/>
        </w:rPr>
        <w:t> </w:t>
      </w:r>
      <w:r>
        <w:rPr/>
        <w:t>de</w:t>
      </w:r>
      <w:r>
        <w:rPr>
          <w:spacing w:val="-3"/>
        </w:rPr>
        <w:t> </w:t>
      </w:r>
      <w:r>
        <w:rPr/>
        <w:t>la</w:t>
      </w:r>
      <w:r>
        <w:rPr>
          <w:spacing w:val="-4"/>
        </w:rPr>
        <w:t> </w:t>
      </w:r>
      <w:r>
        <w:rPr/>
        <w:t>metformine</w:t>
      </w:r>
      <w:r>
        <w:rPr>
          <w:spacing w:val="-2"/>
        </w:rPr>
        <w:t> </w:t>
      </w:r>
      <w:r>
        <w:rPr/>
        <w:t>a</w:t>
      </w:r>
      <w:r>
        <w:rPr>
          <w:spacing w:val="-3"/>
        </w:rPr>
        <w:t> </w:t>
      </w:r>
      <w:r>
        <w:rPr/>
        <w:t>par</w:t>
      </w:r>
      <w:r>
        <w:rPr>
          <w:spacing w:val="-2"/>
        </w:rPr>
        <w:t> </w:t>
      </w:r>
      <w:r>
        <w:rPr/>
        <w:t>exemple</w:t>
      </w:r>
      <w:r>
        <w:rPr>
          <w:spacing w:val="-4"/>
        </w:rPr>
        <w:t> </w:t>
      </w:r>
      <w:r>
        <w:rPr/>
        <w:t>été</w:t>
      </w:r>
      <w:r>
        <w:rPr>
          <w:spacing w:val="-2"/>
        </w:rPr>
        <w:t> </w:t>
      </w:r>
      <w:r>
        <w:rPr/>
        <w:t>testé</w:t>
      </w:r>
      <w:r>
        <w:rPr>
          <w:spacing w:val="-5"/>
        </w:rPr>
        <w:t> </w:t>
      </w:r>
      <w:r>
        <w:rPr/>
        <w:t>sur</w:t>
      </w:r>
      <w:r>
        <w:rPr>
          <w:spacing w:val="-5"/>
        </w:rPr>
        <w:t> </w:t>
      </w:r>
      <w:r>
        <w:rPr/>
        <w:t>des</w:t>
      </w:r>
      <w:r>
        <w:rPr>
          <w:spacing w:val="-4"/>
        </w:rPr>
        <w:t> </w:t>
      </w:r>
      <w:r>
        <w:rPr/>
        <w:t>lignées</w:t>
      </w:r>
      <w:r>
        <w:rPr>
          <w:spacing w:val="-4"/>
        </w:rPr>
        <w:t> </w:t>
      </w:r>
      <w:r>
        <w:rPr/>
        <w:t>cellulaires</w:t>
      </w:r>
      <w:r>
        <w:rPr>
          <w:spacing w:val="-4"/>
        </w:rPr>
        <w:t> </w:t>
      </w:r>
      <w:r>
        <w:rPr/>
        <w:t>de</w:t>
      </w:r>
      <w:r>
        <w:rPr>
          <w:spacing w:val="-5"/>
        </w:rPr>
        <w:t> </w:t>
      </w:r>
      <w:r>
        <w:rPr/>
        <w:t>cancer</w:t>
      </w:r>
      <w:r>
        <w:rPr>
          <w:spacing w:val="-5"/>
        </w:rPr>
        <w:t> </w:t>
      </w:r>
      <w:r>
        <w:rPr/>
        <w:t>de l’ovaire.</w:t>
      </w:r>
      <w:r>
        <w:rPr>
          <w:spacing w:val="-4"/>
        </w:rPr>
        <w:t> </w:t>
      </w:r>
      <w:r>
        <w:rPr>
          <w:b/>
          <w:i/>
        </w:rPr>
        <w:t>In</w:t>
      </w:r>
      <w:r>
        <w:rPr>
          <w:b/>
          <w:i/>
          <w:spacing w:val="-3"/>
        </w:rPr>
        <w:t> </w:t>
      </w:r>
      <w:r>
        <w:rPr>
          <w:b/>
          <w:i/>
        </w:rPr>
        <w:t>vitro</w:t>
      </w:r>
      <w:r>
        <w:rPr/>
        <w:t>,</w:t>
      </w:r>
      <w:r>
        <w:rPr>
          <w:spacing w:val="-4"/>
        </w:rPr>
        <w:t> </w:t>
      </w:r>
      <w:r>
        <w:rPr/>
        <w:t>la</w:t>
      </w:r>
      <w:r>
        <w:rPr>
          <w:spacing w:val="-4"/>
        </w:rPr>
        <w:t> </w:t>
      </w:r>
      <w:r>
        <w:rPr/>
        <w:t>metformine</w:t>
      </w:r>
      <w:r>
        <w:rPr>
          <w:spacing w:val="-5"/>
        </w:rPr>
        <w:t> </w:t>
      </w:r>
      <w:r>
        <w:rPr/>
        <w:t>diminue</w:t>
      </w:r>
      <w:r>
        <w:rPr>
          <w:spacing w:val="-4"/>
        </w:rPr>
        <w:t> </w:t>
      </w:r>
      <w:r>
        <w:rPr/>
        <w:t>la</w:t>
      </w:r>
      <w:r>
        <w:rPr>
          <w:spacing w:val="-4"/>
        </w:rPr>
        <w:t> </w:t>
      </w:r>
      <w:r>
        <w:rPr/>
        <w:t>prolifération</w:t>
      </w:r>
      <w:r>
        <w:rPr>
          <w:spacing w:val="-4"/>
        </w:rPr>
        <w:t> </w:t>
      </w:r>
      <w:r>
        <w:rPr/>
        <w:t>cellulaire</w:t>
      </w:r>
      <w:r>
        <w:rPr>
          <w:spacing w:val="-2"/>
        </w:rPr>
        <w:t> </w:t>
      </w:r>
      <w:r>
        <w:rPr/>
        <w:t>et</w:t>
      </w:r>
      <w:r>
        <w:rPr>
          <w:spacing w:val="-3"/>
        </w:rPr>
        <w:t> </w:t>
      </w:r>
      <w:r>
        <w:rPr/>
        <w:t>entraîne</w:t>
      </w:r>
      <w:r>
        <w:rPr>
          <w:spacing w:val="-4"/>
        </w:rPr>
        <w:t> </w:t>
      </w:r>
      <w:r>
        <w:rPr/>
        <w:t>un</w:t>
      </w:r>
      <w:r>
        <w:rPr>
          <w:spacing w:val="-4"/>
        </w:rPr>
        <w:t> </w:t>
      </w:r>
      <w:r>
        <w:rPr/>
        <w:t>arrêt</w:t>
      </w:r>
      <w:r>
        <w:rPr>
          <w:spacing w:val="-3"/>
        </w:rPr>
        <w:t> </w:t>
      </w:r>
      <w:r>
        <w:rPr/>
        <w:t>du</w:t>
      </w:r>
      <w:r>
        <w:rPr>
          <w:spacing w:val="-4"/>
        </w:rPr>
        <w:t> </w:t>
      </w:r>
      <w:r>
        <w:rPr/>
        <w:t>cycle cellulaire sans déclencher l’apoptose (Lengyel et al., 2015). La même équipe a étudié l’action de la molécule en prévention sur un modèle de souris (250 mg/kg/j en intrapéritonéal). Les souris</w:t>
      </w:r>
      <w:r>
        <w:rPr>
          <w:spacing w:val="-8"/>
        </w:rPr>
        <w:t> </w:t>
      </w:r>
      <w:r>
        <w:rPr/>
        <w:t>prétraitées</w:t>
      </w:r>
      <w:r>
        <w:rPr>
          <w:spacing w:val="-6"/>
        </w:rPr>
        <w:t> </w:t>
      </w:r>
      <w:r>
        <w:rPr/>
        <w:t>avec</w:t>
      </w:r>
      <w:r>
        <w:rPr>
          <w:spacing w:val="-7"/>
        </w:rPr>
        <w:t> </w:t>
      </w:r>
      <w:r>
        <w:rPr/>
        <w:t>de</w:t>
      </w:r>
      <w:r>
        <w:rPr>
          <w:spacing w:val="-5"/>
        </w:rPr>
        <w:t> </w:t>
      </w:r>
      <w:r>
        <w:rPr/>
        <w:t>la</w:t>
      </w:r>
      <w:r>
        <w:rPr>
          <w:spacing w:val="-9"/>
        </w:rPr>
        <w:t> </w:t>
      </w:r>
      <w:r>
        <w:rPr/>
        <w:t>metformine</w:t>
      </w:r>
      <w:r>
        <w:rPr>
          <w:spacing w:val="-7"/>
        </w:rPr>
        <w:t> </w:t>
      </w:r>
      <w:r>
        <w:rPr/>
        <w:t>développaient</w:t>
      </w:r>
      <w:r>
        <w:rPr>
          <w:spacing w:val="-9"/>
        </w:rPr>
        <w:t> </w:t>
      </w:r>
      <w:r>
        <w:rPr/>
        <w:t>60%</w:t>
      </w:r>
      <w:r>
        <w:rPr>
          <w:spacing w:val="-9"/>
        </w:rPr>
        <w:t> </w:t>
      </w:r>
      <w:r>
        <w:rPr/>
        <w:t>de</w:t>
      </w:r>
      <w:r>
        <w:rPr>
          <w:spacing w:val="-10"/>
        </w:rPr>
        <w:t> </w:t>
      </w:r>
      <w:r>
        <w:rPr/>
        <w:t>tumeurs</w:t>
      </w:r>
      <w:r>
        <w:rPr>
          <w:spacing w:val="-9"/>
        </w:rPr>
        <w:t> </w:t>
      </w:r>
      <w:r>
        <w:rPr/>
        <w:t>en</w:t>
      </w:r>
      <w:r>
        <w:rPr>
          <w:spacing w:val="-7"/>
        </w:rPr>
        <w:t> </w:t>
      </w:r>
      <w:r>
        <w:rPr/>
        <w:t>moins</w:t>
      </w:r>
      <w:r>
        <w:rPr>
          <w:spacing w:val="-8"/>
        </w:rPr>
        <w:t> </w:t>
      </w:r>
      <w:r>
        <w:rPr/>
        <w:t>que</w:t>
      </w:r>
      <w:r>
        <w:rPr>
          <w:spacing w:val="-10"/>
        </w:rPr>
        <w:t> </w:t>
      </w:r>
      <w:r>
        <w:rPr/>
        <w:t>le</w:t>
      </w:r>
      <w:r>
        <w:rPr>
          <w:spacing w:val="-5"/>
        </w:rPr>
        <w:t> </w:t>
      </w:r>
      <w:r>
        <w:rPr/>
        <w:t>groupe contrôle. L’action de la metformine, en association avec le paclitaxel, a été étudiée dans un modèle génétique de cancer de l’ovaire de souris, qui montre une réduction de plus de 60% du poids tumoral (réduction plus importante que l’utilisation de la metformine seule ou du paclitaxel seul). Ce rôle sensibilisant à la chimiothérapie de la metformine se retrouve également </w:t>
      </w:r>
      <w:r>
        <w:rPr>
          <w:b/>
          <w:i/>
        </w:rPr>
        <w:t>in vitro </w:t>
      </w:r>
      <w:r>
        <w:rPr/>
        <w:t>et </w:t>
      </w:r>
      <w:r>
        <w:rPr>
          <w:b/>
          <w:i/>
        </w:rPr>
        <w:t>in vivo </w:t>
      </w:r>
      <w:r>
        <w:rPr/>
        <w:t>en association avec la gemcitabine dans un modèle de cancer du pancréas (Shi et al., 2016), ou encore avec le 5-fluorouracil (5-FU) dans des modèles </w:t>
      </w:r>
      <w:r>
        <w:rPr>
          <w:b/>
          <w:i/>
        </w:rPr>
        <w:t>in vitro </w:t>
      </w:r>
      <w:r>
        <w:rPr/>
        <w:t>de cancers de l’oesophage, du colon, ou encore de carcinome épidermoïde de la cavité buccale (Harada et al., 2016). </w:t>
      </w:r>
      <w:r>
        <w:rPr>
          <w:b/>
          <w:i/>
        </w:rPr>
        <w:t>In vivo</w:t>
      </w:r>
      <w:r>
        <w:rPr/>
        <w:t>, la même étude montre que l’injection intrapéritonéale de metformine (200 mg/kg) et de 5-FU (10 mg/kg) pendant 4 semaines (5 jours par semaine) diminue</w:t>
      </w:r>
      <w:r>
        <w:rPr>
          <w:spacing w:val="-7"/>
        </w:rPr>
        <w:t> </w:t>
      </w:r>
      <w:r>
        <w:rPr/>
        <w:t>la</w:t>
      </w:r>
      <w:r>
        <w:rPr>
          <w:spacing w:val="-7"/>
        </w:rPr>
        <w:t> </w:t>
      </w:r>
      <w:r>
        <w:rPr/>
        <w:t>croissance</w:t>
      </w:r>
      <w:r>
        <w:rPr>
          <w:spacing w:val="-7"/>
        </w:rPr>
        <w:t> </w:t>
      </w:r>
      <w:r>
        <w:rPr/>
        <w:t>tumorale</w:t>
      </w:r>
      <w:r>
        <w:rPr>
          <w:spacing w:val="-7"/>
        </w:rPr>
        <w:t> </w:t>
      </w:r>
      <w:r>
        <w:rPr/>
        <w:t>de</w:t>
      </w:r>
      <w:r>
        <w:rPr>
          <w:spacing w:val="-7"/>
        </w:rPr>
        <w:t> </w:t>
      </w:r>
      <w:r>
        <w:rPr/>
        <w:t>77,6%</w:t>
      </w:r>
      <w:r>
        <w:rPr>
          <w:spacing w:val="-5"/>
        </w:rPr>
        <w:t> </w:t>
      </w:r>
      <w:r>
        <w:rPr/>
        <w:t>en</w:t>
      </w:r>
      <w:r>
        <w:rPr>
          <w:spacing w:val="-6"/>
        </w:rPr>
        <w:t> </w:t>
      </w:r>
      <w:r>
        <w:rPr/>
        <w:t>comparaison</w:t>
      </w:r>
      <w:r>
        <w:rPr>
          <w:spacing w:val="-6"/>
        </w:rPr>
        <w:t> </w:t>
      </w:r>
      <w:r>
        <w:rPr/>
        <w:t>avec</w:t>
      </w:r>
      <w:r>
        <w:rPr>
          <w:spacing w:val="-7"/>
        </w:rPr>
        <w:t> </w:t>
      </w:r>
      <w:r>
        <w:rPr/>
        <w:t>la</w:t>
      </w:r>
      <w:r>
        <w:rPr>
          <w:spacing w:val="-7"/>
        </w:rPr>
        <w:t> </w:t>
      </w:r>
      <w:r>
        <w:rPr/>
        <w:t>metformine</w:t>
      </w:r>
      <w:r>
        <w:rPr>
          <w:spacing w:val="-7"/>
        </w:rPr>
        <w:t> </w:t>
      </w:r>
      <w:r>
        <w:rPr/>
        <w:t>seule</w:t>
      </w:r>
      <w:r>
        <w:rPr>
          <w:spacing w:val="-7"/>
        </w:rPr>
        <w:t> </w:t>
      </w:r>
      <w:r>
        <w:rPr/>
        <w:t>(59,9%)</w:t>
      </w:r>
      <w:r>
        <w:rPr>
          <w:spacing w:val="-7"/>
        </w:rPr>
        <w:t> </w:t>
      </w:r>
      <w:r>
        <w:rPr/>
        <w:t>ou au 5-FU seul</w:t>
      </w:r>
      <w:r>
        <w:rPr>
          <w:spacing w:val="-4"/>
        </w:rPr>
        <w:t> </w:t>
      </w:r>
      <w:r>
        <w:rPr/>
        <w:t>(52%).</w:t>
      </w:r>
    </w:p>
    <w:p>
      <w:pPr>
        <w:spacing w:after="0" w:line="276" w:lineRule="auto"/>
        <w:jc w:val="both"/>
        <w:sectPr>
          <w:pgSz w:w="11910" w:h="16840"/>
          <w:pgMar w:header="0" w:footer="995" w:top="1320" w:bottom="1240" w:left="1300" w:right="1300"/>
        </w:sectPr>
      </w:pPr>
    </w:p>
    <w:p>
      <w:pPr>
        <w:pStyle w:val="BodyText"/>
        <w:spacing w:line="276" w:lineRule="auto" w:before="72"/>
        <w:ind w:left="116" w:right="113" w:firstLine="707"/>
        <w:jc w:val="both"/>
      </w:pPr>
      <w:r>
        <w:rPr/>
        <w:t>L’étude de l’association de la metformine avec le cisplatine a été réalisée dans des lignées cellulaires de cancer de la vessie. Les deux molécules ensemble étaient plus efficaces pour diminuer la prolifération cellulaire </w:t>
      </w:r>
      <w:r>
        <w:rPr>
          <w:b/>
          <w:i/>
        </w:rPr>
        <w:t>in vitro </w:t>
      </w:r>
      <w:r>
        <w:rPr/>
        <w:t>que chacune séparément. Dans le modèle de xénogreffe </w:t>
      </w:r>
      <w:r>
        <w:rPr>
          <w:b/>
          <w:i/>
        </w:rPr>
        <w:t>in vivo</w:t>
      </w:r>
      <w:r>
        <w:rPr/>
        <w:t>, la combinaison des deux molécules inhibe la croissance tumorale et l’angiogenèse (Wang et Wu, 2015). Dans un modèle </w:t>
      </w:r>
      <w:r>
        <w:rPr>
          <w:b/>
          <w:i/>
        </w:rPr>
        <w:t>in vivo </w:t>
      </w:r>
      <w:r>
        <w:rPr/>
        <w:t>de carcinome hépatocellulaire, la metformine a une action synergique sur le sorafenib, en supprimant la prolifération cellulaire et en accentuant l’apoptose. </w:t>
      </w:r>
      <w:r>
        <w:rPr>
          <w:spacing w:val="-3"/>
        </w:rPr>
        <w:t>La </w:t>
      </w:r>
      <w:r>
        <w:rPr/>
        <w:t>transition épithélio-mésenchymateuse est également</w:t>
      </w:r>
      <w:r>
        <w:rPr>
          <w:spacing w:val="-37"/>
        </w:rPr>
        <w:t> </w:t>
      </w:r>
      <w:r>
        <w:rPr/>
        <w:t>supprimée par</w:t>
      </w:r>
      <w:r>
        <w:rPr>
          <w:spacing w:val="-7"/>
        </w:rPr>
        <w:t> </w:t>
      </w:r>
      <w:r>
        <w:rPr/>
        <w:t>la</w:t>
      </w:r>
      <w:r>
        <w:rPr>
          <w:spacing w:val="-5"/>
        </w:rPr>
        <w:t> </w:t>
      </w:r>
      <w:r>
        <w:rPr/>
        <w:t>combinaison</w:t>
      </w:r>
      <w:r>
        <w:rPr>
          <w:spacing w:val="-6"/>
        </w:rPr>
        <w:t> </w:t>
      </w:r>
      <w:r>
        <w:rPr/>
        <w:t>des</w:t>
      </w:r>
      <w:r>
        <w:rPr>
          <w:spacing w:val="-4"/>
        </w:rPr>
        <w:t> </w:t>
      </w:r>
      <w:r>
        <w:rPr/>
        <w:t>deux</w:t>
      </w:r>
      <w:r>
        <w:rPr>
          <w:spacing w:val="-4"/>
        </w:rPr>
        <w:t> </w:t>
      </w:r>
      <w:r>
        <w:rPr/>
        <w:t>molécules</w:t>
      </w:r>
      <w:r>
        <w:rPr>
          <w:spacing w:val="-4"/>
        </w:rPr>
        <w:t> </w:t>
      </w:r>
      <w:r>
        <w:rPr>
          <w:b/>
          <w:i/>
        </w:rPr>
        <w:t>in</w:t>
      </w:r>
      <w:r>
        <w:rPr>
          <w:b/>
          <w:i/>
          <w:spacing w:val="-5"/>
        </w:rPr>
        <w:t> </w:t>
      </w:r>
      <w:r>
        <w:rPr>
          <w:b/>
          <w:i/>
        </w:rPr>
        <w:t>vivo</w:t>
      </w:r>
      <w:r>
        <w:rPr>
          <w:b/>
          <w:i/>
          <w:spacing w:val="-4"/>
        </w:rPr>
        <w:t> </w:t>
      </w:r>
      <w:r>
        <w:rPr/>
        <w:t>et</w:t>
      </w:r>
      <w:r>
        <w:rPr>
          <w:spacing w:val="-6"/>
        </w:rPr>
        <w:t> </w:t>
      </w:r>
      <w:r>
        <w:rPr>
          <w:b/>
          <w:i/>
        </w:rPr>
        <w:t>in</w:t>
      </w:r>
      <w:r>
        <w:rPr>
          <w:b/>
          <w:i/>
          <w:spacing w:val="-6"/>
        </w:rPr>
        <w:t> </w:t>
      </w:r>
      <w:r>
        <w:rPr>
          <w:b/>
          <w:i/>
        </w:rPr>
        <w:t>vitro</w:t>
      </w:r>
      <w:r>
        <w:rPr/>
        <w:t>.</w:t>
      </w:r>
      <w:r>
        <w:rPr>
          <w:spacing w:val="-4"/>
        </w:rPr>
        <w:t> </w:t>
      </w:r>
      <w:r>
        <w:rPr/>
        <w:t>La</w:t>
      </w:r>
      <w:r>
        <w:rPr>
          <w:spacing w:val="-7"/>
        </w:rPr>
        <w:t> </w:t>
      </w:r>
      <w:r>
        <w:rPr/>
        <w:t>récidive</w:t>
      </w:r>
      <w:r>
        <w:rPr>
          <w:spacing w:val="-5"/>
        </w:rPr>
        <w:t> </w:t>
      </w:r>
      <w:r>
        <w:rPr/>
        <w:t>post-opératoire</w:t>
      </w:r>
      <w:r>
        <w:rPr>
          <w:spacing w:val="-6"/>
        </w:rPr>
        <w:t> </w:t>
      </w:r>
      <w:r>
        <w:rPr/>
        <w:t>ainsi</w:t>
      </w:r>
      <w:r>
        <w:rPr>
          <w:spacing w:val="-5"/>
        </w:rPr>
        <w:t> </w:t>
      </w:r>
      <w:r>
        <w:rPr/>
        <w:t>que le phénomène métastatique semblent également minimisés par le traitement avec les deux molécules (You et al.,</w:t>
      </w:r>
      <w:r>
        <w:rPr>
          <w:spacing w:val="-6"/>
        </w:rPr>
        <w:t> </w:t>
      </w:r>
      <w:r>
        <w:rPr/>
        <w:t>2016).</w:t>
      </w:r>
    </w:p>
    <w:p>
      <w:pPr>
        <w:pStyle w:val="BodyText"/>
        <w:spacing w:line="276" w:lineRule="auto" w:before="162"/>
        <w:ind w:left="116" w:right="112" w:firstLine="707"/>
        <w:jc w:val="both"/>
      </w:pPr>
      <w:r>
        <w:rPr/>
        <w:t>De</w:t>
      </w:r>
      <w:r>
        <w:rPr>
          <w:spacing w:val="-6"/>
        </w:rPr>
        <w:t> </w:t>
      </w:r>
      <w:r>
        <w:rPr/>
        <w:t>manière</w:t>
      </w:r>
      <w:r>
        <w:rPr>
          <w:spacing w:val="-6"/>
        </w:rPr>
        <w:t> </w:t>
      </w:r>
      <w:r>
        <w:rPr/>
        <w:t>intéressante,</w:t>
      </w:r>
      <w:r>
        <w:rPr>
          <w:spacing w:val="-3"/>
        </w:rPr>
        <w:t> </w:t>
      </w:r>
      <w:r>
        <w:rPr/>
        <w:t>l’étude</w:t>
      </w:r>
      <w:r>
        <w:rPr>
          <w:spacing w:val="-5"/>
        </w:rPr>
        <w:t> </w:t>
      </w:r>
      <w:r>
        <w:rPr/>
        <w:t>de</w:t>
      </w:r>
      <w:r>
        <w:rPr>
          <w:spacing w:val="-6"/>
        </w:rPr>
        <w:t> </w:t>
      </w:r>
      <w:r>
        <w:rPr/>
        <w:t>l’association</w:t>
      </w:r>
      <w:r>
        <w:rPr>
          <w:spacing w:val="-5"/>
        </w:rPr>
        <w:t> </w:t>
      </w:r>
      <w:r>
        <w:rPr/>
        <w:t>de</w:t>
      </w:r>
      <w:r>
        <w:rPr>
          <w:spacing w:val="-6"/>
        </w:rPr>
        <w:t> </w:t>
      </w:r>
      <w:r>
        <w:rPr/>
        <w:t>la</w:t>
      </w:r>
      <w:r>
        <w:rPr>
          <w:spacing w:val="-5"/>
        </w:rPr>
        <w:t> </w:t>
      </w:r>
      <w:r>
        <w:rPr/>
        <w:t>metformine</w:t>
      </w:r>
      <w:r>
        <w:rPr>
          <w:spacing w:val="-6"/>
        </w:rPr>
        <w:t> </w:t>
      </w:r>
      <w:r>
        <w:rPr/>
        <w:t>avec</w:t>
      </w:r>
      <w:r>
        <w:rPr>
          <w:spacing w:val="-6"/>
        </w:rPr>
        <w:t> </w:t>
      </w:r>
      <w:r>
        <w:rPr/>
        <w:t>le</w:t>
      </w:r>
      <w:r>
        <w:rPr>
          <w:spacing w:val="-1"/>
        </w:rPr>
        <w:t> </w:t>
      </w:r>
      <w:r>
        <w:rPr>
          <w:b/>
          <w:u w:val="thick"/>
        </w:rPr>
        <w:t>DCA</w:t>
      </w:r>
      <w:r>
        <w:rPr>
          <w:b/>
          <w:spacing w:val="-5"/>
        </w:rPr>
        <w:t> </w:t>
      </w:r>
      <w:r>
        <w:rPr/>
        <w:t>montre une action synergique des deux molécules (Li et al., 2016). L’étude </w:t>
      </w:r>
      <w:r>
        <w:rPr>
          <w:b/>
          <w:i/>
        </w:rPr>
        <w:t>in vitro </w:t>
      </w:r>
      <w:r>
        <w:rPr/>
        <w:t>sur des lignées cellulaires de cancer de l’ovaire montre que le DCA potentialise l’action de la metformine en atténuant</w:t>
      </w:r>
      <w:r>
        <w:rPr>
          <w:spacing w:val="-6"/>
        </w:rPr>
        <w:t> </w:t>
      </w:r>
      <w:r>
        <w:rPr/>
        <w:t>une</w:t>
      </w:r>
      <w:r>
        <w:rPr>
          <w:spacing w:val="-7"/>
        </w:rPr>
        <w:t> </w:t>
      </w:r>
      <w:r>
        <w:rPr/>
        <w:t>accumulation</w:t>
      </w:r>
      <w:r>
        <w:rPr>
          <w:spacing w:val="-6"/>
        </w:rPr>
        <w:t> </w:t>
      </w:r>
      <w:r>
        <w:rPr/>
        <w:t>de</w:t>
      </w:r>
      <w:r>
        <w:rPr>
          <w:spacing w:val="-7"/>
        </w:rPr>
        <w:t> </w:t>
      </w:r>
      <w:r>
        <w:rPr/>
        <w:t>lactate</w:t>
      </w:r>
      <w:r>
        <w:rPr>
          <w:spacing w:val="-7"/>
        </w:rPr>
        <w:t> </w:t>
      </w:r>
      <w:r>
        <w:rPr/>
        <w:t>excessive,</w:t>
      </w:r>
      <w:r>
        <w:rPr>
          <w:spacing w:val="-6"/>
        </w:rPr>
        <w:t> </w:t>
      </w:r>
      <w:r>
        <w:rPr/>
        <w:t>alors</w:t>
      </w:r>
      <w:r>
        <w:rPr>
          <w:spacing w:val="-6"/>
        </w:rPr>
        <w:t> </w:t>
      </w:r>
      <w:r>
        <w:rPr/>
        <w:t>que</w:t>
      </w:r>
      <w:r>
        <w:rPr>
          <w:spacing w:val="-7"/>
        </w:rPr>
        <w:t> </w:t>
      </w:r>
      <w:r>
        <w:rPr/>
        <w:t>la</w:t>
      </w:r>
      <w:r>
        <w:rPr>
          <w:spacing w:val="-7"/>
        </w:rPr>
        <w:t> </w:t>
      </w:r>
      <w:r>
        <w:rPr/>
        <w:t>metformine</w:t>
      </w:r>
      <w:r>
        <w:rPr>
          <w:spacing w:val="-7"/>
        </w:rPr>
        <w:t> </w:t>
      </w:r>
      <w:r>
        <w:rPr/>
        <w:t>sensibilise</w:t>
      </w:r>
      <w:r>
        <w:rPr>
          <w:spacing w:val="-7"/>
        </w:rPr>
        <w:t> </w:t>
      </w:r>
      <w:r>
        <w:rPr/>
        <w:t>le</w:t>
      </w:r>
      <w:r>
        <w:rPr>
          <w:spacing w:val="-7"/>
        </w:rPr>
        <w:t> </w:t>
      </w:r>
      <w:r>
        <w:rPr/>
        <w:t>DCA</w:t>
      </w:r>
      <w:r>
        <w:rPr>
          <w:spacing w:val="-7"/>
        </w:rPr>
        <w:t> </w:t>
      </w:r>
      <w:r>
        <w:rPr/>
        <w:t>en diminuant l’expression de la protéine Mcl-1, responsable d’autophagie. </w:t>
      </w:r>
      <w:r>
        <w:rPr>
          <w:b/>
          <w:i/>
        </w:rPr>
        <w:t>In vivo</w:t>
      </w:r>
      <w:r>
        <w:rPr/>
        <w:t>, les deux molécules en synergie suppriment la croissance des greffes tumorales dans des modèles de souris</w:t>
      </w:r>
      <w:r>
        <w:rPr>
          <w:spacing w:val="-2"/>
        </w:rPr>
        <w:t> </w:t>
      </w:r>
      <w:r>
        <w:rPr/>
        <w:t>nude.</w:t>
      </w:r>
    </w:p>
    <w:p>
      <w:pPr>
        <w:pStyle w:val="BodyText"/>
        <w:spacing w:line="276" w:lineRule="auto" w:before="164"/>
        <w:ind w:left="116" w:right="114" w:firstLine="707"/>
        <w:jc w:val="both"/>
      </w:pPr>
      <w:r>
        <w:rPr/>
        <w:t>L’action de la metformine sur des cellules souches de cancer du sein a été étudiée en utilisant</w:t>
      </w:r>
      <w:r>
        <w:rPr>
          <w:spacing w:val="-13"/>
        </w:rPr>
        <w:t> </w:t>
      </w:r>
      <w:r>
        <w:rPr/>
        <w:t>des</w:t>
      </w:r>
      <w:r>
        <w:rPr>
          <w:spacing w:val="-13"/>
        </w:rPr>
        <w:t> </w:t>
      </w:r>
      <w:r>
        <w:rPr/>
        <w:t>cellules</w:t>
      </w:r>
      <w:r>
        <w:rPr>
          <w:spacing w:val="-14"/>
        </w:rPr>
        <w:t> </w:t>
      </w:r>
      <w:r>
        <w:rPr/>
        <w:t>souches</w:t>
      </w:r>
      <w:r>
        <w:rPr>
          <w:spacing w:val="-13"/>
        </w:rPr>
        <w:t> </w:t>
      </w:r>
      <w:r>
        <w:rPr/>
        <w:t>primaires</w:t>
      </w:r>
      <w:r>
        <w:rPr>
          <w:spacing w:val="-13"/>
        </w:rPr>
        <w:t> </w:t>
      </w:r>
      <w:r>
        <w:rPr/>
        <w:t>de</w:t>
      </w:r>
      <w:r>
        <w:rPr>
          <w:spacing w:val="-14"/>
        </w:rPr>
        <w:t> </w:t>
      </w:r>
      <w:r>
        <w:rPr/>
        <w:t>carcinome</w:t>
      </w:r>
      <w:r>
        <w:rPr>
          <w:spacing w:val="-14"/>
        </w:rPr>
        <w:t> </w:t>
      </w:r>
      <w:r>
        <w:rPr/>
        <w:t>mammaire</w:t>
      </w:r>
      <w:r>
        <w:rPr>
          <w:spacing w:val="-14"/>
        </w:rPr>
        <w:t> </w:t>
      </w:r>
      <w:r>
        <w:rPr/>
        <w:t>de</w:t>
      </w:r>
      <w:r>
        <w:rPr>
          <w:spacing w:val="-12"/>
        </w:rPr>
        <w:t> </w:t>
      </w:r>
      <w:r>
        <w:rPr/>
        <w:t>chien</w:t>
      </w:r>
      <w:r>
        <w:rPr>
          <w:spacing w:val="-8"/>
        </w:rPr>
        <w:t> </w:t>
      </w:r>
      <w:r>
        <w:rPr/>
        <w:t>(Barbieri</w:t>
      </w:r>
      <w:r>
        <w:rPr>
          <w:spacing w:val="-14"/>
        </w:rPr>
        <w:t> </w:t>
      </w:r>
      <w:r>
        <w:rPr/>
        <w:t>et</w:t>
      </w:r>
      <w:r>
        <w:rPr>
          <w:spacing w:val="-11"/>
        </w:rPr>
        <w:t> </w:t>
      </w:r>
      <w:r>
        <w:rPr/>
        <w:t>al.,</w:t>
      </w:r>
      <w:r>
        <w:rPr>
          <w:spacing w:val="-13"/>
        </w:rPr>
        <w:t> </w:t>
      </w:r>
      <w:r>
        <w:rPr/>
        <w:t>2015). Des marqueurs spécifiques similaires aux marqueurs humains sont en effet retrouvés. Les cellules souches se sont montrées résistantes à la doxorubicine </w:t>
      </w:r>
      <w:r>
        <w:rPr>
          <w:b/>
          <w:i/>
        </w:rPr>
        <w:t>in vitro </w:t>
      </w:r>
      <w:r>
        <w:rPr/>
        <w:t>mais sensibles à la metformine. Dans le modèle </w:t>
      </w:r>
      <w:r>
        <w:rPr>
          <w:b/>
          <w:i/>
        </w:rPr>
        <w:t>in vivo</w:t>
      </w:r>
      <w:r>
        <w:rPr/>
        <w:t>, l’administration de metformine diminuait la croissance tumorale.</w:t>
      </w:r>
    </w:p>
    <w:p>
      <w:pPr>
        <w:pStyle w:val="BodyText"/>
        <w:spacing w:line="276" w:lineRule="auto" w:before="164"/>
        <w:ind w:left="116" w:right="118" w:firstLine="707"/>
        <w:jc w:val="both"/>
      </w:pPr>
      <w:r>
        <w:rPr/>
        <w:t>Dans un modèle de carcinome adrénocortical </w:t>
      </w:r>
      <w:r>
        <w:rPr>
          <w:b/>
          <w:i/>
        </w:rPr>
        <w:t>in vitro </w:t>
      </w:r>
      <w:r>
        <w:rPr/>
        <w:t>et </w:t>
      </w:r>
      <w:r>
        <w:rPr>
          <w:b/>
          <w:i/>
        </w:rPr>
        <w:t>in vivo</w:t>
      </w:r>
      <w:r>
        <w:rPr/>
        <w:t>, le traitement avec la metformine diminuait la prolifération cellulaire de manière dose dépendante et temps dépendant, en déclenchant la machine apoptotique et en montrant une stimulation de l’AMPK ainsi qu’une inhibition de mTOR (Poli et al., 2016). Cette inhibition de mTOR se retrouvant dans les mécanismes d’action de la metformine, voyons maintenant quelles autres molécules peuvent directement cibler cette voie.</w:t>
      </w:r>
    </w:p>
    <w:p>
      <w:pPr>
        <w:pStyle w:val="BodyText"/>
        <w:rPr>
          <w:sz w:val="26"/>
        </w:rPr>
      </w:pPr>
    </w:p>
    <w:p>
      <w:pPr>
        <w:pStyle w:val="BodyText"/>
        <w:spacing w:before="9"/>
        <w:rPr>
          <w:sz w:val="29"/>
        </w:rPr>
      </w:pPr>
    </w:p>
    <w:p>
      <w:pPr>
        <w:pStyle w:val="BodyText"/>
        <w:spacing w:before="1"/>
        <w:ind w:left="750"/>
      </w:pPr>
      <w:bookmarkStart w:name="_bookmark115" w:id="191"/>
      <w:bookmarkEnd w:id="191"/>
      <w:r>
        <w:rPr/>
      </w:r>
      <w:r>
        <w:rPr/>
        <w:t>2.   </w:t>
      </w:r>
      <w:r>
        <w:rPr>
          <w:u w:val="single"/>
        </w:rPr>
        <w:t>Les inhibiteurs de mTOR</w:t>
      </w:r>
    </w:p>
    <w:p>
      <w:pPr>
        <w:pStyle w:val="BodyText"/>
        <w:rPr>
          <w:sz w:val="20"/>
        </w:rPr>
      </w:pPr>
    </w:p>
    <w:p>
      <w:pPr>
        <w:pStyle w:val="BodyText"/>
        <w:spacing w:before="3"/>
        <w:rPr>
          <w:sz w:val="17"/>
        </w:rPr>
      </w:pPr>
    </w:p>
    <w:p>
      <w:pPr>
        <w:pStyle w:val="BodyText"/>
        <w:spacing w:line="276" w:lineRule="auto" w:before="90"/>
        <w:ind w:left="116" w:right="113" w:firstLine="707"/>
        <w:jc w:val="both"/>
      </w:pPr>
      <w:r>
        <w:rPr/>
        <w:t>La </w:t>
      </w:r>
      <w:r>
        <w:rPr>
          <w:b/>
          <w:u w:val="thick"/>
        </w:rPr>
        <w:t>rapamycine</w:t>
      </w:r>
      <w:r>
        <w:rPr>
          <w:b/>
        </w:rPr>
        <w:t> </w:t>
      </w:r>
      <w:r>
        <w:rPr/>
        <w:t>(sirolimus) est un inhibiteur de mTOR dont l’utilisation s’est développée en cancérologie. C’est un des inhibiteurs de mTOR les mieux connus, utilisé en première intention comme immunosuppresseur. Il ne permet pas d’inhiber complètement les deux complexes mTORC1 et mTORC2, comme expliqué dans la revue de Xie et al. (2016), mais il permet entre autre de ralentir le processus de sénescence, ce qui pourrait être mis en relation avec son action anticancéreuse (Blagosklonny, 2012).</w:t>
      </w:r>
    </w:p>
    <w:p>
      <w:pPr>
        <w:pStyle w:val="BodyText"/>
        <w:spacing w:line="276" w:lineRule="auto" w:before="164"/>
        <w:ind w:left="116" w:right="116" w:firstLine="707"/>
        <w:jc w:val="both"/>
      </w:pPr>
      <w:r>
        <w:rPr/>
        <w:t>L’équipe</w:t>
      </w:r>
      <w:r>
        <w:rPr>
          <w:spacing w:val="-8"/>
        </w:rPr>
        <w:t> </w:t>
      </w:r>
      <w:r>
        <w:rPr/>
        <w:t>de</w:t>
      </w:r>
      <w:r>
        <w:rPr>
          <w:spacing w:val="-3"/>
        </w:rPr>
        <w:t> </w:t>
      </w:r>
      <w:r>
        <w:rPr/>
        <w:t>Imrali</w:t>
      </w:r>
      <w:r>
        <w:rPr>
          <w:spacing w:val="-7"/>
        </w:rPr>
        <w:t> </w:t>
      </w:r>
      <w:r>
        <w:rPr/>
        <w:t>et</w:t>
      </w:r>
      <w:r>
        <w:rPr>
          <w:spacing w:val="-4"/>
        </w:rPr>
        <w:t> </w:t>
      </w:r>
      <w:r>
        <w:rPr/>
        <w:t>al.</w:t>
      </w:r>
      <w:r>
        <w:rPr>
          <w:spacing w:val="-3"/>
        </w:rPr>
        <w:t> </w:t>
      </w:r>
      <w:r>
        <w:rPr/>
        <w:t>étudie</w:t>
      </w:r>
      <w:r>
        <w:rPr>
          <w:spacing w:val="-8"/>
        </w:rPr>
        <w:t> </w:t>
      </w:r>
      <w:r>
        <w:rPr/>
        <w:t>son</w:t>
      </w:r>
      <w:r>
        <w:rPr>
          <w:spacing w:val="-7"/>
        </w:rPr>
        <w:t> </w:t>
      </w:r>
      <w:r>
        <w:rPr/>
        <w:t>action</w:t>
      </w:r>
      <w:r>
        <w:rPr>
          <w:spacing w:val="-7"/>
        </w:rPr>
        <w:t> </w:t>
      </w:r>
      <w:r>
        <w:rPr/>
        <w:t>antiproliférative</w:t>
      </w:r>
      <w:r>
        <w:rPr>
          <w:spacing w:val="-8"/>
        </w:rPr>
        <w:t> </w:t>
      </w:r>
      <w:r>
        <w:rPr/>
        <w:t>sur</w:t>
      </w:r>
      <w:r>
        <w:rPr>
          <w:spacing w:val="-6"/>
        </w:rPr>
        <w:t> </w:t>
      </w:r>
      <w:r>
        <w:rPr/>
        <w:t>des</w:t>
      </w:r>
      <w:r>
        <w:rPr>
          <w:spacing w:val="-7"/>
        </w:rPr>
        <w:t> </w:t>
      </w:r>
      <w:r>
        <w:rPr/>
        <w:t>lignées</w:t>
      </w:r>
      <w:r>
        <w:rPr>
          <w:spacing w:val="-5"/>
        </w:rPr>
        <w:t> </w:t>
      </w:r>
      <w:r>
        <w:rPr/>
        <w:t>cellulaires</w:t>
      </w:r>
      <w:r>
        <w:rPr>
          <w:spacing w:val="-7"/>
        </w:rPr>
        <w:t> </w:t>
      </w:r>
      <w:r>
        <w:rPr/>
        <w:t>de cancer</w:t>
      </w:r>
      <w:r>
        <w:rPr>
          <w:spacing w:val="-8"/>
        </w:rPr>
        <w:t> </w:t>
      </w:r>
      <w:r>
        <w:rPr/>
        <w:t>de</w:t>
      </w:r>
      <w:r>
        <w:rPr>
          <w:spacing w:val="-8"/>
        </w:rPr>
        <w:t> </w:t>
      </w:r>
      <w:r>
        <w:rPr/>
        <w:t>la</w:t>
      </w:r>
      <w:r>
        <w:rPr>
          <w:spacing w:val="-8"/>
        </w:rPr>
        <w:t> </w:t>
      </w:r>
      <w:r>
        <w:rPr/>
        <w:t>prostate.</w:t>
      </w:r>
      <w:r>
        <w:rPr>
          <w:spacing w:val="-7"/>
        </w:rPr>
        <w:t> </w:t>
      </w:r>
      <w:r>
        <w:rPr/>
        <w:t>Son</w:t>
      </w:r>
      <w:r>
        <w:rPr>
          <w:spacing w:val="-7"/>
        </w:rPr>
        <w:t> </w:t>
      </w:r>
      <w:r>
        <w:rPr/>
        <w:t>association</w:t>
      </w:r>
      <w:r>
        <w:rPr>
          <w:spacing w:val="-7"/>
        </w:rPr>
        <w:t> </w:t>
      </w:r>
      <w:r>
        <w:rPr/>
        <w:t>avec</w:t>
      </w:r>
      <w:r>
        <w:rPr>
          <w:spacing w:val="-8"/>
        </w:rPr>
        <w:t> </w:t>
      </w:r>
      <w:r>
        <w:rPr/>
        <w:t>le</w:t>
      </w:r>
      <w:r>
        <w:rPr>
          <w:spacing w:val="-8"/>
        </w:rPr>
        <w:t> </w:t>
      </w:r>
      <w:r>
        <w:rPr/>
        <w:t>cisplatine</w:t>
      </w:r>
      <w:r>
        <w:rPr>
          <w:spacing w:val="-6"/>
        </w:rPr>
        <w:t> </w:t>
      </w:r>
      <w:r>
        <w:rPr/>
        <w:t>rend</w:t>
      </w:r>
      <w:r>
        <w:rPr>
          <w:spacing w:val="-7"/>
        </w:rPr>
        <w:t> </w:t>
      </w:r>
      <w:r>
        <w:rPr/>
        <w:t>l’action</w:t>
      </w:r>
      <w:r>
        <w:rPr>
          <w:spacing w:val="-7"/>
        </w:rPr>
        <w:t> </w:t>
      </w:r>
      <w:r>
        <w:rPr/>
        <w:t>de</w:t>
      </w:r>
      <w:r>
        <w:rPr>
          <w:spacing w:val="-8"/>
        </w:rPr>
        <w:t> </w:t>
      </w:r>
      <w:r>
        <w:rPr/>
        <w:t>ce</w:t>
      </w:r>
      <w:r>
        <w:rPr>
          <w:spacing w:val="-6"/>
        </w:rPr>
        <w:t> </w:t>
      </w:r>
      <w:r>
        <w:rPr/>
        <w:t>dernier</w:t>
      </w:r>
      <w:r>
        <w:rPr>
          <w:spacing w:val="-8"/>
        </w:rPr>
        <w:t> </w:t>
      </w:r>
      <w:r>
        <w:rPr/>
        <w:t>plus</w:t>
      </w:r>
      <w:r>
        <w:rPr>
          <w:spacing w:val="-7"/>
        </w:rPr>
        <w:t> </w:t>
      </w:r>
      <w:r>
        <w:rPr/>
        <w:t>efficace</w:t>
      </w:r>
    </w:p>
    <w:p>
      <w:pPr>
        <w:spacing w:after="0" w:line="276" w:lineRule="auto"/>
        <w:jc w:val="both"/>
        <w:sectPr>
          <w:pgSz w:w="11910" w:h="16840"/>
          <w:pgMar w:header="0" w:footer="995" w:top="1320" w:bottom="1240" w:left="1300" w:right="1300"/>
        </w:sectPr>
      </w:pPr>
    </w:p>
    <w:p>
      <w:pPr>
        <w:pStyle w:val="BodyText"/>
        <w:spacing w:line="276" w:lineRule="auto" w:before="72"/>
        <w:ind w:left="116" w:right="115"/>
        <w:jc w:val="both"/>
      </w:pPr>
      <w:r>
        <w:rPr/>
        <w:t>(Imrali et al., 2016). Son association avec un inhibiteur de la glycolyse dérivé du 3-BP montre des résultats intéressants dans le cas des neuroblastomes (Levy et al., 2012) et des leucémies (Akers et al., 2011).</w:t>
      </w:r>
    </w:p>
    <w:p>
      <w:pPr>
        <w:pStyle w:val="BodyText"/>
        <w:spacing w:line="273" w:lineRule="auto" w:before="164"/>
        <w:ind w:left="116" w:right="112" w:firstLine="707"/>
        <w:jc w:val="both"/>
      </w:pPr>
      <w:r>
        <w:rPr/>
        <w:t>D’autres inhibiteurs de mTOR existent, comme l’</w:t>
      </w:r>
      <w:r>
        <w:rPr>
          <w:b/>
          <w:u w:val="thick"/>
        </w:rPr>
        <w:t>évérolimus</w:t>
      </w:r>
      <w:r>
        <w:rPr>
          <w:b/>
        </w:rPr>
        <w:t> </w:t>
      </w:r>
      <w:r>
        <w:rPr/>
        <w:t>(RAD001), le </w:t>
      </w:r>
      <w:r>
        <w:rPr>
          <w:b/>
          <w:u w:val="thick"/>
        </w:rPr>
        <w:t>temsirolimus</w:t>
      </w:r>
      <w:r>
        <w:rPr>
          <w:b/>
        </w:rPr>
        <w:t> </w:t>
      </w:r>
      <w:r>
        <w:rPr/>
        <w:t>(CCI-779), et le </w:t>
      </w:r>
      <w:r>
        <w:rPr>
          <w:b/>
          <w:u w:val="thick"/>
        </w:rPr>
        <w:t>ridaforolimus</w:t>
      </w:r>
      <w:r>
        <w:rPr>
          <w:b/>
        </w:rPr>
        <w:t> </w:t>
      </w:r>
      <w:r>
        <w:rPr/>
        <w:t>(AP23573). De nouvelles générations d’inhibiteurs se développent, ainsi que des inhibiteurs de mTOR compétitifs de l’ATP. Par exemple, le </w:t>
      </w:r>
      <w:r>
        <w:rPr>
          <w:b/>
          <w:u w:val="thick"/>
        </w:rPr>
        <w:t>Palomid 529</w:t>
      </w:r>
      <w:r>
        <w:rPr/>
        <w:t>, un inhibiteur de mTOR de 3</w:t>
      </w:r>
      <w:r>
        <w:rPr>
          <w:position w:val="9"/>
          <w:sz w:val="16"/>
        </w:rPr>
        <w:t>ème </w:t>
      </w:r>
      <w:r>
        <w:rPr/>
        <w:t>génération, permet de limiter la croissance</w:t>
      </w:r>
      <w:r>
        <w:rPr>
          <w:spacing w:val="-5"/>
        </w:rPr>
        <w:t> </w:t>
      </w:r>
      <w:r>
        <w:rPr/>
        <w:t>tumorale</w:t>
      </w:r>
      <w:r>
        <w:rPr>
          <w:spacing w:val="-7"/>
        </w:rPr>
        <w:t> </w:t>
      </w:r>
      <w:r>
        <w:rPr/>
        <w:t>dans</w:t>
      </w:r>
      <w:r>
        <w:rPr>
          <w:spacing w:val="-4"/>
        </w:rPr>
        <w:t> </w:t>
      </w:r>
      <w:r>
        <w:rPr/>
        <w:t>des</w:t>
      </w:r>
      <w:r>
        <w:rPr>
          <w:spacing w:val="-6"/>
        </w:rPr>
        <w:t> </w:t>
      </w:r>
      <w:r>
        <w:rPr/>
        <w:t>modèles</w:t>
      </w:r>
      <w:r>
        <w:rPr>
          <w:spacing w:val="-4"/>
        </w:rPr>
        <w:t> </w:t>
      </w:r>
      <w:r>
        <w:rPr/>
        <w:t>de</w:t>
      </w:r>
      <w:r>
        <w:rPr>
          <w:spacing w:val="-7"/>
        </w:rPr>
        <w:t> </w:t>
      </w:r>
      <w:r>
        <w:rPr/>
        <w:t>souris</w:t>
      </w:r>
      <w:r>
        <w:rPr>
          <w:spacing w:val="-4"/>
        </w:rPr>
        <w:t> </w:t>
      </w:r>
      <w:r>
        <w:rPr/>
        <w:t>(cancers</w:t>
      </w:r>
      <w:r>
        <w:rPr>
          <w:spacing w:val="-5"/>
        </w:rPr>
        <w:t> </w:t>
      </w:r>
      <w:r>
        <w:rPr/>
        <w:t>du</w:t>
      </w:r>
      <w:r>
        <w:rPr>
          <w:spacing w:val="-6"/>
        </w:rPr>
        <w:t> </w:t>
      </w:r>
      <w:r>
        <w:rPr/>
        <w:t>sein</w:t>
      </w:r>
      <w:r>
        <w:rPr>
          <w:spacing w:val="-6"/>
        </w:rPr>
        <w:t> </w:t>
      </w:r>
      <w:r>
        <w:rPr/>
        <w:t>déficients</w:t>
      </w:r>
      <w:r>
        <w:rPr>
          <w:spacing w:val="-4"/>
        </w:rPr>
        <w:t> </w:t>
      </w:r>
      <w:r>
        <w:rPr/>
        <w:t>en</w:t>
      </w:r>
      <w:r>
        <w:rPr>
          <w:spacing w:val="-6"/>
        </w:rPr>
        <w:t> </w:t>
      </w:r>
      <w:r>
        <w:rPr/>
        <w:t>Brca1)</w:t>
      </w:r>
      <w:r>
        <w:rPr>
          <w:spacing w:val="-5"/>
        </w:rPr>
        <w:t> </w:t>
      </w:r>
      <w:r>
        <w:rPr/>
        <w:t>(Xiang</w:t>
      </w:r>
      <w:r>
        <w:rPr>
          <w:spacing w:val="-9"/>
        </w:rPr>
        <w:t> </w:t>
      </w:r>
      <w:r>
        <w:rPr/>
        <w:t>et al.,</w:t>
      </w:r>
      <w:r>
        <w:rPr>
          <w:spacing w:val="-9"/>
        </w:rPr>
        <w:t> </w:t>
      </w:r>
      <w:r>
        <w:rPr/>
        <w:t>2011).</w:t>
      </w:r>
      <w:r>
        <w:rPr>
          <w:spacing w:val="-9"/>
        </w:rPr>
        <w:t> </w:t>
      </w:r>
      <w:r>
        <w:rPr/>
        <w:t>Néanmoins,</w:t>
      </w:r>
      <w:r>
        <w:rPr>
          <w:spacing w:val="-8"/>
        </w:rPr>
        <w:t> </w:t>
      </w:r>
      <w:r>
        <w:rPr/>
        <w:t>les</w:t>
      </w:r>
      <w:r>
        <w:rPr>
          <w:spacing w:val="-9"/>
        </w:rPr>
        <w:t> </w:t>
      </w:r>
      <w:r>
        <w:rPr/>
        <w:t>inhibiteurs</w:t>
      </w:r>
      <w:r>
        <w:rPr>
          <w:spacing w:val="-9"/>
        </w:rPr>
        <w:t> </w:t>
      </w:r>
      <w:r>
        <w:rPr/>
        <w:t>de</w:t>
      </w:r>
      <w:r>
        <w:rPr>
          <w:spacing w:val="-10"/>
        </w:rPr>
        <w:t> </w:t>
      </w:r>
      <w:r>
        <w:rPr/>
        <w:t>mTOR</w:t>
      </w:r>
      <w:r>
        <w:rPr>
          <w:spacing w:val="-8"/>
        </w:rPr>
        <w:t> </w:t>
      </w:r>
      <w:r>
        <w:rPr/>
        <w:t>montrent</w:t>
      </w:r>
      <w:r>
        <w:rPr>
          <w:spacing w:val="-8"/>
        </w:rPr>
        <w:t> </w:t>
      </w:r>
      <w:r>
        <w:rPr/>
        <w:t>beaucoup</w:t>
      </w:r>
      <w:r>
        <w:rPr>
          <w:spacing w:val="-7"/>
        </w:rPr>
        <w:t> </w:t>
      </w:r>
      <w:r>
        <w:rPr/>
        <w:t>de</w:t>
      </w:r>
      <w:r>
        <w:rPr>
          <w:spacing w:val="-10"/>
        </w:rPr>
        <w:t> </w:t>
      </w:r>
      <w:r>
        <w:rPr/>
        <w:t>toxicité</w:t>
      </w:r>
      <w:r>
        <w:rPr>
          <w:spacing w:val="-9"/>
        </w:rPr>
        <w:t> </w:t>
      </w:r>
      <w:r>
        <w:rPr/>
        <w:t>étant</w:t>
      </w:r>
      <w:r>
        <w:rPr>
          <w:spacing w:val="-9"/>
        </w:rPr>
        <w:t> </w:t>
      </w:r>
      <w:r>
        <w:rPr/>
        <w:t>donné</w:t>
      </w:r>
      <w:r>
        <w:rPr>
          <w:spacing w:val="-10"/>
        </w:rPr>
        <w:t> </w:t>
      </w:r>
      <w:r>
        <w:rPr/>
        <w:t>que la voie qu’ils bloquent se retrouve dans de nombreux types cellulaires. Leurs effets sont également atténués par des boucles de rétrocontrôle négatif régulant mTORC1, qui habituellement suppriment les signaux de la cascade en amont, mais qui sont réactivés lors de l’utilisation</w:t>
      </w:r>
      <w:r>
        <w:rPr>
          <w:spacing w:val="-9"/>
        </w:rPr>
        <w:t> </w:t>
      </w:r>
      <w:r>
        <w:rPr/>
        <w:t>d’inhibiteurs</w:t>
      </w:r>
      <w:r>
        <w:rPr>
          <w:spacing w:val="-10"/>
        </w:rPr>
        <w:t> </w:t>
      </w:r>
      <w:r>
        <w:rPr/>
        <w:t>de</w:t>
      </w:r>
      <w:r>
        <w:rPr>
          <w:spacing w:val="-11"/>
        </w:rPr>
        <w:t> </w:t>
      </w:r>
      <w:r>
        <w:rPr/>
        <w:t>mTOR.</w:t>
      </w:r>
      <w:r>
        <w:rPr>
          <w:spacing w:val="-7"/>
        </w:rPr>
        <w:t> </w:t>
      </w:r>
      <w:r>
        <w:rPr/>
        <w:t>Les</w:t>
      </w:r>
      <w:r>
        <w:rPr>
          <w:spacing w:val="-10"/>
        </w:rPr>
        <w:t> </w:t>
      </w:r>
      <w:r>
        <w:rPr/>
        <w:t>inhibiteurs</w:t>
      </w:r>
      <w:r>
        <w:rPr>
          <w:spacing w:val="-10"/>
        </w:rPr>
        <w:t> </w:t>
      </w:r>
      <w:r>
        <w:rPr/>
        <w:t>de</w:t>
      </w:r>
      <w:r>
        <w:rPr>
          <w:spacing w:val="-11"/>
        </w:rPr>
        <w:t> </w:t>
      </w:r>
      <w:r>
        <w:rPr/>
        <w:t>mTOR</w:t>
      </w:r>
      <w:r>
        <w:rPr>
          <w:spacing w:val="-9"/>
        </w:rPr>
        <w:t> </w:t>
      </w:r>
      <w:r>
        <w:rPr/>
        <w:t>compétitifs</w:t>
      </w:r>
      <w:r>
        <w:rPr>
          <w:spacing w:val="-10"/>
        </w:rPr>
        <w:t> </w:t>
      </w:r>
      <w:r>
        <w:rPr/>
        <w:t>de</w:t>
      </w:r>
      <w:r>
        <w:rPr>
          <w:spacing w:val="-11"/>
        </w:rPr>
        <w:t> </w:t>
      </w:r>
      <w:r>
        <w:rPr/>
        <w:t>l’ATP</w:t>
      </w:r>
      <w:r>
        <w:rPr>
          <w:spacing w:val="-9"/>
        </w:rPr>
        <w:t> </w:t>
      </w:r>
      <w:r>
        <w:rPr/>
        <w:t>empêchent cette réactivation car ils ne sont pas des inhibiteurs allostériques comme la rapamycine par exemple (Li et al.,</w:t>
      </w:r>
      <w:r>
        <w:rPr>
          <w:spacing w:val="-6"/>
        </w:rPr>
        <w:t> </w:t>
      </w:r>
      <w:r>
        <w:rPr/>
        <w:t>2014a).</w:t>
      </w:r>
    </w:p>
    <w:p>
      <w:pPr>
        <w:spacing w:after="0" w:line="273" w:lineRule="auto"/>
        <w:jc w:val="both"/>
        <w:sectPr>
          <w:pgSz w:w="11910" w:h="16840"/>
          <w:pgMar w:header="0" w:footer="995" w:top="1320" w:bottom="1240" w:left="1300" w:right="1300"/>
        </w:sectPr>
      </w:pPr>
    </w:p>
    <w:p>
      <w:pPr>
        <w:pStyle w:val="Heading3"/>
        <w:numPr>
          <w:ilvl w:val="1"/>
          <w:numId w:val="4"/>
        </w:numPr>
        <w:tabs>
          <w:tab w:pos="1535" w:val="left" w:leader="none"/>
        </w:tabs>
        <w:spacing w:line="278" w:lineRule="auto" w:before="75" w:after="0"/>
        <w:ind w:left="1534" w:right="113" w:hanging="360"/>
        <w:jc w:val="left"/>
      </w:pPr>
      <w:bookmarkStart w:name="_bookmark116" w:id="192"/>
      <w:bookmarkEnd w:id="192"/>
      <w:r>
        <w:rPr>
          <w:b w:val="0"/>
        </w:rPr>
      </w:r>
      <w:bookmarkStart w:name="_bookmark116" w:id="193"/>
      <w:bookmarkEnd w:id="193"/>
      <w:r>
        <w:rPr/>
        <w:t>C</w:t>
      </w:r>
      <w:r>
        <w:rPr/>
        <w:t>ibler la formation d’acétyl-CoA, à la base des réactions anaboliques</w:t>
      </w:r>
    </w:p>
    <w:p>
      <w:pPr>
        <w:pStyle w:val="BodyText"/>
        <w:spacing w:before="11"/>
        <w:rPr>
          <w:b/>
          <w:sz w:val="40"/>
        </w:rPr>
      </w:pPr>
    </w:p>
    <w:p>
      <w:pPr>
        <w:pStyle w:val="ListParagraph"/>
        <w:numPr>
          <w:ilvl w:val="0"/>
          <w:numId w:val="19"/>
        </w:numPr>
        <w:tabs>
          <w:tab w:pos="1110" w:val="left" w:leader="none"/>
        </w:tabs>
        <w:spacing w:line="240" w:lineRule="auto" w:before="0" w:after="0"/>
        <w:ind w:left="1110" w:right="0" w:hanging="360"/>
        <w:jc w:val="left"/>
        <w:rPr>
          <w:sz w:val="24"/>
        </w:rPr>
      </w:pPr>
      <w:bookmarkStart w:name="_bookmark117" w:id="194"/>
      <w:bookmarkEnd w:id="194"/>
      <w:r>
        <w:rPr/>
      </w:r>
      <w:bookmarkStart w:name="_bookmark117" w:id="195"/>
      <w:bookmarkEnd w:id="195"/>
      <w:r>
        <w:rPr>
          <w:sz w:val="24"/>
          <w:u w:val="single"/>
        </w:rPr>
        <w:t>C</w:t>
      </w:r>
      <w:r>
        <w:rPr>
          <w:sz w:val="24"/>
          <w:u w:val="single"/>
        </w:rPr>
        <w:t>ibler la pyruvate déshydrogénase</w:t>
      </w:r>
      <w:r>
        <w:rPr>
          <w:spacing w:val="-9"/>
          <w:sz w:val="24"/>
          <w:u w:val="single"/>
        </w:rPr>
        <w:t> </w:t>
      </w:r>
      <w:r>
        <w:rPr>
          <w:sz w:val="24"/>
          <w:u w:val="single"/>
        </w:rPr>
        <w:t>(PDH)</w:t>
      </w:r>
    </w:p>
    <w:p>
      <w:pPr>
        <w:pStyle w:val="BodyText"/>
        <w:rPr>
          <w:sz w:val="20"/>
        </w:rPr>
      </w:pPr>
    </w:p>
    <w:p>
      <w:pPr>
        <w:pStyle w:val="BodyText"/>
        <w:spacing w:before="7"/>
        <w:rPr>
          <w:sz w:val="17"/>
        </w:rPr>
      </w:pPr>
    </w:p>
    <w:p>
      <w:pPr>
        <w:pStyle w:val="Heading5"/>
        <w:numPr>
          <w:ilvl w:val="1"/>
          <w:numId w:val="19"/>
        </w:numPr>
        <w:tabs>
          <w:tab w:pos="2252" w:val="left" w:leader="none"/>
          <w:tab w:pos="2253" w:val="left" w:leader="none"/>
        </w:tabs>
        <w:spacing w:line="240" w:lineRule="auto" w:before="90" w:after="0"/>
        <w:ind w:left="2252" w:right="0" w:hanging="720"/>
        <w:jc w:val="left"/>
        <w:rPr>
          <w:i/>
        </w:rPr>
      </w:pPr>
      <w:bookmarkStart w:name="_bookmark118" w:id="196"/>
      <w:bookmarkEnd w:id="196"/>
      <w:r>
        <w:rPr>
          <w:b w:val="0"/>
          <w:i w:val="0"/>
        </w:rPr>
      </w:r>
      <w:bookmarkStart w:name="_bookmark118" w:id="197"/>
      <w:bookmarkEnd w:id="197"/>
      <w:r>
        <w:rPr>
          <w:i/>
        </w:rPr>
        <w:t>Le</w:t>
      </w:r>
      <w:r>
        <w:rPr>
          <w:i/>
        </w:rPr>
        <w:t> dichloroacétate</w:t>
      </w:r>
      <w:r>
        <w:rPr>
          <w:i/>
          <w:spacing w:val="-6"/>
        </w:rPr>
        <w:t> </w:t>
      </w:r>
      <w:r>
        <w:rPr>
          <w:i/>
        </w:rPr>
        <w:t>(DCA)</w:t>
      </w:r>
    </w:p>
    <w:p>
      <w:pPr>
        <w:pStyle w:val="BodyText"/>
        <w:rPr>
          <w:b/>
          <w:i/>
          <w:sz w:val="26"/>
        </w:rPr>
      </w:pPr>
    </w:p>
    <w:p>
      <w:pPr>
        <w:pStyle w:val="BodyText"/>
        <w:spacing w:line="276" w:lineRule="auto" w:before="214"/>
        <w:ind w:left="116" w:right="115" w:firstLine="707"/>
        <w:jc w:val="both"/>
      </w:pPr>
      <w:r>
        <w:rPr/>
        <w:t>La pyruvate déshydrogénase kinase 1 (PDK1) phosphoryle la PDH et la rend inactive, empêchant ainsi la formation d’acétyl-CoA. La PDK (isoformes PDK1-4) est inhibée par le </w:t>
      </w:r>
      <w:r>
        <w:rPr>
          <w:b/>
          <w:u w:val="thick"/>
        </w:rPr>
        <w:t>dichloroacétate (DCA)</w:t>
      </w:r>
      <w:r>
        <w:rPr>
          <w:b/>
        </w:rPr>
        <w:t> </w:t>
      </w:r>
      <w:r>
        <w:rPr/>
        <w:t>(Figure 27), analogue du pyruvate, molécule connue depuis fort longtemps (Whitehouse et Randle, 1973) et utilisée dans le traitement de l’acidose lactique.</w:t>
      </w:r>
    </w:p>
    <w:p>
      <w:pPr>
        <w:pStyle w:val="BodyText"/>
        <w:spacing w:before="3"/>
        <w:rPr>
          <w:sz w:val="11"/>
        </w:rPr>
      </w:pPr>
      <w:r>
        <w:rPr/>
        <w:drawing>
          <wp:anchor distT="0" distB="0" distL="0" distR="0" allowOverlap="1" layoutInCell="1" locked="0" behindDoc="0" simplePos="0" relativeHeight="1672">
            <wp:simplePos x="0" y="0"/>
            <wp:positionH relativeFrom="page">
              <wp:posOffset>2118995</wp:posOffset>
            </wp:positionH>
            <wp:positionV relativeFrom="paragraph">
              <wp:posOffset>107012</wp:posOffset>
            </wp:positionV>
            <wp:extent cx="3802811" cy="3889248"/>
            <wp:effectExtent l="0" t="0" r="0" b="0"/>
            <wp:wrapTopAndBottom/>
            <wp:docPr id="65" name="image31.jpeg" descr=""/>
            <wp:cNvGraphicFramePr>
              <a:graphicFrameLocks noChangeAspect="1"/>
            </wp:cNvGraphicFramePr>
            <a:graphic>
              <a:graphicData uri="http://schemas.openxmlformats.org/drawingml/2006/picture">
                <pic:pic>
                  <pic:nvPicPr>
                    <pic:cNvPr id="66" name="image31.jpeg"/>
                    <pic:cNvPicPr/>
                  </pic:nvPicPr>
                  <pic:blipFill>
                    <a:blip r:embed="rId37" cstate="print"/>
                    <a:stretch>
                      <a:fillRect/>
                    </a:stretch>
                  </pic:blipFill>
                  <pic:spPr>
                    <a:xfrm>
                      <a:off x="0" y="0"/>
                      <a:ext cx="3802811" cy="3889248"/>
                    </a:xfrm>
                    <a:prstGeom prst="rect">
                      <a:avLst/>
                    </a:prstGeom>
                  </pic:spPr>
                </pic:pic>
              </a:graphicData>
            </a:graphic>
          </wp:anchor>
        </w:drawing>
      </w:r>
    </w:p>
    <w:p>
      <w:pPr>
        <w:spacing w:before="133"/>
        <w:ind w:left="1479" w:right="1481" w:firstLine="0"/>
        <w:jc w:val="center"/>
        <w:rPr>
          <w:i/>
          <w:sz w:val="18"/>
        </w:rPr>
      </w:pPr>
      <w:bookmarkStart w:name="_bookmark119" w:id="198"/>
      <w:bookmarkEnd w:id="198"/>
      <w:r>
        <w:rPr/>
      </w:r>
      <w:r>
        <w:rPr>
          <w:i/>
          <w:color w:val="44536A"/>
          <w:sz w:val="18"/>
        </w:rPr>
        <w:t>Figure 27 : Mode d'action du DCA remis en contexte.</w:t>
      </w:r>
    </w:p>
    <w:p>
      <w:pPr>
        <w:pStyle w:val="BodyText"/>
        <w:spacing w:before="1"/>
        <w:rPr>
          <w:i/>
          <w:sz w:val="20"/>
        </w:rPr>
      </w:pPr>
    </w:p>
    <w:p>
      <w:pPr>
        <w:spacing w:before="0"/>
        <w:ind w:left="1479" w:right="1479" w:firstLine="0"/>
        <w:jc w:val="center"/>
        <w:rPr>
          <w:i/>
          <w:sz w:val="18"/>
        </w:rPr>
      </w:pPr>
      <w:r>
        <w:rPr>
          <w:i/>
          <w:color w:val="44536A"/>
          <w:sz w:val="18"/>
        </w:rPr>
        <w:t>D’après Bhat et al., 2015.</w:t>
      </w:r>
    </w:p>
    <w:p>
      <w:pPr>
        <w:pStyle w:val="BodyText"/>
        <w:rPr>
          <w:i/>
          <w:sz w:val="20"/>
        </w:rPr>
      </w:pPr>
    </w:p>
    <w:p>
      <w:pPr>
        <w:pStyle w:val="BodyText"/>
        <w:rPr>
          <w:i/>
          <w:sz w:val="20"/>
        </w:rPr>
      </w:pPr>
    </w:p>
    <w:p>
      <w:pPr>
        <w:pStyle w:val="BodyText"/>
        <w:spacing w:before="4"/>
        <w:rPr>
          <w:i/>
          <w:sz w:val="21"/>
        </w:rPr>
      </w:pPr>
    </w:p>
    <w:p>
      <w:pPr>
        <w:pStyle w:val="BodyText"/>
        <w:spacing w:line="276" w:lineRule="auto"/>
        <w:ind w:left="116" w:right="115" w:firstLine="707"/>
        <w:jc w:val="both"/>
      </w:pPr>
      <w:r>
        <w:rPr/>
        <w:t>La revue de Papandreou et al. met en lumière les spécificités du DCA, dont l’effet anticancéreux apparaît plus efficace </w:t>
      </w:r>
      <w:r>
        <w:rPr>
          <w:b/>
          <w:i/>
        </w:rPr>
        <w:t>in vivo </w:t>
      </w:r>
      <w:r>
        <w:rPr/>
        <w:t>qu’</w:t>
      </w:r>
      <w:r>
        <w:rPr>
          <w:b/>
          <w:i/>
        </w:rPr>
        <w:t>in vitro </w:t>
      </w:r>
      <w:r>
        <w:rPr/>
        <w:t>(Papandreou et al., 2011). De nombreuses études montrent le grand intérêt du DCA (Tableau 2).</w:t>
      </w:r>
    </w:p>
    <w:p>
      <w:pPr>
        <w:spacing w:after="0" w:line="276" w:lineRule="auto"/>
        <w:jc w:val="both"/>
        <w:sectPr>
          <w:pgSz w:w="11910" w:h="16840"/>
          <w:pgMar w:header="0" w:footer="995" w:top="1320" w:bottom="1240" w:left="1300" w:right="1300"/>
        </w:sectPr>
      </w:pPr>
    </w:p>
    <w:p>
      <w:pPr>
        <w:spacing w:before="72" w:after="21"/>
        <w:ind w:left="116" w:right="0" w:firstLine="0"/>
        <w:jc w:val="left"/>
        <w:rPr>
          <w:sz w:val="18"/>
        </w:rPr>
      </w:pPr>
      <w:bookmarkStart w:name="_bookmark120" w:id="199"/>
      <w:bookmarkEnd w:id="199"/>
      <w:r>
        <w:rPr/>
      </w:r>
      <w:r>
        <w:rPr>
          <w:i/>
          <w:color w:val="44536A"/>
          <w:sz w:val="18"/>
        </w:rPr>
        <w:t>Tableau 2 : Intérêt du DCA </w:t>
      </w:r>
      <w:r>
        <w:rPr>
          <w:color w:val="44536A"/>
          <w:sz w:val="18"/>
        </w:rPr>
        <w:t>in vitro</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022"/>
        <w:gridCol w:w="3022"/>
      </w:tblGrid>
      <w:tr>
        <w:trPr>
          <w:trHeight w:val="460" w:hRule="atLeast"/>
        </w:trPr>
        <w:tc>
          <w:tcPr>
            <w:tcW w:w="3020" w:type="dxa"/>
          </w:tcPr>
          <w:p>
            <w:pPr>
              <w:pStyle w:val="TableParagraph"/>
              <w:spacing w:line="273" w:lineRule="exact"/>
              <w:ind w:left="102" w:right="103"/>
              <w:jc w:val="center"/>
              <w:rPr>
                <w:sz w:val="24"/>
              </w:rPr>
            </w:pPr>
            <w:r>
              <w:rPr>
                <w:sz w:val="24"/>
              </w:rPr>
              <w:t>Type de cancer</w:t>
            </w:r>
          </w:p>
        </w:tc>
        <w:tc>
          <w:tcPr>
            <w:tcW w:w="3022" w:type="dxa"/>
          </w:tcPr>
          <w:p>
            <w:pPr>
              <w:pStyle w:val="TableParagraph"/>
              <w:spacing w:line="273" w:lineRule="exact"/>
              <w:ind w:left="142" w:right="141"/>
              <w:jc w:val="center"/>
              <w:rPr>
                <w:sz w:val="24"/>
              </w:rPr>
            </w:pPr>
            <w:r>
              <w:rPr>
                <w:sz w:val="24"/>
              </w:rPr>
              <w:t>Effets</w:t>
            </w:r>
          </w:p>
        </w:tc>
        <w:tc>
          <w:tcPr>
            <w:tcW w:w="3022" w:type="dxa"/>
          </w:tcPr>
          <w:p>
            <w:pPr>
              <w:pStyle w:val="TableParagraph"/>
              <w:spacing w:line="270" w:lineRule="exact"/>
              <w:ind w:left="521" w:right="522"/>
              <w:jc w:val="center"/>
              <w:rPr>
                <w:sz w:val="24"/>
              </w:rPr>
            </w:pPr>
            <w:r>
              <w:rPr>
                <w:sz w:val="24"/>
              </w:rPr>
              <w:t>Références</w:t>
            </w:r>
          </w:p>
        </w:tc>
      </w:tr>
      <w:tr>
        <w:trPr>
          <w:trHeight w:val="780" w:hRule="atLeast"/>
        </w:trPr>
        <w:tc>
          <w:tcPr>
            <w:tcW w:w="3020" w:type="dxa"/>
          </w:tcPr>
          <w:p>
            <w:pPr>
              <w:pStyle w:val="TableParagraph"/>
              <w:spacing w:line="270" w:lineRule="exact"/>
              <w:ind w:left="105" w:right="103"/>
              <w:jc w:val="center"/>
              <w:rPr>
                <w:sz w:val="24"/>
              </w:rPr>
            </w:pPr>
            <w:r>
              <w:rPr>
                <w:sz w:val="24"/>
              </w:rPr>
              <w:t>Poumon, Glioblastome, Sein</w:t>
            </w:r>
          </w:p>
        </w:tc>
        <w:tc>
          <w:tcPr>
            <w:tcW w:w="3022" w:type="dxa"/>
          </w:tcPr>
          <w:p>
            <w:pPr>
              <w:pStyle w:val="TableParagraph"/>
              <w:spacing w:line="276" w:lineRule="auto"/>
              <w:ind w:left="1007" w:right="238" w:hanging="747"/>
              <w:rPr>
                <w:sz w:val="24"/>
              </w:rPr>
            </w:pPr>
            <w:r>
              <w:rPr>
                <w:sz w:val="24"/>
              </w:rPr>
              <w:t>Apoptose, inhibition de la croissance</w:t>
            </w:r>
          </w:p>
        </w:tc>
        <w:tc>
          <w:tcPr>
            <w:tcW w:w="3022" w:type="dxa"/>
          </w:tcPr>
          <w:p>
            <w:pPr>
              <w:pStyle w:val="TableParagraph"/>
              <w:spacing w:line="273" w:lineRule="auto"/>
              <w:ind w:left="683" w:right="576" w:hanging="87"/>
              <w:rPr>
                <w:sz w:val="24"/>
              </w:rPr>
            </w:pPr>
            <w:r>
              <w:rPr>
                <w:sz w:val="24"/>
              </w:rPr>
              <w:t>Bonnet et al., 2007 Duan et al., 2013</w:t>
            </w:r>
          </w:p>
        </w:tc>
      </w:tr>
      <w:tr>
        <w:trPr>
          <w:trHeight w:val="620" w:hRule="atLeast"/>
        </w:trPr>
        <w:tc>
          <w:tcPr>
            <w:tcW w:w="3020" w:type="dxa"/>
          </w:tcPr>
          <w:p>
            <w:pPr>
              <w:pStyle w:val="TableParagraph"/>
              <w:spacing w:line="270" w:lineRule="exact"/>
              <w:ind w:left="105" w:right="101"/>
              <w:jc w:val="center"/>
              <w:rPr>
                <w:sz w:val="24"/>
              </w:rPr>
            </w:pPr>
            <w:r>
              <w:rPr>
                <w:sz w:val="24"/>
              </w:rPr>
              <w:t>Prostate</w:t>
            </w:r>
          </w:p>
        </w:tc>
        <w:tc>
          <w:tcPr>
            <w:tcW w:w="3022" w:type="dxa"/>
          </w:tcPr>
          <w:p>
            <w:pPr>
              <w:pStyle w:val="TableParagraph"/>
              <w:spacing w:line="270" w:lineRule="exact"/>
              <w:ind w:left="131" w:firstLine="84"/>
              <w:rPr>
                <w:sz w:val="24"/>
              </w:rPr>
            </w:pPr>
            <w:r>
              <w:rPr>
                <w:sz w:val="24"/>
              </w:rPr>
              <w:t>Inhibition de la croissance,</w:t>
            </w:r>
          </w:p>
          <w:p>
            <w:pPr>
              <w:pStyle w:val="TableParagraph"/>
              <w:spacing w:before="41"/>
              <w:ind w:left="131"/>
              <w:rPr>
                <w:sz w:val="24"/>
              </w:rPr>
            </w:pPr>
            <w:r>
              <w:rPr>
                <w:sz w:val="24"/>
              </w:rPr>
              <w:t>radiosensibilisation modérée</w:t>
            </w:r>
          </w:p>
        </w:tc>
        <w:tc>
          <w:tcPr>
            <w:tcW w:w="3022" w:type="dxa"/>
          </w:tcPr>
          <w:p>
            <w:pPr>
              <w:pStyle w:val="TableParagraph"/>
              <w:spacing w:line="268" w:lineRule="exact"/>
              <w:ind w:left="524" w:right="522"/>
              <w:jc w:val="center"/>
              <w:rPr>
                <w:sz w:val="24"/>
              </w:rPr>
            </w:pPr>
            <w:r>
              <w:rPr>
                <w:sz w:val="24"/>
              </w:rPr>
              <w:t>Cao et al., 2008</w:t>
            </w:r>
          </w:p>
        </w:tc>
      </w:tr>
      <w:tr>
        <w:trPr>
          <w:trHeight w:val="460" w:hRule="atLeast"/>
        </w:trPr>
        <w:tc>
          <w:tcPr>
            <w:tcW w:w="3020" w:type="dxa"/>
          </w:tcPr>
          <w:p>
            <w:pPr>
              <w:pStyle w:val="TableParagraph"/>
              <w:spacing w:line="270" w:lineRule="exact"/>
              <w:ind w:left="103" w:right="103"/>
              <w:jc w:val="center"/>
              <w:rPr>
                <w:sz w:val="24"/>
              </w:rPr>
            </w:pPr>
            <w:r>
              <w:rPr>
                <w:sz w:val="24"/>
              </w:rPr>
              <w:t>Endomètre</w:t>
            </w:r>
          </w:p>
        </w:tc>
        <w:tc>
          <w:tcPr>
            <w:tcW w:w="3022" w:type="dxa"/>
          </w:tcPr>
          <w:p>
            <w:pPr>
              <w:pStyle w:val="TableParagraph"/>
              <w:spacing w:line="270" w:lineRule="exact"/>
              <w:ind w:left="142" w:right="141"/>
              <w:jc w:val="center"/>
              <w:rPr>
                <w:sz w:val="24"/>
              </w:rPr>
            </w:pPr>
            <w:r>
              <w:rPr>
                <w:sz w:val="24"/>
              </w:rPr>
              <w:t>Inhibition de la croissance</w:t>
            </w:r>
          </w:p>
        </w:tc>
        <w:tc>
          <w:tcPr>
            <w:tcW w:w="3022" w:type="dxa"/>
          </w:tcPr>
          <w:p>
            <w:pPr>
              <w:pStyle w:val="TableParagraph"/>
              <w:spacing w:line="268" w:lineRule="exact"/>
              <w:ind w:left="522" w:right="522"/>
              <w:jc w:val="center"/>
              <w:rPr>
                <w:sz w:val="24"/>
              </w:rPr>
            </w:pPr>
            <w:r>
              <w:rPr>
                <w:sz w:val="24"/>
              </w:rPr>
              <w:t>Wong et al., 2008</w:t>
            </w:r>
          </w:p>
        </w:tc>
      </w:tr>
      <w:tr>
        <w:trPr>
          <w:trHeight w:val="940" w:hRule="atLeast"/>
        </w:trPr>
        <w:tc>
          <w:tcPr>
            <w:tcW w:w="3020" w:type="dxa"/>
          </w:tcPr>
          <w:p>
            <w:pPr>
              <w:pStyle w:val="TableParagraph"/>
              <w:spacing w:line="270" w:lineRule="exact"/>
              <w:ind w:left="104" w:right="103"/>
              <w:jc w:val="center"/>
              <w:rPr>
                <w:sz w:val="24"/>
              </w:rPr>
            </w:pPr>
            <w:r>
              <w:rPr>
                <w:sz w:val="24"/>
              </w:rPr>
              <w:t>Pédiatrique</w:t>
            </w:r>
          </w:p>
        </w:tc>
        <w:tc>
          <w:tcPr>
            <w:tcW w:w="3022" w:type="dxa"/>
          </w:tcPr>
          <w:p>
            <w:pPr>
              <w:pStyle w:val="TableParagraph"/>
              <w:spacing w:line="276" w:lineRule="auto"/>
              <w:ind w:left="184" w:right="181" w:firstLine="1"/>
              <w:jc w:val="center"/>
              <w:rPr>
                <w:sz w:val="24"/>
              </w:rPr>
            </w:pPr>
            <w:r>
              <w:rPr>
                <w:sz w:val="24"/>
              </w:rPr>
              <w:t>Apoptose à forte concentration, action sur la</w:t>
            </w:r>
          </w:p>
          <w:p>
            <w:pPr>
              <w:pStyle w:val="TableParagraph"/>
              <w:spacing w:before="7"/>
              <w:ind w:left="142" w:right="141"/>
              <w:jc w:val="center"/>
              <w:rPr>
                <w:sz w:val="24"/>
              </w:rPr>
            </w:pPr>
            <w:r>
              <w:rPr>
                <w:sz w:val="24"/>
              </w:rPr>
              <w:t>réponse à la chimiothérapie</w:t>
            </w:r>
          </w:p>
        </w:tc>
        <w:tc>
          <w:tcPr>
            <w:tcW w:w="3022" w:type="dxa"/>
          </w:tcPr>
          <w:p>
            <w:pPr>
              <w:pStyle w:val="TableParagraph"/>
              <w:spacing w:line="268" w:lineRule="exact"/>
              <w:ind w:left="524" w:right="522"/>
              <w:jc w:val="center"/>
              <w:rPr>
                <w:sz w:val="24"/>
              </w:rPr>
            </w:pPr>
            <w:r>
              <w:rPr>
                <w:sz w:val="24"/>
              </w:rPr>
              <w:t>Heshe et al., 2011</w:t>
            </w:r>
          </w:p>
        </w:tc>
      </w:tr>
      <w:tr>
        <w:trPr>
          <w:trHeight w:val="780" w:hRule="atLeast"/>
        </w:trPr>
        <w:tc>
          <w:tcPr>
            <w:tcW w:w="3020" w:type="dxa"/>
          </w:tcPr>
          <w:p>
            <w:pPr>
              <w:pStyle w:val="TableParagraph"/>
              <w:spacing w:line="273" w:lineRule="exact"/>
              <w:ind w:left="102" w:right="103"/>
              <w:jc w:val="center"/>
              <w:rPr>
                <w:sz w:val="24"/>
              </w:rPr>
            </w:pPr>
            <w:r>
              <w:rPr>
                <w:sz w:val="24"/>
              </w:rPr>
              <w:t>Colorectal</w:t>
            </w:r>
          </w:p>
        </w:tc>
        <w:tc>
          <w:tcPr>
            <w:tcW w:w="3022" w:type="dxa"/>
          </w:tcPr>
          <w:p>
            <w:pPr>
              <w:pStyle w:val="TableParagraph"/>
              <w:spacing w:line="276" w:lineRule="auto"/>
              <w:ind w:left="808" w:right="290" w:hanging="492"/>
              <w:rPr>
                <w:sz w:val="24"/>
              </w:rPr>
            </w:pPr>
            <w:r>
              <w:rPr>
                <w:sz w:val="24"/>
              </w:rPr>
              <w:t>Apoptose à de très fortes concentrations</w:t>
            </w:r>
          </w:p>
        </w:tc>
        <w:tc>
          <w:tcPr>
            <w:tcW w:w="3022" w:type="dxa"/>
          </w:tcPr>
          <w:p>
            <w:pPr>
              <w:pStyle w:val="TableParagraph"/>
              <w:spacing w:line="273" w:lineRule="auto"/>
              <w:ind w:left="724" w:right="521" w:hanging="180"/>
              <w:rPr>
                <w:sz w:val="24"/>
              </w:rPr>
            </w:pPr>
            <w:r>
              <w:rPr>
                <w:sz w:val="24"/>
              </w:rPr>
              <w:t>Madhok et al., 2010 Lin et al., 2014a</w:t>
            </w:r>
          </w:p>
        </w:tc>
      </w:tr>
      <w:tr>
        <w:trPr>
          <w:trHeight w:val="3480" w:hRule="atLeast"/>
        </w:trPr>
        <w:tc>
          <w:tcPr>
            <w:tcW w:w="3020" w:type="dxa"/>
          </w:tcPr>
          <w:p>
            <w:pPr>
              <w:pStyle w:val="TableParagraph"/>
              <w:spacing w:line="270" w:lineRule="exact"/>
              <w:ind w:left="104" w:right="103"/>
              <w:jc w:val="center"/>
              <w:rPr>
                <w:sz w:val="24"/>
              </w:rPr>
            </w:pPr>
            <w:r>
              <w:rPr>
                <w:sz w:val="24"/>
              </w:rPr>
              <w:t>Myélome multiple</w:t>
            </w:r>
          </w:p>
        </w:tc>
        <w:tc>
          <w:tcPr>
            <w:tcW w:w="3022" w:type="dxa"/>
          </w:tcPr>
          <w:p>
            <w:pPr>
              <w:pStyle w:val="TableParagraph"/>
              <w:spacing w:line="276" w:lineRule="auto"/>
              <w:ind w:left="148" w:right="141"/>
              <w:jc w:val="center"/>
              <w:rPr>
                <w:sz w:val="24"/>
              </w:rPr>
            </w:pPr>
            <w:r>
              <w:rPr>
                <w:sz w:val="24"/>
              </w:rPr>
              <w:t>Faibles doses de DCA (5-10 mM) : inhibe la glycolyse et améliore la respiration cellulaire</w:t>
            </w:r>
          </w:p>
          <w:p>
            <w:pPr>
              <w:pStyle w:val="TableParagraph"/>
              <w:spacing w:line="276" w:lineRule="auto" w:before="7"/>
              <w:ind w:left="194" w:right="190" w:firstLine="2"/>
              <w:jc w:val="center"/>
              <w:rPr>
                <w:sz w:val="24"/>
              </w:rPr>
            </w:pPr>
            <w:r>
              <w:rPr>
                <w:sz w:val="24"/>
              </w:rPr>
              <w:t>Fortes doses (10-25 mM) : production de ROS, apoptose, suppression de</w:t>
            </w:r>
            <w:r>
              <w:rPr>
                <w:spacing w:val="-4"/>
                <w:sz w:val="24"/>
              </w:rPr>
              <w:t> </w:t>
            </w:r>
            <w:r>
              <w:rPr>
                <w:sz w:val="24"/>
              </w:rPr>
              <w:t>la prolifération Sensibilisation au bortezomib –</w:t>
            </w:r>
            <w:r>
              <w:rPr>
                <w:spacing w:val="-4"/>
                <w:sz w:val="24"/>
              </w:rPr>
              <w:t> </w:t>
            </w:r>
            <w:r>
              <w:rPr>
                <w:sz w:val="24"/>
              </w:rPr>
              <w:t>amélioration</w:t>
            </w:r>
          </w:p>
          <w:p>
            <w:pPr>
              <w:pStyle w:val="TableParagraph"/>
              <w:spacing w:before="1"/>
              <w:ind w:left="143" w:right="141"/>
              <w:jc w:val="center"/>
              <w:rPr>
                <w:sz w:val="24"/>
              </w:rPr>
            </w:pPr>
            <w:r>
              <w:rPr>
                <w:sz w:val="24"/>
              </w:rPr>
              <w:t>de la survie</w:t>
            </w:r>
          </w:p>
        </w:tc>
        <w:tc>
          <w:tcPr>
            <w:tcW w:w="3022" w:type="dxa"/>
          </w:tcPr>
          <w:p>
            <w:pPr>
              <w:pStyle w:val="TableParagraph"/>
              <w:spacing w:line="268" w:lineRule="exact"/>
              <w:ind w:left="524" w:right="522"/>
              <w:jc w:val="center"/>
              <w:rPr>
                <w:sz w:val="24"/>
              </w:rPr>
            </w:pPr>
            <w:r>
              <w:rPr>
                <w:sz w:val="24"/>
              </w:rPr>
              <w:t>Sanchez et al., 2013</w:t>
            </w:r>
          </w:p>
        </w:tc>
      </w:tr>
    </w:tbl>
    <w:p>
      <w:pPr>
        <w:pStyle w:val="BodyText"/>
        <w:rPr>
          <w:sz w:val="27"/>
        </w:rPr>
      </w:pPr>
    </w:p>
    <w:p>
      <w:pPr>
        <w:pStyle w:val="BodyText"/>
        <w:spacing w:line="276" w:lineRule="auto"/>
        <w:ind w:left="116" w:right="116" w:firstLine="707"/>
        <w:jc w:val="both"/>
      </w:pPr>
      <w:r>
        <w:rPr/>
        <w:t>Le DCA sensibilise également de nombreuses lignées cellulaires résistantes à la chimiothérapie. L’accumulation de citrate engendrée par son utilisation rend les cellules de nouveau</w:t>
      </w:r>
      <w:r>
        <w:rPr>
          <w:spacing w:val="-14"/>
        </w:rPr>
        <w:t> </w:t>
      </w:r>
      <w:r>
        <w:rPr/>
        <w:t>sensibles</w:t>
      </w:r>
      <w:r>
        <w:rPr>
          <w:spacing w:val="-14"/>
        </w:rPr>
        <w:t> </w:t>
      </w:r>
      <w:r>
        <w:rPr/>
        <w:t>au</w:t>
      </w:r>
      <w:r>
        <w:rPr>
          <w:spacing w:val="-14"/>
        </w:rPr>
        <w:t> </w:t>
      </w:r>
      <w:r>
        <w:rPr/>
        <w:t>paclitaxel</w:t>
      </w:r>
      <w:r>
        <w:rPr>
          <w:spacing w:val="-13"/>
        </w:rPr>
        <w:t> </w:t>
      </w:r>
      <w:r>
        <w:rPr/>
        <w:t>(Zhou</w:t>
      </w:r>
      <w:r>
        <w:rPr>
          <w:spacing w:val="-14"/>
        </w:rPr>
        <w:t> </w:t>
      </w:r>
      <w:r>
        <w:rPr/>
        <w:t>et</w:t>
      </w:r>
      <w:r>
        <w:rPr>
          <w:spacing w:val="-14"/>
        </w:rPr>
        <w:t> </w:t>
      </w:r>
      <w:r>
        <w:rPr/>
        <w:t>al.,</w:t>
      </w:r>
      <w:r>
        <w:rPr>
          <w:spacing w:val="-14"/>
        </w:rPr>
        <w:t> </w:t>
      </w:r>
      <w:r>
        <w:rPr/>
        <w:t>2015).</w:t>
      </w:r>
      <w:r>
        <w:rPr>
          <w:spacing w:val="-10"/>
        </w:rPr>
        <w:t> </w:t>
      </w:r>
      <w:r>
        <w:rPr/>
        <w:t>La</w:t>
      </w:r>
      <w:r>
        <w:rPr>
          <w:spacing w:val="-13"/>
        </w:rPr>
        <w:t> </w:t>
      </w:r>
      <w:r>
        <w:rPr/>
        <w:t>revue</w:t>
      </w:r>
      <w:r>
        <w:rPr>
          <w:spacing w:val="-15"/>
        </w:rPr>
        <w:t> </w:t>
      </w:r>
      <w:r>
        <w:rPr/>
        <w:t>de</w:t>
      </w:r>
      <w:r>
        <w:rPr>
          <w:spacing w:val="-12"/>
        </w:rPr>
        <w:t> </w:t>
      </w:r>
      <w:r>
        <w:rPr/>
        <w:t>Lee</w:t>
      </w:r>
      <w:r>
        <w:rPr>
          <w:spacing w:val="-15"/>
        </w:rPr>
        <w:t> </w:t>
      </w:r>
      <w:r>
        <w:rPr/>
        <w:t>et</w:t>
      </w:r>
      <w:r>
        <w:rPr>
          <w:spacing w:val="-12"/>
        </w:rPr>
        <w:t> </w:t>
      </w:r>
      <w:r>
        <w:rPr/>
        <w:t>Yoon</w:t>
      </w:r>
      <w:r>
        <w:rPr>
          <w:spacing w:val="-12"/>
        </w:rPr>
        <w:t> </w:t>
      </w:r>
      <w:r>
        <w:rPr/>
        <w:t>exploite</w:t>
      </w:r>
      <w:r>
        <w:rPr>
          <w:spacing w:val="-15"/>
        </w:rPr>
        <w:t> </w:t>
      </w:r>
      <w:r>
        <w:rPr/>
        <w:t>également de nombreux articles étudiant l’action du DCA, dont certains qui soulignent que l’efficacité</w:t>
      </w:r>
      <w:r>
        <w:rPr>
          <w:spacing w:val="-25"/>
        </w:rPr>
        <w:t> </w:t>
      </w:r>
      <w:r>
        <w:rPr/>
        <w:t>de la molécule seule n’est pas optimale (Lee et Yoon,</w:t>
      </w:r>
      <w:r>
        <w:rPr>
          <w:spacing w:val="-10"/>
        </w:rPr>
        <w:t> </w:t>
      </w:r>
      <w:r>
        <w:rPr/>
        <w:t>2015).</w:t>
      </w:r>
    </w:p>
    <w:p>
      <w:pPr>
        <w:pStyle w:val="BodyText"/>
        <w:spacing w:line="276" w:lineRule="auto" w:before="164"/>
        <w:ind w:left="116" w:right="117" w:firstLine="707"/>
        <w:jc w:val="both"/>
      </w:pPr>
      <w:r>
        <w:rPr/>
        <w:t>De manière intéressante en médecine vétérinaire et en recherche comparée, les recherches de Dagli et al. montrent la sensibilité similaire des lignées cellulaires épithéliales tumorales</w:t>
      </w:r>
      <w:r>
        <w:rPr>
          <w:spacing w:val="-13"/>
        </w:rPr>
        <w:t> </w:t>
      </w:r>
      <w:r>
        <w:rPr/>
        <w:t>mammaires</w:t>
      </w:r>
      <w:r>
        <w:rPr>
          <w:spacing w:val="-13"/>
        </w:rPr>
        <w:t> </w:t>
      </w:r>
      <w:r>
        <w:rPr/>
        <w:t>humaines</w:t>
      </w:r>
      <w:r>
        <w:rPr>
          <w:spacing w:val="-13"/>
        </w:rPr>
        <w:t> </w:t>
      </w:r>
      <w:r>
        <w:rPr/>
        <w:t>et</w:t>
      </w:r>
      <w:r>
        <w:rPr>
          <w:spacing w:val="-13"/>
        </w:rPr>
        <w:t> </w:t>
      </w:r>
      <w:r>
        <w:rPr/>
        <w:t>canines</w:t>
      </w:r>
      <w:r>
        <w:rPr>
          <w:spacing w:val="-14"/>
        </w:rPr>
        <w:t> </w:t>
      </w:r>
      <w:r>
        <w:rPr/>
        <w:t>pour</w:t>
      </w:r>
      <w:r>
        <w:rPr>
          <w:spacing w:val="-14"/>
        </w:rPr>
        <w:t> </w:t>
      </w:r>
      <w:r>
        <w:rPr/>
        <w:t>des</w:t>
      </w:r>
      <w:r>
        <w:rPr>
          <w:spacing w:val="-13"/>
        </w:rPr>
        <w:t> </w:t>
      </w:r>
      <w:r>
        <w:rPr/>
        <w:t>concentrations</w:t>
      </w:r>
      <w:r>
        <w:rPr>
          <w:spacing w:val="-13"/>
        </w:rPr>
        <w:t> </w:t>
      </w:r>
      <w:r>
        <w:rPr/>
        <w:t>supérieures</w:t>
      </w:r>
      <w:r>
        <w:rPr>
          <w:spacing w:val="-13"/>
        </w:rPr>
        <w:t> </w:t>
      </w:r>
      <w:r>
        <w:rPr/>
        <w:t>à</w:t>
      </w:r>
      <w:r>
        <w:rPr>
          <w:spacing w:val="-14"/>
        </w:rPr>
        <w:t> </w:t>
      </w:r>
      <w:r>
        <w:rPr/>
        <w:t>20</w:t>
      </w:r>
      <w:r>
        <w:rPr>
          <w:spacing w:val="-8"/>
        </w:rPr>
        <w:t> </w:t>
      </w:r>
      <w:r>
        <w:rPr/>
        <w:t>mM</w:t>
      </w:r>
      <w:r>
        <w:rPr>
          <w:spacing w:val="-13"/>
        </w:rPr>
        <w:t> </w:t>
      </w:r>
      <w:r>
        <w:rPr/>
        <w:t>(Dagli et al.,</w:t>
      </w:r>
      <w:r>
        <w:rPr>
          <w:spacing w:val="-2"/>
        </w:rPr>
        <w:t> </w:t>
      </w:r>
      <w:r>
        <w:rPr/>
        <w:t>2017).</w:t>
      </w:r>
    </w:p>
    <w:p>
      <w:pPr>
        <w:pStyle w:val="BodyText"/>
        <w:spacing w:line="276" w:lineRule="auto" w:before="161"/>
        <w:ind w:left="116" w:right="113" w:firstLine="707"/>
        <w:jc w:val="both"/>
      </w:pPr>
      <w:r>
        <w:rPr/>
        <w:t>La combinaison de deux molécules de DCA avec une molécule de cisplatine a donné naissance</w:t>
      </w:r>
      <w:r>
        <w:rPr>
          <w:spacing w:val="-8"/>
        </w:rPr>
        <w:t> </w:t>
      </w:r>
      <w:r>
        <w:rPr/>
        <w:t>à</w:t>
      </w:r>
      <w:r>
        <w:rPr>
          <w:spacing w:val="-8"/>
        </w:rPr>
        <w:t> </w:t>
      </w:r>
      <w:r>
        <w:rPr/>
        <w:t>la</w:t>
      </w:r>
      <w:r>
        <w:rPr>
          <w:spacing w:val="-8"/>
        </w:rPr>
        <w:t> </w:t>
      </w:r>
      <w:r>
        <w:rPr/>
        <w:t>molécule</w:t>
      </w:r>
      <w:r>
        <w:rPr>
          <w:spacing w:val="-8"/>
        </w:rPr>
        <w:t> </w:t>
      </w:r>
      <w:r>
        <w:rPr/>
        <w:t>de</w:t>
      </w:r>
      <w:r>
        <w:rPr>
          <w:spacing w:val="-4"/>
        </w:rPr>
        <w:t> </w:t>
      </w:r>
      <w:r>
        <w:rPr>
          <w:b/>
          <w:u w:val="thick"/>
        </w:rPr>
        <w:t>mitaplatine</w:t>
      </w:r>
      <w:r>
        <w:rPr>
          <w:b/>
          <w:spacing w:val="-8"/>
        </w:rPr>
        <w:t> </w:t>
      </w:r>
      <w:r>
        <w:rPr/>
        <w:t>(Dhar</w:t>
      </w:r>
      <w:r>
        <w:rPr>
          <w:spacing w:val="-6"/>
        </w:rPr>
        <w:t> </w:t>
      </w:r>
      <w:r>
        <w:rPr/>
        <w:t>et</w:t>
      </w:r>
      <w:r>
        <w:rPr>
          <w:spacing w:val="-4"/>
        </w:rPr>
        <w:t> </w:t>
      </w:r>
      <w:r>
        <w:rPr/>
        <w:t>Lippard,</w:t>
      </w:r>
      <w:r>
        <w:rPr>
          <w:spacing w:val="-7"/>
        </w:rPr>
        <w:t> </w:t>
      </w:r>
      <w:r>
        <w:rPr/>
        <w:t>2009).</w:t>
      </w:r>
      <w:r>
        <w:rPr>
          <w:spacing w:val="-7"/>
        </w:rPr>
        <w:t> </w:t>
      </w:r>
      <w:r>
        <w:rPr/>
        <w:t>Cette</w:t>
      </w:r>
      <w:r>
        <w:rPr>
          <w:spacing w:val="-8"/>
        </w:rPr>
        <w:t> </w:t>
      </w:r>
      <w:r>
        <w:rPr/>
        <w:t>dernière</w:t>
      </w:r>
      <w:r>
        <w:rPr>
          <w:spacing w:val="-9"/>
        </w:rPr>
        <w:t> </w:t>
      </w:r>
      <w:r>
        <w:rPr/>
        <w:t>permet</w:t>
      </w:r>
      <w:r>
        <w:rPr>
          <w:spacing w:val="-7"/>
        </w:rPr>
        <w:t> </w:t>
      </w:r>
      <w:r>
        <w:rPr/>
        <w:t>donc</w:t>
      </w:r>
      <w:r>
        <w:rPr>
          <w:spacing w:val="-8"/>
        </w:rPr>
        <w:t> </w:t>
      </w:r>
      <w:r>
        <w:rPr/>
        <w:t>de cibler à la fois l’ADN et le métabolisme de la cellule tumorale. </w:t>
      </w:r>
      <w:r>
        <w:rPr>
          <w:spacing w:val="-3"/>
        </w:rPr>
        <w:t>Le </w:t>
      </w:r>
      <w:r>
        <w:rPr/>
        <w:t>mitaplatine permet entre autre de lever la chimiorésistance au cisplatine dans des lignées cellulaires d’adénocarcinome épidermoïde et d’hépatome (Xue et al.,</w:t>
      </w:r>
      <w:r>
        <w:rPr>
          <w:spacing w:val="-8"/>
        </w:rPr>
        <w:t> </w:t>
      </w:r>
      <w:r>
        <w:rPr/>
        <w:t>2012)</w:t>
      </w:r>
    </w:p>
    <w:p>
      <w:pPr>
        <w:spacing w:after="0" w:line="276" w:lineRule="auto"/>
        <w:jc w:val="both"/>
        <w:sectPr>
          <w:pgSz w:w="11910" w:h="16840"/>
          <w:pgMar w:header="0" w:footer="995" w:top="1320" w:bottom="1240" w:left="1300" w:right="1300"/>
        </w:sectPr>
      </w:pPr>
    </w:p>
    <w:p>
      <w:pPr>
        <w:pStyle w:val="Heading5"/>
        <w:numPr>
          <w:ilvl w:val="1"/>
          <w:numId w:val="19"/>
        </w:numPr>
        <w:tabs>
          <w:tab w:pos="2252" w:val="left" w:leader="none"/>
          <w:tab w:pos="2253" w:val="left" w:leader="none"/>
        </w:tabs>
        <w:spacing w:line="240" w:lineRule="auto" w:before="77" w:after="0"/>
        <w:ind w:left="2252" w:right="0" w:hanging="720"/>
        <w:jc w:val="left"/>
        <w:rPr>
          <w:i/>
        </w:rPr>
      </w:pPr>
      <w:bookmarkStart w:name="_bookmark121" w:id="200"/>
      <w:bookmarkEnd w:id="200"/>
      <w:r>
        <w:rPr>
          <w:b w:val="0"/>
          <w:i w:val="0"/>
        </w:rPr>
      </w:r>
      <w:bookmarkStart w:name="_bookmark121" w:id="201"/>
      <w:bookmarkEnd w:id="201"/>
      <w:r>
        <w:rPr>
          <w:i/>
        </w:rPr>
        <w:t>L</w:t>
      </w:r>
      <w:r>
        <w:rPr>
          <w:i/>
        </w:rPr>
        <w:t>’acide alpha lipoïque</w:t>
      </w:r>
      <w:r>
        <w:rPr>
          <w:i/>
          <w:spacing w:val="-1"/>
        </w:rPr>
        <w:t> </w:t>
      </w:r>
      <w:r>
        <w:rPr>
          <w:i/>
        </w:rPr>
        <w:t>(ALA)</w:t>
      </w:r>
    </w:p>
    <w:p>
      <w:pPr>
        <w:pStyle w:val="BodyText"/>
        <w:rPr>
          <w:b/>
          <w:i/>
          <w:sz w:val="26"/>
        </w:rPr>
      </w:pPr>
    </w:p>
    <w:p>
      <w:pPr>
        <w:pStyle w:val="BodyText"/>
        <w:spacing w:line="273" w:lineRule="auto" w:before="217"/>
        <w:ind w:left="116" w:right="114" w:firstLine="707"/>
        <w:jc w:val="right"/>
      </w:pPr>
      <w:r>
        <w:rPr/>
        <w:t>L’</w:t>
      </w:r>
      <w:r>
        <w:rPr>
          <w:b/>
          <w:u w:val="thick"/>
        </w:rPr>
        <w:t>acide</w:t>
      </w:r>
      <w:r>
        <w:rPr>
          <w:b/>
          <w:spacing w:val="43"/>
          <w:u w:val="thick"/>
        </w:rPr>
        <w:t> </w:t>
      </w:r>
      <w:r>
        <w:rPr>
          <w:b/>
          <w:u w:val="thick"/>
        </w:rPr>
        <w:t>alpha</w:t>
      </w:r>
      <w:r>
        <w:rPr>
          <w:b/>
          <w:spacing w:val="45"/>
          <w:u w:val="thick"/>
        </w:rPr>
        <w:t> </w:t>
      </w:r>
      <w:r>
        <w:rPr>
          <w:b/>
          <w:u w:val="thick"/>
        </w:rPr>
        <w:t>lipoïque</w:t>
      </w:r>
      <w:r>
        <w:rPr/>
        <w:t>,</w:t>
      </w:r>
      <w:r>
        <w:rPr>
          <w:spacing w:val="42"/>
        </w:rPr>
        <w:t> </w:t>
      </w:r>
      <w:r>
        <w:rPr/>
        <w:t>ou</w:t>
      </w:r>
      <w:r>
        <w:rPr>
          <w:spacing w:val="45"/>
        </w:rPr>
        <w:t> </w:t>
      </w:r>
      <w:r>
        <w:rPr/>
        <w:t>acide</w:t>
      </w:r>
      <w:r>
        <w:rPr>
          <w:spacing w:val="45"/>
        </w:rPr>
        <w:t> </w:t>
      </w:r>
      <w:r>
        <w:rPr/>
        <w:t>lipoïque</w:t>
      </w:r>
      <w:r>
        <w:rPr>
          <w:spacing w:val="45"/>
        </w:rPr>
        <w:t> </w:t>
      </w:r>
      <w:r>
        <w:rPr/>
        <w:t>(ALA),</w:t>
      </w:r>
      <w:r>
        <w:rPr>
          <w:spacing w:val="45"/>
        </w:rPr>
        <w:t> </w:t>
      </w:r>
      <w:r>
        <w:rPr/>
        <w:t>est</w:t>
      </w:r>
      <w:r>
        <w:rPr>
          <w:spacing w:val="45"/>
        </w:rPr>
        <w:t> </w:t>
      </w:r>
      <w:r>
        <w:rPr/>
        <w:t>un</w:t>
      </w:r>
      <w:r>
        <w:rPr>
          <w:spacing w:val="45"/>
        </w:rPr>
        <w:t> </w:t>
      </w:r>
      <w:r>
        <w:rPr/>
        <w:t>composé</w:t>
      </w:r>
      <w:r>
        <w:rPr>
          <w:spacing w:val="43"/>
        </w:rPr>
        <w:t> </w:t>
      </w:r>
      <w:r>
        <w:rPr/>
        <w:t>thiol</w:t>
      </w:r>
      <w:r>
        <w:rPr>
          <w:spacing w:val="45"/>
        </w:rPr>
        <w:t> </w:t>
      </w:r>
      <w:r>
        <w:rPr/>
        <w:t>considéré comme</w:t>
      </w:r>
      <w:r>
        <w:rPr>
          <w:spacing w:val="23"/>
        </w:rPr>
        <w:t> </w:t>
      </w:r>
      <w:r>
        <w:rPr/>
        <w:t>un</w:t>
      </w:r>
      <w:r>
        <w:rPr>
          <w:spacing w:val="25"/>
        </w:rPr>
        <w:t> </w:t>
      </w:r>
      <w:r>
        <w:rPr/>
        <w:t>antioxydant</w:t>
      </w:r>
      <w:r>
        <w:rPr>
          <w:spacing w:val="27"/>
        </w:rPr>
        <w:t> </w:t>
      </w:r>
      <w:r>
        <w:rPr/>
        <w:t>naturel.</w:t>
      </w:r>
      <w:r>
        <w:rPr>
          <w:spacing w:val="25"/>
        </w:rPr>
        <w:t> </w:t>
      </w:r>
      <w:r>
        <w:rPr/>
        <w:t>C’est</w:t>
      </w:r>
      <w:r>
        <w:rPr>
          <w:spacing w:val="25"/>
        </w:rPr>
        <w:t> </w:t>
      </w:r>
      <w:r>
        <w:rPr/>
        <w:t>un</w:t>
      </w:r>
      <w:r>
        <w:rPr>
          <w:spacing w:val="25"/>
        </w:rPr>
        <w:t> </w:t>
      </w:r>
      <w:r>
        <w:rPr/>
        <w:t>coenzyme</w:t>
      </w:r>
      <w:r>
        <w:rPr>
          <w:spacing w:val="25"/>
        </w:rPr>
        <w:t> </w:t>
      </w:r>
      <w:r>
        <w:rPr/>
        <w:t>essentiel</w:t>
      </w:r>
      <w:r>
        <w:rPr>
          <w:spacing w:val="25"/>
        </w:rPr>
        <w:t> </w:t>
      </w:r>
      <w:r>
        <w:rPr/>
        <w:t>à</w:t>
      </w:r>
      <w:r>
        <w:rPr>
          <w:spacing w:val="23"/>
        </w:rPr>
        <w:t> </w:t>
      </w:r>
      <w:r>
        <w:rPr/>
        <w:t>la</w:t>
      </w:r>
      <w:r>
        <w:rPr>
          <w:spacing w:val="25"/>
        </w:rPr>
        <w:t> </w:t>
      </w:r>
      <w:r>
        <w:rPr/>
        <w:t>réaction</w:t>
      </w:r>
      <w:r>
        <w:rPr>
          <w:spacing w:val="25"/>
        </w:rPr>
        <w:t> </w:t>
      </w:r>
      <w:r>
        <w:rPr/>
        <w:t>de</w:t>
      </w:r>
      <w:r>
        <w:rPr>
          <w:spacing w:val="23"/>
        </w:rPr>
        <w:t> </w:t>
      </w:r>
      <w:r>
        <w:rPr/>
        <w:t>conversion</w:t>
      </w:r>
      <w:r>
        <w:rPr>
          <w:spacing w:val="25"/>
        </w:rPr>
        <w:t> </w:t>
      </w:r>
      <w:r>
        <w:rPr/>
        <w:t>du pyruvate</w:t>
      </w:r>
      <w:r>
        <w:rPr>
          <w:spacing w:val="-13"/>
        </w:rPr>
        <w:t> </w:t>
      </w:r>
      <w:r>
        <w:rPr/>
        <w:t>en</w:t>
      </w:r>
      <w:r>
        <w:rPr>
          <w:spacing w:val="-12"/>
        </w:rPr>
        <w:t> </w:t>
      </w:r>
      <w:r>
        <w:rPr/>
        <w:t>acétyl-CoA,</w:t>
      </w:r>
      <w:r>
        <w:rPr>
          <w:spacing w:val="-13"/>
        </w:rPr>
        <w:t> </w:t>
      </w:r>
      <w:r>
        <w:rPr/>
        <w:t>car</w:t>
      </w:r>
      <w:r>
        <w:rPr>
          <w:spacing w:val="-13"/>
        </w:rPr>
        <w:t> </w:t>
      </w:r>
      <w:r>
        <w:rPr/>
        <w:t>il</w:t>
      </w:r>
      <w:r>
        <w:rPr>
          <w:spacing w:val="-11"/>
        </w:rPr>
        <w:t> </w:t>
      </w:r>
      <w:r>
        <w:rPr/>
        <w:t>semble</w:t>
      </w:r>
      <w:r>
        <w:rPr>
          <w:spacing w:val="-13"/>
        </w:rPr>
        <w:t> </w:t>
      </w:r>
      <w:r>
        <w:rPr/>
        <w:t>agir</w:t>
      </w:r>
      <w:r>
        <w:rPr>
          <w:spacing w:val="-12"/>
        </w:rPr>
        <w:t> </w:t>
      </w:r>
      <w:r>
        <w:rPr/>
        <w:t>par</w:t>
      </w:r>
      <w:r>
        <w:rPr>
          <w:spacing w:val="-13"/>
        </w:rPr>
        <w:t> </w:t>
      </w:r>
      <w:r>
        <w:rPr/>
        <w:t>l’inhibition</w:t>
      </w:r>
      <w:r>
        <w:rPr>
          <w:spacing w:val="-12"/>
        </w:rPr>
        <w:t> </w:t>
      </w:r>
      <w:r>
        <w:rPr/>
        <w:t>de</w:t>
      </w:r>
      <w:r>
        <w:rPr>
          <w:spacing w:val="-13"/>
        </w:rPr>
        <w:t> </w:t>
      </w:r>
      <w:r>
        <w:rPr/>
        <w:t>la</w:t>
      </w:r>
      <w:r>
        <w:rPr>
          <w:spacing w:val="-13"/>
        </w:rPr>
        <w:t> </w:t>
      </w:r>
      <w:r>
        <w:rPr/>
        <w:t>PDK</w:t>
      </w:r>
      <w:r>
        <w:rPr>
          <w:spacing w:val="-13"/>
        </w:rPr>
        <w:t> </w:t>
      </w:r>
      <w:r>
        <w:rPr/>
        <w:t>(Abolhassani</w:t>
      </w:r>
      <w:r>
        <w:rPr>
          <w:spacing w:val="-12"/>
        </w:rPr>
        <w:t> </w:t>
      </w:r>
      <w:r>
        <w:rPr/>
        <w:t>et</w:t>
      </w:r>
      <w:r>
        <w:rPr>
          <w:spacing w:val="-12"/>
        </w:rPr>
        <w:t> </w:t>
      </w:r>
      <w:r>
        <w:rPr/>
        <w:t>al.,</w:t>
      </w:r>
      <w:r>
        <w:rPr>
          <w:spacing w:val="-12"/>
        </w:rPr>
        <w:t> </w:t>
      </w:r>
      <w:r>
        <w:rPr/>
        <w:t>2012).</w:t>
      </w:r>
    </w:p>
    <w:p>
      <w:pPr>
        <w:pStyle w:val="BodyText"/>
        <w:spacing w:line="276" w:lineRule="auto" w:before="167"/>
        <w:ind w:left="116" w:right="114" w:firstLine="707"/>
        <w:jc w:val="both"/>
      </w:pPr>
      <w:r>
        <w:rPr/>
        <w:t>D’après l’étude de Wenzel et Nickel, l’ALA induit l’apoptose dans des lignées cellulaires</w:t>
      </w:r>
      <w:r>
        <w:rPr>
          <w:spacing w:val="-11"/>
        </w:rPr>
        <w:t> </w:t>
      </w:r>
      <w:r>
        <w:rPr/>
        <w:t>de</w:t>
      </w:r>
      <w:r>
        <w:rPr>
          <w:spacing w:val="-12"/>
        </w:rPr>
        <w:t> </w:t>
      </w:r>
      <w:r>
        <w:rPr/>
        <w:t>cancer</w:t>
      </w:r>
      <w:r>
        <w:rPr>
          <w:spacing w:val="-12"/>
        </w:rPr>
        <w:t> </w:t>
      </w:r>
      <w:r>
        <w:rPr/>
        <w:t>du</w:t>
      </w:r>
      <w:r>
        <w:rPr>
          <w:spacing w:val="-9"/>
        </w:rPr>
        <w:t> </w:t>
      </w:r>
      <w:r>
        <w:rPr/>
        <w:t>côlon</w:t>
      </w:r>
      <w:r>
        <w:rPr>
          <w:spacing w:val="-9"/>
        </w:rPr>
        <w:t> </w:t>
      </w:r>
      <w:r>
        <w:rPr/>
        <w:t>(Wenzel</w:t>
      </w:r>
      <w:r>
        <w:rPr>
          <w:spacing w:val="-10"/>
        </w:rPr>
        <w:t> </w:t>
      </w:r>
      <w:r>
        <w:rPr/>
        <w:t>et</w:t>
      </w:r>
      <w:r>
        <w:rPr>
          <w:spacing w:val="-11"/>
        </w:rPr>
        <w:t> </w:t>
      </w:r>
      <w:r>
        <w:rPr/>
        <w:t>Nickel,</w:t>
      </w:r>
      <w:r>
        <w:rPr>
          <w:spacing w:val="-10"/>
        </w:rPr>
        <w:t> </w:t>
      </w:r>
      <w:r>
        <w:rPr/>
        <w:t>2005).</w:t>
      </w:r>
      <w:r>
        <w:rPr>
          <w:spacing w:val="-11"/>
        </w:rPr>
        <w:t> </w:t>
      </w:r>
      <w:r>
        <w:rPr/>
        <w:t>De</w:t>
      </w:r>
      <w:r>
        <w:rPr>
          <w:spacing w:val="-13"/>
        </w:rPr>
        <w:t> </w:t>
      </w:r>
      <w:r>
        <w:rPr/>
        <w:t>même,</w:t>
      </w:r>
      <w:r>
        <w:rPr>
          <w:spacing w:val="-12"/>
        </w:rPr>
        <w:t> </w:t>
      </w:r>
      <w:r>
        <w:rPr/>
        <w:t>il</w:t>
      </w:r>
      <w:r>
        <w:rPr>
          <w:spacing w:val="-10"/>
        </w:rPr>
        <w:t> </w:t>
      </w:r>
      <w:r>
        <w:rPr/>
        <w:t>a</w:t>
      </w:r>
      <w:r>
        <w:rPr>
          <w:spacing w:val="-10"/>
        </w:rPr>
        <w:t> </w:t>
      </w:r>
      <w:r>
        <w:rPr/>
        <w:t>été</w:t>
      </w:r>
      <w:r>
        <w:rPr>
          <w:spacing w:val="-12"/>
        </w:rPr>
        <w:t> </w:t>
      </w:r>
      <w:r>
        <w:rPr/>
        <w:t>démontré</w:t>
      </w:r>
      <w:r>
        <w:rPr>
          <w:spacing w:val="-13"/>
        </w:rPr>
        <w:t> </w:t>
      </w:r>
      <w:r>
        <w:rPr/>
        <w:t>que</w:t>
      </w:r>
      <w:r>
        <w:rPr>
          <w:spacing w:val="-8"/>
        </w:rPr>
        <w:t> </w:t>
      </w:r>
      <w:r>
        <w:rPr/>
        <w:t>l’ALA provoque</w:t>
      </w:r>
      <w:r>
        <w:rPr>
          <w:spacing w:val="-7"/>
        </w:rPr>
        <w:t> </w:t>
      </w:r>
      <w:r>
        <w:rPr/>
        <w:t>une</w:t>
      </w:r>
      <w:r>
        <w:rPr>
          <w:spacing w:val="-7"/>
        </w:rPr>
        <w:t> </w:t>
      </w:r>
      <w:r>
        <w:rPr/>
        <w:t>baisse</w:t>
      </w:r>
      <w:r>
        <w:rPr>
          <w:spacing w:val="-7"/>
        </w:rPr>
        <w:t> </w:t>
      </w:r>
      <w:r>
        <w:rPr/>
        <w:t>de</w:t>
      </w:r>
      <w:r>
        <w:rPr>
          <w:spacing w:val="-7"/>
        </w:rPr>
        <w:t> </w:t>
      </w:r>
      <w:r>
        <w:rPr/>
        <w:t>la</w:t>
      </w:r>
      <w:r>
        <w:rPr>
          <w:spacing w:val="-7"/>
        </w:rPr>
        <w:t> </w:t>
      </w:r>
      <w:r>
        <w:rPr/>
        <w:t>prolifération</w:t>
      </w:r>
      <w:r>
        <w:rPr>
          <w:spacing w:val="-5"/>
        </w:rPr>
        <w:t> </w:t>
      </w:r>
      <w:r>
        <w:rPr/>
        <w:t>cellulaire</w:t>
      </w:r>
      <w:r>
        <w:rPr>
          <w:spacing w:val="-4"/>
        </w:rPr>
        <w:t> </w:t>
      </w:r>
      <w:r>
        <w:rPr/>
        <w:t>de</w:t>
      </w:r>
      <w:r>
        <w:rPr>
          <w:spacing w:val="-7"/>
        </w:rPr>
        <w:t> </w:t>
      </w:r>
      <w:r>
        <w:rPr/>
        <w:t>manière</w:t>
      </w:r>
      <w:r>
        <w:rPr>
          <w:spacing w:val="-8"/>
        </w:rPr>
        <w:t> </w:t>
      </w:r>
      <w:r>
        <w:rPr/>
        <w:t>dose</w:t>
      </w:r>
      <w:r>
        <w:rPr>
          <w:spacing w:val="-7"/>
        </w:rPr>
        <w:t> </w:t>
      </w:r>
      <w:r>
        <w:rPr/>
        <w:t>dépendante</w:t>
      </w:r>
      <w:r>
        <w:rPr>
          <w:spacing w:val="-7"/>
        </w:rPr>
        <w:t> </w:t>
      </w:r>
      <w:r>
        <w:rPr/>
        <w:t>dans</w:t>
      </w:r>
      <w:r>
        <w:rPr>
          <w:spacing w:val="-4"/>
        </w:rPr>
        <w:t> </w:t>
      </w:r>
      <w:r>
        <w:rPr/>
        <w:t>des</w:t>
      </w:r>
      <w:r>
        <w:rPr>
          <w:spacing w:val="-6"/>
        </w:rPr>
        <w:t> </w:t>
      </w:r>
      <w:r>
        <w:rPr/>
        <w:t>cellules de</w:t>
      </w:r>
      <w:r>
        <w:rPr>
          <w:spacing w:val="-13"/>
        </w:rPr>
        <w:t> </w:t>
      </w:r>
      <w:r>
        <w:rPr/>
        <w:t>cancer</w:t>
      </w:r>
      <w:r>
        <w:rPr>
          <w:spacing w:val="-13"/>
        </w:rPr>
        <w:t> </w:t>
      </w:r>
      <w:r>
        <w:rPr/>
        <w:t>du</w:t>
      </w:r>
      <w:r>
        <w:rPr>
          <w:spacing w:val="-10"/>
        </w:rPr>
        <w:t> </w:t>
      </w:r>
      <w:r>
        <w:rPr/>
        <w:t>sein</w:t>
      </w:r>
      <w:r>
        <w:rPr>
          <w:spacing w:val="-9"/>
        </w:rPr>
        <w:t> </w:t>
      </w:r>
      <w:r>
        <w:rPr/>
        <w:t>(Na</w:t>
      </w:r>
      <w:r>
        <w:rPr>
          <w:spacing w:val="-12"/>
        </w:rPr>
        <w:t> </w:t>
      </w:r>
      <w:r>
        <w:rPr/>
        <w:t>et</w:t>
      </w:r>
      <w:r>
        <w:rPr>
          <w:spacing w:val="-10"/>
        </w:rPr>
        <w:t> </w:t>
      </w:r>
      <w:r>
        <w:rPr/>
        <w:t>al.,</w:t>
      </w:r>
      <w:r>
        <w:rPr>
          <w:spacing w:val="-12"/>
        </w:rPr>
        <w:t> </w:t>
      </w:r>
      <w:r>
        <w:rPr/>
        <w:t>2009)</w:t>
      </w:r>
      <w:r>
        <w:rPr>
          <w:spacing w:val="-13"/>
        </w:rPr>
        <w:t> </w:t>
      </w:r>
      <w:r>
        <w:rPr/>
        <w:t>mais</w:t>
      </w:r>
      <w:r>
        <w:rPr>
          <w:spacing w:val="-10"/>
        </w:rPr>
        <w:t> </w:t>
      </w:r>
      <w:r>
        <w:rPr/>
        <w:t>conduit</w:t>
      </w:r>
      <w:r>
        <w:rPr>
          <w:spacing w:val="-12"/>
        </w:rPr>
        <w:t> </w:t>
      </w:r>
      <w:r>
        <w:rPr/>
        <w:t>également</w:t>
      </w:r>
      <w:r>
        <w:rPr>
          <w:spacing w:val="-12"/>
        </w:rPr>
        <w:t> </w:t>
      </w:r>
      <w:r>
        <w:rPr/>
        <w:t>à</w:t>
      </w:r>
      <w:r>
        <w:rPr>
          <w:spacing w:val="-13"/>
        </w:rPr>
        <w:t> </w:t>
      </w:r>
      <w:r>
        <w:rPr/>
        <w:t>la</w:t>
      </w:r>
      <w:r>
        <w:rPr>
          <w:spacing w:val="-13"/>
        </w:rPr>
        <w:t> </w:t>
      </w:r>
      <w:r>
        <w:rPr/>
        <w:t>diminution</w:t>
      </w:r>
      <w:r>
        <w:rPr>
          <w:spacing w:val="-12"/>
        </w:rPr>
        <w:t> </w:t>
      </w:r>
      <w:r>
        <w:rPr/>
        <w:t>de</w:t>
      </w:r>
      <w:r>
        <w:rPr>
          <w:spacing w:val="-9"/>
        </w:rPr>
        <w:t> </w:t>
      </w:r>
      <w:r>
        <w:rPr/>
        <w:t>la</w:t>
      </w:r>
      <w:r>
        <w:rPr>
          <w:spacing w:val="-13"/>
        </w:rPr>
        <w:t> </w:t>
      </w:r>
      <w:r>
        <w:rPr/>
        <w:t>survie</w:t>
      </w:r>
      <w:r>
        <w:rPr>
          <w:spacing w:val="-13"/>
        </w:rPr>
        <w:t> </w:t>
      </w:r>
      <w:r>
        <w:rPr/>
        <w:t>cellulaire et</w:t>
      </w:r>
      <w:r>
        <w:rPr>
          <w:spacing w:val="-11"/>
        </w:rPr>
        <w:t> </w:t>
      </w:r>
      <w:r>
        <w:rPr/>
        <w:t>à</w:t>
      </w:r>
      <w:r>
        <w:rPr>
          <w:spacing w:val="-12"/>
        </w:rPr>
        <w:t> </w:t>
      </w:r>
      <w:r>
        <w:rPr/>
        <w:t>l’induction</w:t>
      </w:r>
      <w:r>
        <w:rPr>
          <w:spacing w:val="-11"/>
        </w:rPr>
        <w:t> </w:t>
      </w:r>
      <w:r>
        <w:rPr/>
        <w:t>de</w:t>
      </w:r>
      <w:r>
        <w:rPr>
          <w:spacing w:val="-12"/>
        </w:rPr>
        <w:t> </w:t>
      </w:r>
      <w:r>
        <w:rPr/>
        <w:t>l’apoptose</w:t>
      </w:r>
      <w:r>
        <w:rPr>
          <w:spacing w:val="-12"/>
        </w:rPr>
        <w:t> </w:t>
      </w:r>
      <w:r>
        <w:rPr/>
        <w:t>de</w:t>
      </w:r>
      <w:r>
        <w:rPr>
          <w:spacing w:val="-12"/>
        </w:rPr>
        <w:t> </w:t>
      </w:r>
      <w:r>
        <w:rPr/>
        <w:t>manière</w:t>
      </w:r>
      <w:r>
        <w:rPr>
          <w:spacing w:val="-12"/>
        </w:rPr>
        <w:t> </w:t>
      </w:r>
      <w:r>
        <w:rPr/>
        <w:t>indépendante</w:t>
      </w:r>
      <w:r>
        <w:rPr>
          <w:spacing w:val="-11"/>
        </w:rPr>
        <w:t> </w:t>
      </w:r>
      <w:r>
        <w:rPr/>
        <w:t>ou</w:t>
      </w:r>
      <w:r>
        <w:rPr>
          <w:spacing w:val="-11"/>
        </w:rPr>
        <w:t> </w:t>
      </w:r>
      <w:r>
        <w:rPr/>
        <w:t>non</w:t>
      </w:r>
      <w:r>
        <w:rPr>
          <w:spacing w:val="-11"/>
        </w:rPr>
        <w:t> </w:t>
      </w:r>
      <w:r>
        <w:rPr/>
        <w:t>des</w:t>
      </w:r>
      <w:r>
        <w:rPr>
          <w:spacing w:val="-11"/>
        </w:rPr>
        <w:t> </w:t>
      </w:r>
      <w:r>
        <w:rPr/>
        <w:t>caspases</w:t>
      </w:r>
      <w:r>
        <w:rPr>
          <w:spacing w:val="-11"/>
        </w:rPr>
        <w:t> </w:t>
      </w:r>
      <w:r>
        <w:rPr/>
        <w:t>dans</w:t>
      </w:r>
      <w:r>
        <w:rPr>
          <w:spacing w:val="-10"/>
        </w:rPr>
        <w:t> </w:t>
      </w:r>
      <w:r>
        <w:rPr/>
        <w:t>des</w:t>
      </w:r>
      <w:r>
        <w:rPr>
          <w:spacing w:val="-11"/>
        </w:rPr>
        <w:t> </w:t>
      </w:r>
      <w:r>
        <w:rPr/>
        <w:t>cellules</w:t>
      </w:r>
      <w:r>
        <w:rPr>
          <w:spacing w:val="-2"/>
        </w:rPr>
        <w:t> </w:t>
      </w:r>
      <w:r>
        <w:rPr/>
        <w:t>du poumon (Choi et al., 2009). De manière plus précise, il semblerait que, pour les cellules épithéliales gastriques, l’ALA inhibe l’expression d’oncogène (c-myc) et l’hyperprolifération en bloquant la NADPH oxidase (Byun et al., 2014). Plus récemment, l’équipe de Puchsaka et al.</w:t>
      </w:r>
      <w:r>
        <w:rPr>
          <w:spacing w:val="-3"/>
        </w:rPr>
        <w:t> </w:t>
      </w:r>
      <w:r>
        <w:rPr/>
        <w:t>a</w:t>
      </w:r>
      <w:r>
        <w:rPr>
          <w:spacing w:val="-5"/>
        </w:rPr>
        <w:t> </w:t>
      </w:r>
      <w:r>
        <w:rPr/>
        <w:t>démontré</w:t>
      </w:r>
      <w:r>
        <w:rPr>
          <w:spacing w:val="-5"/>
        </w:rPr>
        <w:t> </w:t>
      </w:r>
      <w:r>
        <w:rPr/>
        <w:t>que</w:t>
      </w:r>
      <w:r>
        <w:rPr>
          <w:spacing w:val="-5"/>
        </w:rPr>
        <w:t> </w:t>
      </w:r>
      <w:r>
        <w:rPr/>
        <w:t>l’ALA</w:t>
      </w:r>
      <w:r>
        <w:rPr>
          <w:spacing w:val="-5"/>
        </w:rPr>
        <w:t> </w:t>
      </w:r>
      <w:r>
        <w:rPr/>
        <w:t>sensibilise</w:t>
      </w:r>
      <w:r>
        <w:rPr>
          <w:spacing w:val="-5"/>
        </w:rPr>
        <w:t> </w:t>
      </w:r>
      <w:r>
        <w:rPr/>
        <w:t>les</w:t>
      </w:r>
      <w:r>
        <w:rPr>
          <w:spacing w:val="-4"/>
        </w:rPr>
        <w:t> </w:t>
      </w:r>
      <w:r>
        <w:rPr/>
        <w:t>cellules</w:t>
      </w:r>
      <w:r>
        <w:rPr>
          <w:spacing w:val="-7"/>
        </w:rPr>
        <w:t> </w:t>
      </w:r>
      <w:r>
        <w:rPr/>
        <w:t>de</w:t>
      </w:r>
      <w:r>
        <w:rPr>
          <w:spacing w:val="-3"/>
        </w:rPr>
        <w:t> </w:t>
      </w:r>
      <w:r>
        <w:rPr/>
        <w:t>lignées</w:t>
      </w:r>
      <w:r>
        <w:rPr>
          <w:spacing w:val="-4"/>
        </w:rPr>
        <w:t> </w:t>
      </w:r>
      <w:r>
        <w:rPr/>
        <w:t>de</w:t>
      </w:r>
      <w:r>
        <w:rPr>
          <w:spacing w:val="-5"/>
        </w:rPr>
        <w:t> </w:t>
      </w:r>
      <w:r>
        <w:rPr/>
        <w:t>cancer</w:t>
      </w:r>
      <w:r>
        <w:rPr>
          <w:spacing w:val="-5"/>
        </w:rPr>
        <w:t> </w:t>
      </w:r>
      <w:r>
        <w:rPr/>
        <w:t>du</w:t>
      </w:r>
      <w:r>
        <w:rPr>
          <w:spacing w:val="-4"/>
        </w:rPr>
        <w:t> </w:t>
      </w:r>
      <w:r>
        <w:rPr/>
        <w:t>poumon</w:t>
      </w:r>
      <w:r>
        <w:rPr>
          <w:spacing w:val="-1"/>
        </w:rPr>
        <w:t> </w:t>
      </w:r>
      <w:r>
        <w:rPr/>
        <w:t>au</w:t>
      </w:r>
      <w:r>
        <w:rPr>
          <w:spacing w:val="-4"/>
        </w:rPr>
        <w:t> </w:t>
      </w:r>
      <w:r>
        <w:rPr/>
        <w:t>traitement par le cisplatine (Puchsaka et al.,</w:t>
      </w:r>
      <w:r>
        <w:rPr>
          <w:spacing w:val="-8"/>
        </w:rPr>
        <w:t> </w:t>
      </w:r>
      <w:r>
        <w:rPr/>
        <w:t>2016).</w:t>
      </w:r>
    </w:p>
    <w:p>
      <w:pPr>
        <w:pStyle w:val="BodyText"/>
        <w:spacing w:line="276" w:lineRule="auto" w:before="164"/>
        <w:ind w:left="116" w:right="114" w:firstLine="707"/>
        <w:jc w:val="both"/>
      </w:pPr>
      <w:r>
        <w:rPr/>
        <w:t>Des</w:t>
      </w:r>
      <w:r>
        <w:rPr>
          <w:spacing w:val="-6"/>
        </w:rPr>
        <w:t> </w:t>
      </w:r>
      <w:r>
        <w:rPr/>
        <w:t>recherches</w:t>
      </w:r>
      <w:r>
        <w:rPr>
          <w:spacing w:val="-4"/>
        </w:rPr>
        <w:t> </w:t>
      </w:r>
      <w:r>
        <w:rPr/>
        <w:t>menées</w:t>
      </w:r>
      <w:r>
        <w:rPr>
          <w:spacing w:val="-6"/>
        </w:rPr>
        <w:t> </w:t>
      </w:r>
      <w:r>
        <w:rPr/>
        <w:t>sous</w:t>
      </w:r>
      <w:r>
        <w:rPr>
          <w:spacing w:val="-5"/>
        </w:rPr>
        <w:t> </w:t>
      </w:r>
      <w:r>
        <w:rPr/>
        <w:t>la</w:t>
      </w:r>
      <w:r>
        <w:rPr>
          <w:spacing w:val="-7"/>
        </w:rPr>
        <w:t> </w:t>
      </w:r>
      <w:r>
        <w:rPr/>
        <w:t>supervision</w:t>
      </w:r>
      <w:r>
        <w:rPr>
          <w:spacing w:val="-6"/>
        </w:rPr>
        <w:t> </w:t>
      </w:r>
      <w:r>
        <w:rPr/>
        <w:t>du</w:t>
      </w:r>
      <w:r>
        <w:rPr>
          <w:spacing w:val="-4"/>
        </w:rPr>
        <w:t> </w:t>
      </w:r>
      <w:r>
        <w:rPr/>
        <w:t>Docteur</w:t>
      </w:r>
      <w:r>
        <w:rPr>
          <w:spacing w:val="-7"/>
        </w:rPr>
        <w:t> </w:t>
      </w:r>
      <w:r>
        <w:rPr/>
        <w:t>Hubert</w:t>
      </w:r>
      <w:r>
        <w:rPr>
          <w:spacing w:val="-4"/>
        </w:rPr>
        <w:t> </w:t>
      </w:r>
      <w:r>
        <w:rPr/>
        <w:t>Lincet</w:t>
      </w:r>
      <w:r>
        <w:rPr>
          <w:spacing w:val="-6"/>
        </w:rPr>
        <w:t> </w:t>
      </w:r>
      <w:r>
        <w:rPr/>
        <w:t>sur</w:t>
      </w:r>
      <w:r>
        <w:rPr>
          <w:spacing w:val="-7"/>
        </w:rPr>
        <w:t> </w:t>
      </w:r>
      <w:r>
        <w:rPr/>
        <w:t>des</w:t>
      </w:r>
      <w:r>
        <w:rPr>
          <w:spacing w:val="-6"/>
        </w:rPr>
        <w:t> </w:t>
      </w:r>
      <w:r>
        <w:rPr/>
        <w:t>lignées</w:t>
      </w:r>
      <w:r>
        <w:rPr>
          <w:spacing w:val="-6"/>
        </w:rPr>
        <w:t> </w:t>
      </w:r>
      <w:r>
        <w:rPr/>
        <w:t>de cellules cancéreuses du sein au Centre de Recherche en Cancérologie de Lyon (CRCL) ont permis de préciser nos résultats concernant l’ALA. Les différents résultats, visuels ou de comptage,</w:t>
      </w:r>
      <w:r>
        <w:rPr>
          <w:spacing w:val="-5"/>
        </w:rPr>
        <w:t> </w:t>
      </w:r>
      <w:r>
        <w:rPr/>
        <w:t>montrent</w:t>
      </w:r>
      <w:r>
        <w:rPr>
          <w:spacing w:val="-4"/>
        </w:rPr>
        <w:t> </w:t>
      </w:r>
      <w:r>
        <w:rPr/>
        <w:t>l’effet</w:t>
      </w:r>
      <w:r>
        <w:rPr>
          <w:spacing w:val="-4"/>
        </w:rPr>
        <w:t> </w:t>
      </w:r>
      <w:r>
        <w:rPr/>
        <w:t>dose</w:t>
      </w:r>
      <w:r>
        <w:rPr>
          <w:spacing w:val="-6"/>
        </w:rPr>
        <w:t> </w:t>
      </w:r>
      <w:r>
        <w:rPr/>
        <w:t>dépendant</w:t>
      </w:r>
      <w:r>
        <w:rPr>
          <w:spacing w:val="-4"/>
        </w:rPr>
        <w:t> </w:t>
      </w:r>
      <w:r>
        <w:rPr/>
        <w:t>de</w:t>
      </w:r>
      <w:r>
        <w:rPr>
          <w:spacing w:val="-6"/>
        </w:rPr>
        <w:t> </w:t>
      </w:r>
      <w:r>
        <w:rPr/>
        <w:t>l’ALA</w:t>
      </w:r>
      <w:r>
        <w:rPr>
          <w:spacing w:val="-5"/>
        </w:rPr>
        <w:t> </w:t>
      </w:r>
      <w:r>
        <w:rPr/>
        <w:t>sur</w:t>
      </w:r>
      <w:r>
        <w:rPr>
          <w:spacing w:val="-5"/>
        </w:rPr>
        <w:t> </w:t>
      </w:r>
      <w:r>
        <w:rPr/>
        <w:t>les</w:t>
      </w:r>
      <w:r>
        <w:rPr>
          <w:spacing w:val="-2"/>
        </w:rPr>
        <w:t> </w:t>
      </w:r>
      <w:r>
        <w:rPr/>
        <w:t>cellules</w:t>
      </w:r>
      <w:r>
        <w:rPr>
          <w:spacing w:val="-5"/>
        </w:rPr>
        <w:t> </w:t>
      </w:r>
      <w:r>
        <w:rPr/>
        <w:t>cancéreuses</w:t>
      </w:r>
      <w:r>
        <w:rPr>
          <w:spacing w:val="-5"/>
        </w:rPr>
        <w:t> </w:t>
      </w:r>
      <w:r>
        <w:rPr/>
        <w:t>après</w:t>
      </w:r>
      <w:r>
        <w:rPr>
          <w:spacing w:val="-5"/>
        </w:rPr>
        <w:t> </w:t>
      </w:r>
      <w:r>
        <w:rPr/>
        <w:t>72</w:t>
      </w:r>
      <w:r>
        <w:rPr>
          <w:spacing w:val="-5"/>
        </w:rPr>
        <w:t> </w:t>
      </w:r>
      <w:r>
        <w:rPr/>
        <w:t>h</w:t>
      </w:r>
      <w:r>
        <w:rPr>
          <w:spacing w:val="-5"/>
        </w:rPr>
        <w:t> </w:t>
      </w:r>
      <w:r>
        <w:rPr/>
        <w:t>de traitement, que ce soit en termes de prolifération cellulaire, de mortalité, ou d’apoptose (visualisée avec l’étude des protéines PARP et Mcl-1 par Western Blot). L’ALA semble favoriser l’apoptose sur les cellules cancéreuses et réduire la prolifération cellulaire. Néanmoins,</w:t>
      </w:r>
      <w:r>
        <w:rPr>
          <w:spacing w:val="-5"/>
        </w:rPr>
        <w:t> </w:t>
      </w:r>
      <w:r>
        <w:rPr/>
        <w:t>l’ALA</w:t>
      </w:r>
      <w:r>
        <w:rPr>
          <w:spacing w:val="-5"/>
        </w:rPr>
        <w:t> </w:t>
      </w:r>
      <w:r>
        <w:rPr/>
        <w:t>à</w:t>
      </w:r>
      <w:r>
        <w:rPr>
          <w:spacing w:val="-6"/>
        </w:rPr>
        <w:t> </w:t>
      </w:r>
      <w:r>
        <w:rPr/>
        <w:t>0,5</w:t>
      </w:r>
      <w:r>
        <w:rPr>
          <w:spacing w:val="-5"/>
        </w:rPr>
        <w:t> </w:t>
      </w:r>
      <w:r>
        <w:rPr/>
        <w:t>mM</w:t>
      </w:r>
      <w:r>
        <w:rPr>
          <w:spacing w:val="-4"/>
        </w:rPr>
        <w:t> </w:t>
      </w:r>
      <w:r>
        <w:rPr/>
        <w:t>et</w:t>
      </w:r>
      <w:r>
        <w:rPr>
          <w:spacing w:val="-4"/>
        </w:rPr>
        <w:t> </w:t>
      </w:r>
      <w:r>
        <w:rPr/>
        <w:t>1</w:t>
      </w:r>
      <w:r>
        <w:rPr>
          <w:spacing w:val="-5"/>
        </w:rPr>
        <w:t> </w:t>
      </w:r>
      <w:r>
        <w:rPr/>
        <w:t>mM</w:t>
      </w:r>
      <w:r>
        <w:rPr>
          <w:spacing w:val="-7"/>
        </w:rPr>
        <w:t> </w:t>
      </w:r>
      <w:r>
        <w:rPr/>
        <w:t>semble</w:t>
      </w:r>
      <w:r>
        <w:rPr>
          <w:spacing w:val="-6"/>
        </w:rPr>
        <w:t> </w:t>
      </w:r>
      <w:r>
        <w:rPr/>
        <w:t>favoriser</w:t>
      </w:r>
      <w:r>
        <w:rPr>
          <w:spacing w:val="-6"/>
        </w:rPr>
        <w:t> </w:t>
      </w:r>
      <w:r>
        <w:rPr/>
        <w:t>la</w:t>
      </w:r>
      <w:r>
        <w:rPr>
          <w:spacing w:val="-5"/>
        </w:rPr>
        <w:t> </w:t>
      </w:r>
      <w:r>
        <w:rPr/>
        <w:t>prolifération</w:t>
      </w:r>
      <w:r>
        <w:rPr>
          <w:spacing w:val="-5"/>
        </w:rPr>
        <w:t> </w:t>
      </w:r>
      <w:r>
        <w:rPr/>
        <w:t>cellulaire</w:t>
      </w:r>
      <w:r>
        <w:rPr>
          <w:spacing w:val="-3"/>
        </w:rPr>
        <w:t> </w:t>
      </w:r>
      <w:r>
        <w:rPr/>
        <w:t>jusqu’à</w:t>
      </w:r>
      <w:r>
        <w:rPr>
          <w:spacing w:val="-7"/>
        </w:rPr>
        <w:t> </w:t>
      </w:r>
      <w:r>
        <w:rPr/>
        <w:t>48</w:t>
      </w:r>
      <w:r>
        <w:rPr>
          <w:spacing w:val="-5"/>
        </w:rPr>
        <w:t> </w:t>
      </w:r>
      <w:r>
        <w:rPr/>
        <w:t>h. Cela pourrait être expliqué par le fait que l’augmentation en faible quantité des ROS favorise la prolifération (Sullivan et Chandel, 2014). Les détails des expériences peuvent être retrouvés en annexe</w:t>
      </w:r>
      <w:r>
        <w:rPr>
          <w:spacing w:val="-2"/>
        </w:rPr>
        <w:t> </w:t>
      </w:r>
      <w:r>
        <w:rPr/>
        <w:t>2.</w:t>
      </w:r>
    </w:p>
    <w:p>
      <w:pPr>
        <w:pStyle w:val="BodyText"/>
        <w:rPr>
          <w:sz w:val="26"/>
        </w:rPr>
      </w:pPr>
    </w:p>
    <w:p>
      <w:pPr>
        <w:pStyle w:val="BodyText"/>
        <w:spacing w:before="9"/>
        <w:rPr>
          <w:sz w:val="29"/>
        </w:rPr>
      </w:pPr>
    </w:p>
    <w:p>
      <w:pPr>
        <w:pStyle w:val="ListParagraph"/>
        <w:numPr>
          <w:ilvl w:val="0"/>
          <w:numId w:val="19"/>
        </w:numPr>
        <w:tabs>
          <w:tab w:pos="1110" w:val="left" w:leader="none"/>
        </w:tabs>
        <w:spacing w:line="240" w:lineRule="auto" w:before="0" w:after="0"/>
        <w:ind w:left="1110" w:right="0" w:hanging="360"/>
        <w:jc w:val="left"/>
        <w:rPr>
          <w:sz w:val="24"/>
        </w:rPr>
      </w:pPr>
      <w:bookmarkStart w:name="_bookmark122" w:id="202"/>
      <w:bookmarkEnd w:id="202"/>
      <w:r>
        <w:rPr/>
      </w:r>
      <w:bookmarkStart w:name="_bookmark122" w:id="203"/>
      <w:bookmarkEnd w:id="203"/>
      <w:r>
        <w:rPr>
          <w:sz w:val="24"/>
          <w:u w:val="single"/>
        </w:rPr>
        <w:t>C</w:t>
      </w:r>
      <w:r>
        <w:rPr>
          <w:sz w:val="24"/>
          <w:u w:val="single"/>
        </w:rPr>
        <w:t>ibler l’ATP-citrate Lyase</w:t>
      </w:r>
      <w:r>
        <w:rPr>
          <w:spacing w:val="-11"/>
          <w:sz w:val="24"/>
          <w:u w:val="single"/>
        </w:rPr>
        <w:t> </w:t>
      </w:r>
      <w:r>
        <w:rPr>
          <w:sz w:val="24"/>
          <w:u w:val="single"/>
        </w:rPr>
        <w:t>(ACLY)</w:t>
      </w:r>
    </w:p>
    <w:p>
      <w:pPr>
        <w:pStyle w:val="BodyText"/>
        <w:rPr>
          <w:sz w:val="20"/>
        </w:rPr>
      </w:pPr>
    </w:p>
    <w:p>
      <w:pPr>
        <w:pStyle w:val="BodyText"/>
        <w:spacing w:before="3"/>
        <w:rPr>
          <w:sz w:val="17"/>
        </w:rPr>
      </w:pPr>
    </w:p>
    <w:p>
      <w:pPr>
        <w:pStyle w:val="BodyText"/>
        <w:spacing w:line="276" w:lineRule="auto" w:before="90"/>
        <w:ind w:left="116" w:right="115" w:firstLine="707"/>
        <w:jc w:val="both"/>
      </w:pPr>
      <w:r>
        <w:rPr/>
        <w:t>L’ACLY</w:t>
      </w:r>
      <w:r>
        <w:rPr>
          <w:spacing w:val="-16"/>
        </w:rPr>
        <w:t> </w:t>
      </w:r>
      <w:r>
        <w:rPr/>
        <w:t>provoque</w:t>
      </w:r>
      <w:r>
        <w:rPr>
          <w:spacing w:val="-17"/>
        </w:rPr>
        <w:t> </w:t>
      </w:r>
      <w:r>
        <w:rPr/>
        <w:t>le</w:t>
      </w:r>
      <w:r>
        <w:rPr>
          <w:spacing w:val="-14"/>
        </w:rPr>
        <w:t> </w:t>
      </w:r>
      <w:r>
        <w:rPr/>
        <w:t>clivage</w:t>
      </w:r>
      <w:r>
        <w:rPr>
          <w:spacing w:val="-17"/>
        </w:rPr>
        <w:t> </w:t>
      </w:r>
      <w:r>
        <w:rPr/>
        <w:t>du</w:t>
      </w:r>
      <w:r>
        <w:rPr>
          <w:spacing w:val="-13"/>
        </w:rPr>
        <w:t> </w:t>
      </w:r>
      <w:r>
        <w:rPr/>
        <w:t>citrate</w:t>
      </w:r>
      <w:r>
        <w:rPr>
          <w:spacing w:val="-14"/>
        </w:rPr>
        <w:t> </w:t>
      </w:r>
      <w:r>
        <w:rPr/>
        <w:t>en</w:t>
      </w:r>
      <w:r>
        <w:rPr>
          <w:spacing w:val="-16"/>
        </w:rPr>
        <w:t> </w:t>
      </w:r>
      <w:r>
        <w:rPr/>
        <w:t>OAA</w:t>
      </w:r>
      <w:r>
        <w:rPr>
          <w:spacing w:val="-14"/>
        </w:rPr>
        <w:t> </w:t>
      </w:r>
      <w:r>
        <w:rPr/>
        <w:t>et</w:t>
      </w:r>
      <w:r>
        <w:rPr>
          <w:spacing w:val="-13"/>
        </w:rPr>
        <w:t> </w:t>
      </w:r>
      <w:r>
        <w:rPr/>
        <w:t>en</w:t>
      </w:r>
      <w:r>
        <w:rPr>
          <w:spacing w:val="-16"/>
        </w:rPr>
        <w:t> </w:t>
      </w:r>
      <w:r>
        <w:rPr/>
        <w:t>acétyl-CoA.</w:t>
      </w:r>
      <w:r>
        <w:rPr>
          <w:spacing w:val="-16"/>
        </w:rPr>
        <w:t> </w:t>
      </w:r>
      <w:r>
        <w:rPr/>
        <w:t>Ce</w:t>
      </w:r>
      <w:r>
        <w:rPr>
          <w:spacing w:val="-17"/>
        </w:rPr>
        <w:t> </w:t>
      </w:r>
      <w:r>
        <w:rPr/>
        <w:t>dernier</w:t>
      </w:r>
      <w:r>
        <w:rPr>
          <w:spacing w:val="-17"/>
        </w:rPr>
        <w:t> </w:t>
      </w:r>
      <w:r>
        <w:rPr/>
        <w:t>métabolite est essentiel pour les voies de biosynthèses des lipides, des hormones… En bloquant l’ACLY, le citrate s’accumule dans le cytoplasme où il inhibe par rétrocontrôle négatif la PFK1, et les voies de biosynthèses lipidiques seront appauvries en</w:t>
      </w:r>
      <w:r>
        <w:rPr>
          <w:spacing w:val="-14"/>
        </w:rPr>
        <w:t> </w:t>
      </w:r>
      <w:r>
        <w:rPr/>
        <w:t>acétyl-CoA.</w:t>
      </w:r>
    </w:p>
    <w:p>
      <w:pPr>
        <w:pStyle w:val="BodyText"/>
        <w:spacing w:line="276" w:lineRule="auto" w:before="163"/>
        <w:ind w:left="116" w:right="113" w:firstLine="707"/>
        <w:jc w:val="both"/>
      </w:pPr>
      <w:r>
        <w:rPr/>
        <w:t>Extrait de l’écorce du fruit </w:t>
      </w:r>
      <w:r>
        <w:rPr>
          <w:i/>
        </w:rPr>
        <w:t>Garcinia cambogia</w:t>
      </w:r>
      <w:r>
        <w:rPr/>
        <w:t>, l’</w:t>
      </w:r>
      <w:r>
        <w:rPr>
          <w:b/>
          <w:u w:val="thick"/>
        </w:rPr>
        <w:t>hydroxycitrate</w:t>
      </w:r>
      <w:r>
        <w:rPr>
          <w:b/>
        </w:rPr>
        <w:t> </w:t>
      </w:r>
      <w:r>
        <w:rPr/>
        <w:t>(HCA) est un inhibiteur puissant de l’ACLY. Il existe quatre stéréoisomères de l’HCA, mais le (2S,3S)-2- hydroxycitrate (encore appelé 4S-HCA) présent dans l’extrait sec de </w:t>
      </w:r>
      <w:r>
        <w:rPr>
          <w:i/>
        </w:rPr>
        <w:t>G. cambogia </w:t>
      </w:r>
      <w:r>
        <w:rPr/>
        <w:t>est la forme la plus active pour inhiber l’ACLY.</w:t>
      </w:r>
    </w:p>
    <w:p>
      <w:pPr>
        <w:pStyle w:val="BodyText"/>
        <w:spacing w:line="276" w:lineRule="auto" w:before="164"/>
        <w:ind w:left="116" w:right="115" w:firstLine="707"/>
        <w:jc w:val="both"/>
      </w:pPr>
      <w:r>
        <w:rPr/>
        <w:t>L’utilisation en association avec </w:t>
      </w:r>
      <w:r>
        <w:rPr>
          <w:b/>
          <w:u w:val="thick"/>
        </w:rPr>
        <w:t>l’ALA</w:t>
      </w:r>
      <w:r>
        <w:rPr>
          <w:b/>
        </w:rPr>
        <w:t> </w:t>
      </w:r>
      <w:r>
        <w:rPr/>
        <w:t>montre un effet cytotoxique majeur pour les lignées</w:t>
      </w:r>
      <w:r>
        <w:rPr>
          <w:spacing w:val="-14"/>
        </w:rPr>
        <w:t> </w:t>
      </w:r>
      <w:r>
        <w:rPr/>
        <w:t>cellulaires</w:t>
      </w:r>
      <w:r>
        <w:rPr>
          <w:spacing w:val="-13"/>
        </w:rPr>
        <w:t> </w:t>
      </w:r>
      <w:r>
        <w:rPr/>
        <w:t>de</w:t>
      </w:r>
      <w:r>
        <w:rPr>
          <w:spacing w:val="-15"/>
        </w:rPr>
        <w:t> </w:t>
      </w:r>
      <w:r>
        <w:rPr/>
        <w:t>carcinome</w:t>
      </w:r>
      <w:r>
        <w:rPr>
          <w:spacing w:val="-15"/>
        </w:rPr>
        <w:t> </w:t>
      </w:r>
      <w:r>
        <w:rPr/>
        <w:t>transitionnel</w:t>
      </w:r>
      <w:r>
        <w:rPr>
          <w:spacing w:val="-14"/>
        </w:rPr>
        <w:t> </w:t>
      </w:r>
      <w:r>
        <w:rPr/>
        <w:t>de</w:t>
      </w:r>
      <w:r>
        <w:rPr>
          <w:spacing w:val="-15"/>
        </w:rPr>
        <w:t> </w:t>
      </w:r>
      <w:r>
        <w:rPr/>
        <w:t>la</w:t>
      </w:r>
      <w:r>
        <w:rPr>
          <w:spacing w:val="-17"/>
        </w:rPr>
        <w:t> </w:t>
      </w:r>
      <w:r>
        <w:rPr/>
        <w:t>vessie,</w:t>
      </w:r>
      <w:r>
        <w:rPr>
          <w:spacing w:val="-14"/>
        </w:rPr>
        <w:t> </w:t>
      </w:r>
      <w:r>
        <w:rPr/>
        <w:t>de</w:t>
      </w:r>
      <w:r>
        <w:rPr>
          <w:spacing w:val="-15"/>
        </w:rPr>
        <w:t> </w:t>
      </w:r>
      <w:r>
        <w:rPr/>
        <w:t>mélanome</w:t>
      </w:r>
      <w:r>
        <w:rPr>
          <w:spacing w:val="-15"/>
        </w:rPr>
        <w:t> </w:t>
      </w:r>
      <w:r>
        <w:rPr/>
        <w:t>et</w:t>
      </w:r>
      <w:r>
        <w:rPr>
          <w:spacing w:val="-14"/>
        </w:rPr>
        <w:t> </w:t>
      </w:r>
      <w:r>
        <w:rPr/>
        <w:t>de</w:t>
      </w:r>
      <w:r>
        <w:rPr>
          <w:spacing w:val="-15"/>
        </w:rPr>
        <w:t> </w:t>
      </w:r>
      <w:r>
        <w:rPr/>
        <w:t>cancer</w:t>
      </w:r>
      <w:r>
        <w:rPr>
          <w:spacing w:val="-15"/>
        </w:rPr>
        <w:t> </w:t>
      </w:r>
      <w:r>
        <w:rPr/>
        <w:t>du</w:t>
      </w:r>
      <w:r>
        <w:rPr>
          <w:spacing w:val="-14"/>
        </w:rPr>
        <w:t> </w:t>
      </w:r>
      <w:r>
        <w:rPr/>
        <w:t>poumon (traitement  de  72h  avec  8  µM  d’ALA  et  300  µM  d’HCA).  </w:t>
      </w:r>
      <w:r>
        <w:rPr>
          <w:b/>
          <w:i/>
        </w:rPr>
        <w:t>In  vivo</w:t>
      </w:r>
      <w:r>
        <w:rPr/>
        <w:t>,  dans  des </w:t>
      </w:r>
      <w:r>
        <w:rPr>
          <w:spacing w:val="33"/>
        </w:rPr>
        <w:t> </w:t>
      </w:r>
      <w:r>
        <w:rPr/>
        <w:t>modèles</w:t>
      </w:r>
    </w:p>
    <w:p>
      <w:pPr>
        <w:spacing w:after="0" w:line="276" w:lineRule="auto"/>
        <w:jc w:val="both"/>
        <w:sectPr>
          <w:pgSz w:w="11910" w:h="16840"/>
          <w:pgMar w:header="0" w:footer="995" w:top="1320" w:bottom="1240" w:left="1300" w:right="1300"/>
        </w:sectPr>
      </w:pPr>
    </w:p>
    <w:p>
      <w:pPr>
        <w:pStyle w:val="BodyText"/>
        <w:spacing w:line="276" w:lineRule="auto" w:before="72"/>
        <w:ind w:left="116" w:right="113"/>
        <w:jc w:val="both"/>
      </w:pPr>
      <w:r>
        <w:rPr/>
        <w:t>syngéniques (carcinome transitionnel de la vessie, mélanome et cancer du poumon), la survie est augmentée et la croissance tumorale retardée, en comparaison avec un traitement au cisplatine ou 5-FU (Schwartz et al., 2010). L’HCA semblerait également inhiber la croissance cellulaire et sensibiliser les cellules leucémiques à la daunorubicine (Zhu et al., 2015).</w:t>
      </w:r>
    </w:p>
    <w:p>
      <w:pPr>
        <w:pStyle w:val="BodyText"/>
        <w:spacing w:line="276" w:lineRule="auto" w:before="164"/>
        <w:ind w:left="116" w:right="112" w:firstLine="707"/>
        <w:jc w:val="both"/>
      </w:pPr>
      <w:r>
        <w:rPr/>
        <w:t>L’action</w:t>
      </w:r>
      <w:r>
        <w:rPr>
          <w:spacing w:val="-6"/>
        </w:rPr>
        <w:t> </w:t>
      </w:r>
      <w:r>
        <w:rPr/>
        <w:t>du</w:t>
      </w:r>
      <w:r>
        <w:rPr>
          <w:spacing w:val="-6"/>
        </w:rPr>
        <w:t> </w:t>
      </w:r>
      <w:r>
        <w:rPr/>
        <w:t>HCA</w:t>
      </w:r>
      <w:r>
        <w:rPr>
          <w:spacing w:val="-4"/>
        </w:rPr>
        <w:t> </w:t>
      </w:r>
      <w:r>
        <w:rPr/>
        <w:t>avec</w:t>
      </w:r>
      <w:r>
        <w:rPr>
          <w:spacing w:val="-7"/>
        </w:rPr>
        <w:t> </w:t>
      </w:r>
      <w:r>
        <w:rPr/>
        <w:t>le</w:t>
      </w:r>
      <w:r>
        <w:rPr>
          <w:spacing w:val="-3"/>
        </w:rPr>
        <w:t> </w:t>
      </w:r>
      <w:r>
        <w:rPr>
          <w:b/>
          <w:u w:val="thick"/>
        </w:rPr>
        <w:t>méthyljasmonate</w:t>
      </w:r>
      <w:r>
        <w:rPr>
          <w:b/>
          <w:spacing w:val="-5"/>
        </w:rPr>
        <w:t> </w:t>
      </w:r>
      <w:r>
        <w:rPr/>
        <w:t>a</w:t>
      </w:r>
      <w:r>
        <w:rPr>
          <w:spacing w:val="-5"/>
        </w:rPr>
        <w:t> </w:t>
      </w:r>
      <w:r>
        <w:rPr/>
        <w:t>été</w:t>
      </w:r>
      <w:r>
        <w:rPr>
          <w:spacing w:val="-7"/>
        </w:rPr>
        <w:t> </w:t>
      </w:r>
      <w:r>
        <w:rPr/>
        <w:t>étudiée</w:t>
      </w:r>
      <w:r>
        <w:rPr>
          <w:spacing w:val="-7"/>
        </w:rPr>
        <w:t> </w:t>
      </w:r>
      <w:r>
        <w:rPr/>
        <w:t>dans</w:t>
      </w:r>
      <w:r>
        <w:rPr>
          <w:spacing w:val="-6"/>
        </w:rPr>
        <w:t> </w:t>
      </w:r>
      <w:r>
        <w:rPr/>
        <w:t>des</w:t>
      </w:r>
      <w:r>
        <w:rPr>
          <w:spacing w:val="-6"/>
        </w:rPr>
        <w:t> </w:t>
      </w:r>
      <w:r>
        <w:rPr/>
        <w:t>cellules</w:t>
      </w:r>
      <w:r>
        <w:rPr>
          <w:spacing w:val="-7"/>
        </w:rPr>
        <w:t> </w:t>
      </w:r>
      <w:r>
        <w:rPr/>
        <w:t>de</w:t>
      </w:r>
      <w:r>
        <w:rPr>
          <w:spacing w:val="-7"/>
        </w:rPr>
        <w:t> </w:t>
      </w:r>
      <w:r>
        <w:rPr/>
        <w:t>cancer</w:t>
      </w:r>
      <w:r>
        <w:rPr>
          <w:spacing w:val="-5"/>
        </w:rPr>
        <w:t> </w:t>
      </w:r>
      <w:r>
        <w:rPr/>
        <w:t>de la vessie et montre que le méthyljasmonate sensibilise les cellules à l’action de l’HCA (Wang et al.,</w:t>
      </w:r>
      <w:r>
        <w:rPr>
          <w:spacing w:val="-3"/>
        </w:rPr>
        <w:t> </w:t>
      </w:r>
      <w:r>
        <w:rPr/>
        <w:t>2014).</w:t>
      </w:r>
    </w:p>
    <w:p>
      <w:pPr>
        <w:pStyle w:val="BodyText"/>
        <w:spacing w:before="7"/>
        <w:rPr>
          <w:sz w:val="27"/>
        </w:rPr>
      </w:pPr>
    </w:p>
    <w:p>
      <w:pPr>
        <w:pStyle w:val="BodyText"/>
        <w:spacing w:line="276" w:lineRule="auto"/>
        <w:ind w:left="116" w:right="112" w:firstLine="707"/>
        <w:jc w:val="both"/>
      </w:pPr>
      <w:r>
        <w:rPr/>
        <w:t>Le</w:t>
      </w:r>
      <w:r>
        <w:rPr>
          <w:spacing w:val="-6"/>
        </w:rPr>
        <w:t> </w:t>
      </w:r>
      <w:r>
        <w:rPr>
          <w:b/>
          <w:u w:val="thick"/>
        </w:rPr>
        <w:t>SB-204990</w:t>
      </w:r>
      <w:r>
        <w:rPr>
          <w:b/>
          <w:spacing w:val="-7"/>
        </w:rPr>
        <w:t> </w:t>
      </w:r>
      <w:r>
        <w:rPr/>
        <w:t>est</w:t>
      </w:r>
      <w:r>
        <w:rPr>
          <w:spacing w:val="-7"/>
        </w:rPr>
        <w:t> </w:t>
      </w:r>
      <w:r>
        <w:rPr/>
        <w:t>un</w:t>
      </w:r>
      <w:r>
        <w:rPr>
          <w:spacing w:val="-7"/>
        </w:rPr>
        <w:t> </w:t>
      </w:r>
      <w:r>
        <w:rPr/>
        <w:t>composé</w:t>
      </w:r>
      <w:r>
        <w:rPr>
          <w:spacing w:val="-8"/>
        </w:rPr>
        <w:t> </w:t>
      </w:r>
      <w:r>
        <w:rPr/>
        <w:t>chimique</w:t>
      </w:r>
      <w:r>
        <w:rPr>
          <w:spacing w:val="-8"/>
        </w:rPr>
        <w:t> </w:t>
      </w:r>
      <w:r>
        <w:rPr/>
        <w:t>inhibiteur</w:t>
      </w:r>
      <w:r>
        <w:rPr>
          <w:spacing w:val="-8"/>
        </w:rPr>
        <w:t> </w:t>
      </w:r>
      <w:r>
        <w:rPr/>
        <w:t>de</w:t>
      </w:r>
      <w:r>
        <w:rPr>
          <w:spacing w:val="-8"/>
        </w:rPr>
        <w:t> </w:t>
      </w:r>
      <w:r>
        <w:rPr/>
        <w:t>l’ACLY.</w:t>
      </w:r>
      <w:r>
        <w:rPr>
          <w:spacing w:val="-3"/>
        </w:rPr>
        <w:t> Il</w:t>
      </w:r>
      <w:r>
        <w:rPr>
          <w:spacing w:val="-5"/>
        </w:rPr>
        <w:t> </w:t>
      </w:r>
      <w:r>
        <w:rPr/>
        <w:t>limite</w:t>
      </w:r>
      <w:r>
        <w:rPr>
          <w:spacing w:val="-8"/>
        </w:rPr>
        <w:t> </w:t>
      </w:r>
      <w:r>
        <w:rPr/>
        <w:t>la</w:t>
      </w:r>
      <w:r>
        <w:rPr>
          <w:spacing w:val="-8"/>
        </w:rPr>
        <w:t> </w:t>
      </w:r>
      <w:r>
        <w:rPr/>
        <w:t>prolifération cellulaire </w:t>
      </w:r>
      <w:r>
        <w:rPr>
          <w:b/>
          <w:i/>
        </w:rPr>
        <w:t>in vitro </w:t>
      </w:r>
      <w:r>
        <w:rPr/>
        <w:t>et réduit la survie des cellules cancéreuses issues des lignées de cancer du poumon, de la prostate et de l’ovaire. </w:t>
      </w:r>
      <w:r>
        <w:rPr>
          <w:b/>
          <w:i/>
        </w:rPr>
        <w:t>In vivo</w:t>
      </w:r>
      <w:r>
        <w:rPr/>
        <w:t>, dans un modèle de xénogreffe de cancer du pancréas chez des souris nude, SB-204990 inhibe la croissance tumorale (Hatzivassiliou et al., 2005). L’ACLY peut également être inhibée par des </w:t>
      </w:r>
      <w:r>
        <w:rPr>
          <w:b/>
          <w:u w:val="thick"/>
        </w:rPr>
        <w:t>siARN</w:t>
      </w:r>
      <w:r>
        <w:rPr>
          <w:b/>
        </w:rPr>
        <w:t> </w:t>
      </w:r>
      <w:r>
        <w:rPr/>
        <w:t>conduisant à un arrêt de la prolifération cellulaire </w:t>
      </w:r>
      <w:r>
        <w:rPr>
          <w:b/>
          <w:i/>
        </w:rPr>
        <w:t>in vitro </w:t>
      </w:r>
      <w:r>
        <w:rPr/>
        <w:t>et un arrêt de la croissance tumorale </w:t>
      </w:r>
      <w:r>
        <w:rPr>
          <w:b/>
          <w:i/>
        </w:rPr>
        <w:t>in vivo </w:t>
      </w:r>
      <w:r>
        <w:rPr/>
        <w:t>dans une lignée de cancer du poumon (Migita et al.,</w:t>
      </w:r>
      <w:r>
        <w:rPr>
          <w:spacing w:val="-8"/>
        </w:rPr>
        <w:t> </w:t>
      </w:r>
      <w:r>
        <w:rPr/>
        <w:t>2008).</w:t>
      </w:r>
    </w:p>
    <w:p>
      <w:pPr>
        <w:pStyle w:val="BodyText"/>
        <w:rPr>
          <w:sz w:val="26"/>
        </w:rPr>
      </w:pPr>
    </w:p>
    <w:p>
      <w:pPr>
        <w:pStyle w:val="Heading3"/>
        <w:numPr>
          <w:ilvl w:val="1"/>
          <w:numId w:val="4"/>
        </w:numPr>
        <w:tabs>
          <w:tab w:pos="1535" w:val="left" w:leader="none"/>
        </w:tabs>
        <w:spacing w:line="240" w:lineRule="auto" w:before="185" w:after="0"/>
        <w:ind w:left="1534" w:right="0" w:hanging="360"/>
        <w:jc w:val="left"/>
      </w:pPr>
      <w:bookmarkStart w:name="_bookmark123" w:id="204"/>
      <w:bookmarkEnd w:id="204"/>
      <w:r>
        <w:rPr>
          <w:b w:val="0"/>
        </w:rPr>
      </w:r>
      <w:bookmarkStart w:name="_bookmark123" w:id="205"/>
      <w:bookmarkEnd w:id="205"/>
      <w:r>
        <w:rPr/>
        <w:t>C</w:t>
      </w:r>
      <w:r>
        <w:rPr/>
        <w:t>ibler l’équilibre</w:t>
      </w:r>
      <w:r>
        <w:rPr>
          <w:spacing w:val="-13"/>
        </w:rPr>
        <w:t> </w:t>
      </w:r>
      <w:r>
        <w:rPr/>
        <w:t>acido-basique</w:t>
      </w:r>
    </w:p>
    <w:p>
      <w:pPr>
        <w:pStyle w:val="BodyText"/>
        <w:rPr>
          <w:b/>
          <w:sz w:val="30"/>
        </w:rPr>
      </w:pPr>
    </w:p>
    <w:p>
      <w:pPr>
        <w:pStyle w:val="BodyText"/>
        <w:spacing w:line="276" w:lineRule="auto" w:before="177"/>
        <w:ind w:left="116" w:right="115" w:firstLine="707"/>
        <w:jc w:val="both"/>
      </w:pPr>
      <w:r>
        <w:rPr/>
        <w:t>L’acidification du milieu intracellulaire entraîne une baisse d’activité des enzymes glycolytiques (telles la PFK, cf. III.B.3.</w:t>
      </w:r>
      <w:r>
        <w:rPr>
          <w:i/>
        </w:rPr>
        <w:t>ii</w:t>
      </w:r>
      <w:r>
        <w:rPr/>
        <w:t>), l’inhibition de la traduction protéique, l’arrêt du cycle</w:t>
      </w:r>
      <w:r>
        <w:rPr>
          <w:spacing w:val="-12"/>
        </w:rPr>
        <w:t> </w:t>
      </w:r>
      <w:r>
        <w:rPr/>
        <w:t>cellulaire</w:t>
      </w:r>
      <w:r>
        <w:rPr>
          <w:spacing w:val="-11"/>
        </w:rPr>
        <w:t> </w:t>
      </w:r>
      <w:r>
        <w:rPr/>
        <w:t>(Smallbone</w:t>
      </w:r>
      <w:r>
        <w:rPr>
          <w:spacing w:val="-12"/>
        </w:rPr>
        <w:t> </w:t>
      </w:r>
      <w:r>
        <w:rPr/>
        <w:t>et</w:t>
      </w:r>
      <w:r>
        <w:rPr>
          <w:spacing w:val="-11"/>
        </w:rPr>
        <w:t> </w:t>
      </w:r>
      <w:r>
        <w:rPr/>
        <w:t>al.,</w:t>
      </w:r>
      <w:r>
        <w:rPr>
          <w:spacing w:val="-11"/>
        </w:rPr>
        <w:t> </w:t>
      </w:r>
      <w:r>
        <w:rPr/>
        <w:t>2007).</w:t>
      </w:r>
      <w:r>
        <w:rPr>
          <w:spacing w:val="-11"/>
        </w:rPr>
        <w:t> </w:t>
      </w:r>
      <w:r>
        <w:rPr/>
        <w:t>Ceci</w:t>
      </w:r>
      <w:r>
        <w:rPr>
          <w:spacing w:val="-11"/>
        </w:rPr>
        <w:t> </w:t>
      </w:r>
      <w:r>
        <w:rPr/>
        <w:t>explique</w:t>
      </w:r>
      <w:r>
        <w:rPr>
          <w:spacing w:val="-12"/>
        </w:rPr>
        <w:t> </w:t>
      </w:r>
      <w:r>
        <w:rPr/>
        <w:t>l’importance</w:t>
      </w:r>
      <w:r>
        <w:rPr>
          <w:spacing w:val="-12"/>
        </w:rPr>
        <w:t> </w:t>
      </w:r>
      <w:r>
        <w:rPr/>
        <w:t>de</w:t>
      </w:r>
      <w:r>
        <w:rPr>
          <w:spacing w:val="-12"/>
        </w:rPr>
        <w:t> </w:t>
      </w:r>
      <w:r>
        <w:rPr/>
        <w:t>l’export</w:t>
      </w:r>
      <w:r>
        <w:rPr>
          <w:spacing w:val="-11"/>
        </w:rPr>
        <w:t> </w:t>
      </w:r>
      <w:r>
        <w:rPr/>
        <w:t>de</w:t>
      </w:r>
      <w:r>
        <w:rPr>
          <w:spacing w:val="-12"/>
        </w:rPr>
        <w:t> </w:t>
      </w:r>
      <w:r>
        <w:rPr/>
        <w:t>protons</w:t>
      </w:r>
      <w:r>
        <w:rPr>
          <w:spacing w:val="-11"/>
        </w:rPr>
        <w:t> </w:t>
      </w:r>
      <w:r>
        <w:rPr/>
        <w:t>vers le milieu extracellulaire pour la cellule tumorale et conduit à l’acidification du microenvironnement tumoral. Cette acidification entraîne la dégradation de ce dernier</w:t>
      </w:r>
      <w:r>
        <w:rPr>
          <w:spacing w:val="31"/>
        </w:rPr>
        <w:t> </w:t>
      </w:r>
      <w:r>
        <w:rPr/>
        <w:t>et favorise la capacité métastatique des cellules tumorales (Kato et al., 2013). </w:t>
      </w:r>
      <w:r>
        <w:rPr>
          <w:spacing w:val="-3"/>
        </w:rPr>
        <w:t>Il </w:t>
      </w:r>
      <w:r>
        <w:rPr/>
        <w:t>est intéressant de noter que la prise orale de bicarbonate chez des modèles de souris réduirait la diffusion métastatique (Robey et al.,</w:t>
      </w:r>
      <w:r>
        <w:rPr>
          <w:spacing w:val="-5"/>
        </w:rPr>
        <w:t> </w:t>
      </w:r>
      <w:r>
        <w:rPr/>
        <w:t>2009).</w:t>
      </w:r>
    </w:p>
    <w:p>
      <w:pPr>
        <w:pStyle w:val="BodyText"/>
        <w:rPr>
          <w:sz w:val="26"/>
        </w:rPr>
      </w:pPr>
    </w:p>
    <w:p>
      <w:pPr>
        <w:pStyle w:val="BodyText"/>
        <w:spacing w:before="9"/>
        <w:rPr>
          <w:sz w:val="29"/>
        </w:rPr>
      </w:pPr>
    </w:p>
    <w:p>
      <w:pPr>
        <w:pStyle w:val="ListParagraph"/>
        <w:numPr>
          <w:ilvl w:val="0"/>
          <w:numId w:val="20"/>
        </w:numPr>
        <w:tabs>
          <w:tab w:pos="1110" w:val="left" w:leader="none"/>
        </w:tabs>
        <w:spacing w:line="240" w:lineRule="auto" w:before="0" w:after="0"/>
        <w:ind w:left="1110" w:right="0" w:hanging="360"/>
        <w:jc w:val="left"/>
        <w:rPr>
          <w:sz w:val="24"/>
        </w:rPr>
      </w:pPr>
      <w:bookmarkStart w:name="_bookmark124" w:id="206"/>
      <w:bookmarkEnd w:id="206"/>
      <w:r>
        <w:rPr/>
      </w:r>
      <w:bookmarkStart w:name="_bookmark124" w:id="207"/>
      <w:bookmarkEnd w:id="207"/>
      <w:r>
        <w:rPr>
          <w:sz w:val="24"/>
          <w:u w:val="single"/>
        </w:rPr>
        <w:t>R</w:t>
      </w:r>
      <w:r>
        <w:rPr>
          <w:sz w:val="24"/>
          <w:u w:val="single"/>
        </w:rPr>
        <w:t>éduire la formation du lactate </w:t>
      </w:r>
      <w:r>
        <w:rPr>
          <w:i/>
          <w:sz w:val="24"/>
          <w:u w:val="single"/>
        </w:rPr>
        <w:t>via </w:t>
      </w:r>
      <w:r>
        <w:rPr>
          <w:sz w:val="24"/>
          <w:u w:val="single"/>
        </w:rPr>
        <w:t>les inhibiteurs de la lactate</w:t>
      </w:r>
      <w:r>
        <w:rPr>
          <w:spacing w:val="-11"/>
          <w:sz w:val="24"/>
          <w:u w:val="single"/>
        </w:rPr>
        <w:t> </w:t>
      </w:r>
      <w:r>
        <w:rPr>
          <w:sz w:val="24"/>
          <w:u w:val="single"/>
        </w:rPr>
        <w:t>déshydrogénase</w:t>
      </w:r>
    </w:p>
    <w:p>
      <w:pPr>
        <w:pStyle w:val="BodyText"/>
        <w:rPr>
          <w:sz w:val="20"/>
        </w:rPr>
      </w:pPr>
    </w:p>
    <w:p>
      <w:pPr>
        <w:pStyle w:val="BodyText"/>
        <w:spacing w:before="3"/>
        <w:rPr>
          <w:sz w:val="17"/>
        </w:rPr>
      </w:pPr>
    </w:p>
    <w:p>
      <w:pPr>
        <w:pStyle w:val="BodyText"/>
        <w:spacing w:line="276" w:lineRule="auto" w:before="90"/>
        <w:ind w:left="116" w:right="115" w:firstLine="707"/>
        <w:jc w:val="both"/>
      </w:pPr>
      <w:r>
        <w:rPr/>
        <w:t>Une</w:t>
      </w:r>
      <w:r>
        <w:rPr>
          <w:spacing w:val="-8"/>
        </w:rPr>
        <w:t> </w:t>
      </w:r>
      <w:r>
        <w:rPr/>
        <w:t>diminution</w:t>
      </w:r>
      <w:r>
        <w:rPr>
          <w:spacing w:val="-6"/>
        </w:rPr>
        <w:t> </w:t>
      </w:r>
      <w:r>
        <w:rPr/>
        <w:t>de</w:t>
      </w:r>
      <w:r>
        <w:rPr>
          <w:spacing w:val="-7"/>
        </w:rPr>
        <w:t> </w:t>
      </w:r>
      <w:r>
        <w:rPr/>
        <w:t>l’activité</w:t>
      </w:r>
      <w:r>
        <w:rPr>
          <w:spacing w:val="-7"/>
        </w:rPr>
        <w:t> </w:t>
      </w:r>
      <w:r>
        <w:rPr/>
        <w:t>de</w:t>
      </w:r>
      <w:r>
        <w:rPr>
          <w:spacing w:val="-7"/>
        </w:rPr>
        <w:t> </w:t>
      </w:r>
      <w:r>
        <w:rPr/>
        <w:t>la</w:t>
      </w:r>
      <w:r>
        <w:rPr>
          <w:spacing w:val="-4"/>
        </w:rPr>
        <w:t> </w:t>
      </w:r>
      <w:r>
        <w:rPr/>
        <w:t>LDH</w:t>
      </w:r>
      <w:r>
        <w:rPr>
          <w:spacing w:val="-7"/>
        </w:rPr>
        <w:t> </w:t>
      </w:r>
      <w:r>
        <w:rPr/>
        <w:t>conduit</w:t>
      </w:r>
      <w:r>
        <w:rPr>
          <w:spacing w:val="-6"/>
        </w:rPr>
        <w:t> </w:t>
      </w:r>
      <w:r>
        <w:rPr/>
        <w:t>à</w:t>
      </w:r>
      <w:r>
        <w:rPr>
          <w:spacing w:val="-3"/>
        </w:rPr>
        <w:t> </w:t>
      </w:r>
      <w:r>
        <w:rPr/>
        <w:t>l’inhibition</w:t>
      </w:r>
      <w:r>
        <w:rPr>
          <w:spacing w:val="-6"/>
        </w:rPr>
        <w:t> </w:t>
      </w:r>
      <w:r>
        <w:rPr/>
        <w:t>de</w:t>
      </w:r>
      <w:r>
        <w:rPr>
          <w:spacing w:val="-7"/>
        </w:rPr>
        <w:t> </w:t>
      </w:r>
      <w:r>
        <w:rPr/>
        <w:t>la</w:t>
      </w:r>
      <w:r>
        <w:rPr>
          <w:spacing w:val="-7"/>
        </w:rPr>
        <w:t> </w:t>
      </w:r>
      <w:r>
        <w:rPr/>
        <w:t>glycolyse</w:t>
      </w:r>
      <w:r>
        <w:rPr>
          <w:spacing w:val="-7"/>
        </w:rPr>
        <w:t> </w:t>
      </w:r>
      <w:r>
        <w:rPr/>
        <w:t>et</w:t>
      </w:r>
      <w:r>
        <w:rPr>
          <w:spacing w:val="-6"/>
        </w:rPr>
        <w:t> </w:t>
      </w:r>
      <w:r>
        <w:rPr/>
        <w:t>possède des effets anticancéreux dans les lignées cellulaires étudiées (Fantin et al., 2006). L’inhibition de la LDH empêche la transformation du pyruvate en lactate, et le pyruvate peut ainsi rentrer dans la mitochondrie et être disponible pour les phosphorylations</w:t>
      </w:r>
      <w:r>
        <w:rPr>
          <w:spacing w:val="-14"/>
        </w:rPr>
        <w:t> </w:t>
      </w:r>
      <w:r>
        <w:rPr/>
        <w:t>oxydatives.</w:t>
      </w:r>
    </w:p>
    <w:p>
      <w:pPr>
        <w:pStyle w:val="BodyText"/>
        <w:spacing w:line="276" w:lineRule="auto" w:before="164"/>
        <w:ind w:left="116" w:right="113" w:firstLine="707"/>
        <w:jc w:val="right"/>
      </w:pPr>
      <w:r>
        <w:rPr/>
        <w:t>Par</w:t>
      </w:r>
      <w:r>
        <w:rPr>
          <w:spacing w:val="27"/>
        </w:rPr>
        <w:t> </w:t>
      </w:r>
      <w:r>
        <w:rPr/>
        <w:t>exemple,</w:t>
      </w:r>
      <w:r>
        <w:rPr>
          <w:spacing w:val="27"/>
        </w:rPr>
        <w:t> </w:t>
      </w:r>
      <w:r>
        <w:rPr/>
        <w:t>l’inhibition</w:t>
      </w:r>
      <w:r>
        <w:rPr>
          <w:spacing w:val="26"/>
        </w:rPr>
        <w:t> </w:t>
      </w:r>
      <w:r>
        <w:rPr/>
        <w:t>de</w:t>
      </w:r>
      <w:r>
        <w:rPr>
          <w:spacing w:val="27"/>
        </w:rPr>
        <w:t> </w:t>
      </w:r>
      <w:r>
        <w:rPr/>
        <w:t>la</w:t>
      </w:r>
      <w:r>
        <w:rPr>
          <w:spacing w:val="30"/>
        </w:rPr>
        <w:t> </w:t>
      </w:r>
      <w:r>
        <w:rPr/>
        <w:t>LDH-A</w:t>
      </w:r>
      <w:r>
        <w:rPr>
          <w:spacing w:val="27"/>
        </w:rPr>
        <w:t> </w:t>
      </w:r>
      <w:r>
        <w:rPr/>
        <w:t>par</w:t>
      </w:r>
      <w:r>
        <w:rPr>
          <w:spacing w:val="27"/>
        </w:rPr>
        <w:t> </w:t>
      </w:r>
      <w:r>
        <w:rPr/>
        <w:t>le</w:t>
      </w:r>
      <w:r>
        <w:rPr>
          <w:spacing w:val="31"/>
        </w:rPr>
        <w:t> </w:t>
      </w:r>
      <w:r>
        <w:rPr>
          <w:b/>
          <w:u w:val="thick"/>
        </w:rPr>
        <w:t>FX11</w:t>
      </w:r>
      <w:r>
        <w:rPr>
          <w:b/>
          <w:spacing w:val="28"/>
        </w:rPr>
        <w:t> </w:t>
      </w:r>
      <w:r>
        <w:rPr/>
        <w:t>[acide</w:t>
      </w:r>
      <w:r>
        <w:rPr>
          <w:spacing w:val="27"/>
        </w:rPr>
        <w:t> </w:t>
      </w:r>
      <w:r>
        <w:rPr/>
        <w:t>3-dihydroxy-6-méthyl-7- (phénylméthyl)-4-propylnaphthalène-1-carboxylique], un des composés du</w:t>
      </w:r>
      <w:r>
        <w:rPr>
          <w:spacing w:val="33"/>
        </w:rPr>
        <w:t> </w:t>
      </w:r>
      <w:r>
        <w:rPr/>
        <w:t>gossypol,</w:t>
      </w:r>
      <w:r>
        <w:rPr>
          <w:spacing w:val="10"/>
        </w:rPr>
        <w:t> </w:t>
      </w:r>
      <w:r>
        <w:rPr/>
        <w:t>entraîne l’inhibition</w:t>
      </w:r>
      <w:r>
        <w:rPr>
          <w:spacing w:val="35"/>
        </w:rPr>
        <w:t> </w:t>
      </w:r>
      <w:r>
        <w:rPr/>
        <w:t>de</w:t>
      </w:r>
      <w:r>
        <w:rPr>
          <w:spacing w:val="32"/>
        </w:rPr>
        <w:t> </w:t>
      </w:r>
      <w:r>
        <w:rPr/>
        <w:t>la</w:t>
      </w:r>
      <w:r>
        <w:rPr>
          <w:spacing w:val="33"/>
        </w:rPr>
        <w:t> </w:t>
      </w:r>
      <w:r>
        <w:rPr/>
        <w:t>progression</w:t>
      </w:r>
      <w:r>
        <w:rPr>
          <w:spacing w:val="33"/>
        </w:rPr>
        <w:t> </w:t>
      </w:r>
      <w:r>
        <w:rPr/>
        <w:t>de</w:t>
      </w:r>
      <w:r>
        <w:rPr>
          <w:spacing w:val="32"/>
        </w:rPr>
        <w:t> </w:t>
      </w:r>
      <w:r>
        <w:rPr/>
        <w:t>cellules</w:t>
      </w:r>
      <w:r>
        <w:rPr>
          <w:spacing w:val="33"/>
        </w:rPr>
        <w:t> </w:t>
      </w:r>
      <w:r>
        <w:rPr/>
        <w:t>de</w:t>
      </w:r>
      <w:r>
        <w:rPr>
          <w:spacing w:val="32"/>
        </w:rPr>
        <w:t> </w:t>
      </w:r>
      <w:r>
        <w:rPr/>
        <w:t>lymphome</w:t>
      </w:r>
      <w:r>
        <w:rPr>
          <w:spacing w:val="33"/>
        </w:rPr>
        <w:t> </w:t>
      </w:r>
      <w:r>
        <w:rPr/>
        <w:t>humain</w:t>
      </w:r>
      <w:r>
        <w:rPr>
          <w:spacing w:val="38"/>
        </w:rPr>
        <w:t> </w:t>
      </w:r>
      <w:r>
        <w:rPr>
          <w:b/>
          <w:i/>
        </w:rPr>
        <w:t>in</w:t>
      </w:r>
      <w:r>
        <w:rPr>
          <w:b/>
          <w:i/>
          <w:spacing w:val="35"/>
        </w:rPr>
        <w:t> </w:t>
      </w:r>
      <w:r>
        <w:rPr>
          <w:b/>
          <w:i/>
        </w:rPr>
        <w:t>vitro</w:t>
      </w:r>
      <w:r>
        <w:rPr/>
        <w:t>,</w:t>
      </w:r>
      <w:r>
        <w:rPr>
          <w:spacing w:val="33"/>
        </w:rPr>
        <w:t> </w:t>
      </w:r>
      <w:r>
        <w:rPr/>
        <w:t>ainsi</w:t>
      </w:r>
      <w:r>
        <w:rPr>
          <w:spacing w:val="35"/>
        </w:rPr>
        <w:t> </w:t>
      </w:r>
      <w:r>
        <w:rPr/>
        <w:t>que</w:t>
      </w:r>
      <w:r>
        <w:rPr>
          <w:spacing w:val="32"/>
        </w:rPr>
        <w:t> </w:t>
      </w:r>
      <w:r>
        <w:rPr/>
        <w:t>dans</w:t>
      </w:r>
      <w:r>
        <w:rPr>
          <w:spacing w:val="35"/>
        </w:rPr>
        <w:t> </w:t>
      </w:r>
      <w:r>
        <w:rPr/>
        <w:t>un modèle</w:t>
      </w:r>
      <w:r>
        <w:rPr>
          <w:spacing w:val="47"/>
        </w:rPr>
        <w:t> </w:t>
      </w:r>
      <w:r>
        <w:rPr>
          <w:b/>
          <w:i/>
        </w:rPr>
        <w:t>in</w:t>
      </w:r>
      <w:r>
        <w:rPr>
          <w:b/>
          <w:i/>
          <w:spacing w:val="50"/>
        </w:rPr>
        <w:t> </w:t>
      </w:r>
      <w:r>
        <w:rPr>
          <w:b/>
          <w:i/>
        </w:rPr>
        <w:t>vivo</w:t>
      </w:r>
      <w:r>
        <w:rPr>
          <w:b/>
          <w:i/>
          <w:spacing w:val="48"/>
        </w:rPr>
        <w:t> </w:t>
      </w:r>
      <w:r>
        <w:rPr/>
        <w:t>de</w:t>
      </w:r>
      <w:r>
        <w:rPr>
          <w:spacing w:val="47"/>
        </w:rPr>
        <w:t> </w:t>
      </w:r>
      <w:r>
        <w:rPr/>
        <w:t>xénogreffe</w:t>
      </w:r>
      <w:r>
        <w:rPr>
          <w:spacing w:val="47"/>
        </w:rPr>
        <w:t> </w:t>
      </w:r>
      <w:r>
        <w:rPr/>
        <w:t>de</w:t>
      </w:r>
      <w:r>
        <w:rPr>
          <w:spacing w:val="50"/>
        </w:rPr>
        <w:t> </w:t>
      </w:r>
      <w:r>
        <w:rPr/>
        <w:t>cellules</w:t>
      </w:r>
      <w:r>
        <w:rPr>
          <w:spacing w:val="47"/>
        </w:rPr>
        <w:t> </w:t>
      </w:r>
      <w:r>
        <w:rPr/>
        <w:t>pancréatiques.</w:t>
      </w:r>
      <w:r>
        <w:rPr>
          <w:spacing w:val="50"/>
        </w:rPr>
        <w:t> </w:t>
      </w:r>
      <w:r>
        <w:rPr/>
        <w:t>L’inhibition</w:t>
      </w:r>
      <w:r>
        <w:rPr>
          <w:spacing w:val="48"/>
        </w:rPr>
        <w:t> </w:t>
      </w:r>
      <w:r>
        <w:rPr/>
        <w:t>de</w:t>
      </w:r>
      <w:r>
        <w:rPr>
          <w:spacing w:val="50"/>
        </w:rPr>
        <w:t> </w:t>
      </w:r>
      <w:r>
        <w:rPr/>
        <w:t>la</w:t>
      </w:r>
      <w:r>
        <w:rPr>
          <w:spacing w:val="47"/>
        </w:rPr>
        <w:t> </w:t>
      </w:r>
      <w:r>
        <w:rPr/>
        <w:t>croissance</w:t>
      </w:r>
      <w:r>
        <w:rPr>
          <w:spacing w:val="50"/>
        </w:rPr>
        <w:t> </w:t>
      </w:r>
      <w:r>
        <w:rPr/>
        <w:t>est</w:t>
      </w:r>
      <w:r>
        <w:rPr>
          <w:w w:val="99"/>
        </w:rPr>
        <w:t> </w:t>
      </w:r>
      <w:r>
        <w:rPr/>
        <w:t>obtenue</w:t>
      </w:r>
      <w:r>
        <w:rPr>
          <w:spacing w:val="-13"/>
        </w:rPr>
        <w:t> </w:t>
      </w:r>
      <w:r>
        <w:rPr/>
        <w:t>en</w:t>
      </w:r>
      <w:r>
        <w:rPr>
          <w:spacing w:val="-11"/>
        </w:rPr>
        <w:t> </w:t>
      </w:r>
      <w:r>
        <w:rPr/>
        <w:t>combinaison</w:t>
      </w:r>
      <w:r>
        <w:rPr>
          <w:spacing w:val="-8"/>
        </w:rPr>
        <w:t> </w:t>
      </w:r>
      <w:r>
        <w:rPr/>
        <w:t>avec</w:t>
      </w:r>
      <w:r>
        <w:rPr>
          <w:spacing w:val="-12"/>
        </w:rPr>
        <w:t> </w:t>
      </w:r>
      <w:r>
        <w:rPr/>
        <w:t>un</w:t>
      </w:r>
      <w:r>
        <w:rPr>
          <w:spacing w:val="-11"/>
        </w:rPr>
        <w:t> </w:t>
      </w:r>
      <w:r>
        <w:rPr/>
        <w:t>inhibiteur</w:t>
      </w:r>
      <w:r>
        <w:rPr>
          <w:spacing w:val="-12"/>
        </w:rPr>
        <w:t> </w:t>
      </w:r>
      <w:r>
        <w:rPr/>
        <w:t>de</w:t>
      </w:r>
      <w:r>
        <w:rPr>
          <w:spacing w:val="-12"/>
        </w:rPr>
        <w:t> </w:t>
      </w:r>
      <w:r>
        <w:rPr/>
        <w:t>la</w:t>
      </w:r>
      <w:r>
        <w:rPr>
          <w:spacing w:val="-12"/>
        </w:rPr>
        <w:t> </w:t>
      </w:r>
      <w:r>
        <w:rPr/>
        <w:t>synthèse</w:t>
      </w:r>
      <w:r>
        <w:rPr>
          <w:spacing w:val="-12"/>
        </w:rPr>
        <w:t> </w:t>
      </w:r>
      <w:r>
        <w:rPr/>
        <w:t>du</w:t>
      </w:r>
      <w:r>
        <w:rPr>
          <w:spacing w:val="-9"/>
        </w:rPr>
        <w:t> </w:t>
      </w:r>
      <w:r>
        <w:rPr/>
        <w:t>NAD+,</w:t>
      </w:r>
      <w:r>
        <w:rPr>
          <w:spacing w:val="-11"/>
        </w:rPr>
        <w:t> </w:t>
      </w:r>
      <w:r>
        <w:rPr/>
        <w:t>le</w:t>
      </w:r>
      <w:r>
        <w:rPr>
          <w:spacing w:val="-12"/>
        </w:rPr>
        <w:t> </w:t>
      </w:r>
      <w:r>
        <w:rPr/>
        <w:t>FK866</w:t>
      </w:r>
      <w:r>
        <w:rPr>
          <w:spacing w:val="-8"/>
        </w:rPr>
        <w:t> </w:t>
      </w:r>
      <w:r>
        <w:rPr/>
        <w:t>(Le</w:t>
      </w:r>
      <w:r>
        <w:rPr>
          <w:spacing w:val="-12"/>
        </w:rPr>
        <w:t> </w:t>
      </w:r>
      <w:r>
        <w:rPr/>
        <w:t>et</w:t>
      </w:r>
      <w:r>
        <w:rPr>
          <w:spacing w:val="-11"/>
        </w:rPr>
        <w:t> </w:t>
      </w:r>
      <w:r>
        <w:rPr/>
        <w:t>al.,</w:t>
      </w:r>
      <w:r>
        <w:rPr>
          <w:spacing w:val="-11"/>
        </w:rPr>
        <w:t> </w:t>
      </w:r>
      <w:r>
        <w:rPr/>
        <w:t>2010).</w:t>
      </w:r>
    </w:p>
    <w:p>
      <w:pPr>
        <w:pStyle w:val="BodyText"/>
        <w:spacing w:line="276" w:lineRule="auto" w:before="164"/>
        <w:ind w:left="116" w:right="113" w:firstLine="707"/>
        <w:jc w:val="both"/>
      </w:pPr>
      <w:r>
        <w:rPr/>
        <w:t>L’acide benzoïque 3-((3-carbamoyl-7-(3,5-diméthylisoxazol-4-yl)-6-méthoxyquinolin- 4-yl)</w:t>
      </w:r>
      <w:r>
        <w:rPr>
          <w:spacing w:val="-12"/>
        </w:rPr>
        <w:t> </w:t>
      </w:r>
      <w:r>
        <w:rPr/>
        <w:t>amino)</w:t>
      </w:r>
      <w:r>
        <w:rPr>
          <w:spacing w:val="-13"/>
        </w:rPr>
        <w:t> </w:t>
      </w:r>
      <w:r>
        <w:rPr/>
        <w:t>(</w:t>
      </w:r>
      <w:r>
        <w:rPr>
          <w:b/>
          <w:u w:val="thick"/>
        </w:rPr>
        <w:t>AB3</w:t>
      </w:r>
      <w:r>
        <w:rPr/>
        <w:t>)</w:t>
      </w:r>
      <w:r>
        <w:rPr>
          <w:spacing w:val="-13"/>
        </w:rPr>
        <w:t> </w:t>
      </w:r>
      <w:r>
        <w:rPr/>
        <w:t>est</w:t>
      </w:r>
      <w:r>
        <w:rPr>
          <w:spacing w:val="-11"/>
        </w:rPr>
        <w:t> </w:t>
      </w:r>
      <w:r>
        <w:rPr/>
        <w:t>un</w:t>
      </w:r>
      <w:r>
        <w:rPr>
          <w:spacing w:val="-12"/>
        </w:rPr>
        <w:t> </w:t>
      </w:r>
      <w:r>
        <w:rPr/>
        <w:t>inhibiteur</w:t>
      </w:r>
      <w:r>
        <w:rPr>
          <w:spacing w:val="-13"/>
        </w:rPr>
        <w:t> </w:t>
      </w:r>
      <w:r>
        <w:rPr/>
        <w:t>de</w:t>
      </w:r>
      <w:r>
        <w:rPr>
          <w:spacing w:val="-13"/>
        </w:rPr>
        <w:t> </w:t>
      </w:r>
      <w:r>
        <w:rPr/>
        <w:t>la</w:t>
      </w:r>
      <w:r>
        <w:rPr>
          <w:spacing w:val="-13"/>
        </w:rPr>
        <w:t> </w:t>
      </w:r>
      <w:r>
        <w:rPr/>
        <w:t>LDH-A,</w:t>
      </w:r>
      <w:r>
        <w:rPr>
          <w:spacing w:val="-12"/>
        </w:rPr>
        <w:t> </w:t>
      </w:r>
      <w:r>
        <w:rPr/>
        <w:t>qui</w:t>
      </w:r>
      <w:r>
        <w:rPr>
          <w:spacing w:val="-12"/>
        </w:rPr>
        <w:t> </w:t>
      </w:r>
      <w:r>
        <w:rPr/>
        <w:t>conduit</w:t>
      </w:r>
      <w:r>
        <w:rPr>
          <w:spacing w:val="-14"/>
        </w:rPr>
        <w:t> </w:t>
      </w:r>
      <w:r>
        <w:rPr/>
        <w:t>à</w:t>
      </w:r>
      <w:r>
        <w:rPr>
          <w:spacing w:val="-13"/>
        </w:rPr>
        <w:t> </w:t>
      </w:r>
      <w:r>
        <w:rPr/>
        <w:t>inhiber</w:t>
      </w:r>
      <w:r>
        <w:rPr>
          <w:spacing w:val="-13"/>
        </w:rPr>
        <w:t> </w:t>
      </w:r>
      <w:r>
        <w:rPr/>
        <w:t>la</w:t>
      </w:r>
      <w:r>
        <w:rPr>
          <w:spacing w:val="-15"/>
        </w:rPr>
        <w:t> </w:t>
      </w:r>
      <w:r>
        <w:rPr/>
        <w:t>production</w:t>
      </w:r>
      <w:r>
        <w:rPr>
          <w:spacing w:val="-12"/>
        </w:rPr>
        <w:t> </w:t>
      </w:r>
      <w:r>
        <w:rPr/>
        <w:t>de</w:t>
      </w:r>
      <w:r>
        <w:rPr>
          <w:spacing w:val="-13"/>
        </w:rPr>
        <w:t> </w:t>
      </w:r>
      <w:r>
        <w:rPr/>
        <w:t>lactate</w:t>
      </w:r>
    </w:p>
    <w:p>
      <w:pPr>
        <w:spacing w:after="0" w:line="276" w:lineRule="auto"/>
        <w:jc w:val="both"/>
        <w:sectPr>
          <w:pgSz w:w="11910" w:h="16840"/>
          <w:pgMar w:header="0" w:footer="995" w:top="1320" w:bottom="1240" w:left="1300" w:right="1300"/>
        </w:sectPr>
      </w:pPr>
    </w:p>
    <w:p>
      <w:pPr>
        <w:pStyle w:val="BodyText"/>
        <w:spacing w:line="276" w:lineRule="auto" w:before="72"/>
        <w:ind w:left="116" w:right="118"/>
        <w:jc w:val="both"/>
      </w:pPr>
      <w:r>
        <w:rPr/>
        <w:t>dans de nombreuses lignées de carcinome hépatocellulaire et de cancer</w:t>
      </w:r>
      <w:r>
        <w:rPr>
          <w:spacing w:val="-43"/>
        </w:rPr>
        <w:t> </w:t>
      </w:r>
      <w:r>
        <w:rPr/>
        <w:t>du sein. Il permet aussi une activité plus marquée du cycle de Krebs et le blocage de la glycolyse. De plus, il favorise l’activité de la PKM2 et déclenche l’apoptose dans les lignées de carcinome hépatocellulaire (Billiard et al.,</w:t>
      </w:r>
      <w:r>
        <w:rPr>
          <w:spacing w:val="-5"/>
        </w:rPr>
        <w:t> </w:t>
      </w:r>
      <w:r>
        <w:rPr/>
        <w:t>2013).</w:t>
      </w:r>
    </w:p>
    <w:p>
      <w:pPr>
        <w:pStyle w:val="BodyText"/>
        <w:spacing w:line="276" w:lineRule="auto" w:before="164"/>
        <w:ind w:left="116" w:right="116" w:firstLine="707"/>
        <w:jc w:val="both"/>
      </w:pPr>
      <w:r>
        <w:rPr/>
        <w:t>La </w:t>
      </w:r>
      <w:r>
        <w:rPr>
          <w:b/>
          <w:u w:val="thick"/>
        </w:rPr>
        <w:t>galloflavine</w:t>
      </w:r>
      <w:r>
        <w:rPr/>
        <w:t>, un autre inhibiteur de la LDH, inhibe la croissance cellulaire dans des lignées de cancer de l’endomètre (</w:t>
      </w:r>
      <w:r>
        <w:rPr>
          <w:i/>
        </w:rPr>
        <w:t>via </w:t>
      </w:r>
      <w:r>
        <w:rPr/>
        <w:t>des mécanismes de stress cellulaire, d’apoptose…) (Han et al., 2015).</w:t>
      </w:r>
    </w:p>
    <w:p>
      <w:pPr>
        <w:pStyle w:val="BodyText"/>
        <w:spacing w:line="276" w:lineRule="auto" w:before="162"/>
        <w:ind w:left="116" w:right="114" w:firstLine="707"/>
        <w:jc w:val="both"/>
      </w:pPr>
      <w:r>
        <w:rPr/>
        <w:t>Ces</w:t>
      </w:r>
      <w:r>
        <w:rPr>
          <w:spacing w:val="-8"/>
        </w:rPr>
        <w:t> </w:t>
      </w:r>
      <w:r>
        <w:rPr/>
        <w:t>phénomènes</w:t>
      </w:r>
      <w:r>
        <w:rPr>
          <w:spacing w:val="-6"/>
        </w:rPr>
        <w:t> </w:t>
      </w:r>
      <w:r>
        <w:rPr/>
        <w:t>ont</w:t>
      </w:r>
      <w:r>
        <w:rPr>
          <w:spacing w:val="-6"/>
        </w:rPr>
        <w:t> </w:t>
      </w:r>
      <w:r>
        <w:rPr/>
        <w:t>été</w:t>
      </w:r>
      <w:r>
        <w:rPr>
          <w:spacing w:val="-9"/>
        </w:rPr>
        <w:t> </w:t>
      </w:r>
      <w:r>
        <w:rPr/>
        <w:t>retrouvés</w:t>
      </w:r>
      <w:r>
        <w:rPr>
          <w:spacing w:val="-6"/>
        </w:rPr>
        <w:t> </w:t>
      </w:r>
      <w:r>
        <w:rPr/>
        <w:t>avec</w:t>
      </w:r>
      <w:r>
        <w:rPr>
          <w:spacing w:val="-7"/>
        </w:rPr>
        <w:t> </w:t>
      </w:r>
      <w:r>
        <w:rPr/>
        <w:t>l’utilisation</w:t>
      </w:r>
      <w:r>
        <w:rPr>
          <w:spacing w:val="-8"/>
        </w:rPr>
        <w:t> </w:t>
      </w:r>
      <w:r>
        <w:rPr/>
        <w:t>d’</w:t>
      </w:r>
      <w:r>
        <w:rPr>
          <w:b/>
          <w:u w:val="thick"/>
        </w:rPr>
        <w:t>oxamate</w:t>
      </w:r>
      <w:r>
        <w:rPr>
          <w:b/>
          <w:spacing w:val="-7"/>
        </w:rPr>
        <w:t> </w:t>
      </w:r>
      <w:r>
        <w:rPr/>
        <w:t>(pouvant</w:t>
      </w:r>
      <w:r>
        <w:rPr>
          <w:spacing w:val="-8"/>
        </w:rPr>
        <w:t> </w:t>
      </w:r>
      <w:r>
        <w:rPr/>
        <w:t>occuper</w:t>
      </w:r>
      <w:r>
        <w:rPr>
          <w:spacing w:val="-7"/>
        </w:rPr>
        <w:t> </w:t>
      </w:r>
      <w:r>
        <w:rPr/>
        <w:t>le</w:t>
      </w:r>
      <w:r>
        <w:rPr>
          <w:spacing w:val="-9"/>
        </w:rPr>
        <w:t> </w:t>
      </w:r>
      <w:r>
        <w:rPr/>
        <w:t>site actif de la LDH à la place du pyruvate) dans des lignées de cellules cancéreuses de l’estomac (Liu et al., 2015a), qui s’avère également avoir une toxicité beaucoup plus réduite sur les cellules normales (Yang et al., 2014). L’utilisation d’oxamate en association avec le trastuzumab inhibe la croissance tumorale dans un modèle de xénogreffe de cancer du sein (Zhao et al., 2011a). De plus, l’équipe de Seth et al. travaillant sur des cellules de cancer du poumon déficientes en LDH-A, a montré que l’inhibition de cette enzyme sensibilise les cellules au paclitaxel (Seth et al., 2011). Ces résultats sont en accord avec les travaux de Zhou et</w:t>
      </w:r>
      <w:r>
        <w:rPr>
          <w:spacing w:val="-8"/>
        </w:rPr>
        <w:t> </w:t>
      </w:r>
      <w:r>
        <w:rPr/>
        <w:t>al.,</w:t>
      </w:r>
      <w:r>
        <w:rPr>
          <w:spacing w:val="-9"/>
        </w:rPr>
        <w:t> </w:t>
      </w:r>
      <w:r>
        <w:rPr/>
        <w:t>qui</w:t>
      </w:r>
      <w:r>
        <w:rPr>
          <w:spacing w:val="-8"/>
        </w:rPr>
        <w:t> </w:t>
      </w:r>
      <w:r>
        <w:rPr/>
        <w:t>montrent</w:t>
      </w:r>
      <w:r>
        <w:rPr>
          <w:spacing w:val="-8"/>
        </w:rPr>
        <w:t> </w:t>
      </w:r>
      <w:r>
        <w:rPr/>
        <w:t>que</w:t>
      </w:r>
      <w:r>
        <w:rPr>
          <w:spacing w:val="-9"/>
        </w:rPr>
        <w:t> </w:t>
      </w:r>
      <w:r>
        <w:rPr/>
        <w:t>l’utilisation</w:t>
      </w:r>
      <w:r>
        <w:rPr>
          <w:spacing w:val="-9"/>
        </w:rPr>
        <w:t> </w:t>
      </w:r>
      <w:r>
        <w:rPr/>
        <w:t>de</w:t>
      </w:r>
      <w:r>
        <w:rPr>
          <w:spacing w:val="-8"/>
        </w:rPr>
        <w:t> </w:t>
      </w:r>
      <w:r>
        <w:rPr/>
        <w:t>l’oxamate,</w:t>
      </w:r>
      <w:r>
        <w:rPr>
          <w:spacing w:val="-11"/>
        </w:rPr>
        <w:t> </w:t>
      </w:r>
      <w:r>
        <w:rPr/>
        <w:t>en</w:t>
      </w:r>
      <w:r>
        <w:rPr>
          <w:spacing w:val="-9"/>
        </w:rPr>
        <w:t> </w:t>
      </w:r>
      <w:r>
        <w:rPr/>
        <w:t>association</w:t>
      </w:r>
      <w:r>
        <w:rPr>
          <w:spacing w:val="-9"/>
        </w:rPr>
        <w:t> </w:t>
      </w:r>
      <w:r>
        <w:rPr/>
        <w:t>avec</w:t>
      </w:r>
      <w:r>
        <w:rPr>
          <w:spacing w:val="-10"/>
        </w:rPr>
        <w:t> </w:t>
      </w:r>
      <w:r>
        <w:rPr/>
        <w:t>le</w:t>
      </w:r>
      <w:r>
        <w:rPr>
          <w:spacing w:val="-9"/>
        </w:rPr>
        <w:t> </w:t>
      </w:r>
      <w:r>
        <w:rPr/>
        <w:t>paclitaxel,</w:t>
      </w:r>
      <w:r>
        <w:rPr>
          <w:spacing w:val="-8"/>
        </w:rPr>
        <w:t> </w:t>
      </w:r>
      <w:r>
        <w:rPr/>
        <w:t>déclenchent l’apoptose dans des lignées cellulaires de cancer du sein résistantes au paclitaxel (Zhou et al., 2010).</w:t>
      </w:r>
    </w:p>
    <w:p>
      <w:pPr>
        <w:pStyle w:val="BodyText"/>
        <w:spacing w:line="276" w:lineRule="auto" w:before="164"/>
        <w:ind w:left="116" w:right="114" w:firstLine="707"/>
        <w:jc w:val="both"/>
      </w:pPr>
      <w:r>
        <w:rPr/>
        <w:t>Les inhibiteurs de la LDH-A peuvent également avoir un effet sur les cellules souches dérivées</w:t>
      </w:r>
      <w:r>
        <w:rPr>
          <w:spacing w:val="-9"/>
        </w:rPr>
        <w:t> </w:t>
      </w:r>
      <w:r>
        <w:rPr/>
        <w:t>de</w:t>
      </w:r>
      <w:r>
        <w:rPr>
          <w:spacing w:val="-10"/>
        </w:rPr>
        <w:t> </w:t>
      </w:r>
      <w:r>
        <w:rPr/>
        <w:t>glioblastome.</w:t>
      </w:r>
      <w:r>
        <w:rPr>
          <w:spacing w:val="-5"/>
        </w:rPr>
        <w:t> </w:t>
      </w:r>
      <w:r>
        <w:rPr/>
        <w:t>Les</w:t>
      </w:r>
      <w:r>
        <w:rPr>
          <w:spacing w:val="-11"/>
        </w:rPr>
        <w:t> </w:t>
      </w:r>
      <w:r>
        <w:rPr/>
        <w:t>inhibiteurs</w:t>
      </w:r>
      <w:r>
        <w:rPr>
          <w:spacing w:val="-9"/>
        </w:rPr>
        <w:t> </w:t>
      </w:r>
      <w:r>
        <w:rPr>
          <w:b/>
          <w:u w:val="thick"/>
        </w:rPr>
        <w:t>NHI-1</w:t>
      </w:r>
      <w:r>
        <w:rPr>
          <w:b/>
          <w:spacing w:val="-11"/>
        </w:rPr>
        <w:t> </w:t>
      </w:r>
      <w:r>
        <w:rPr/>
        <w:t>et</w:t>
      </w:r>
      <w:r>
        <w:rPr>
          <w:spacing w:val="-8"/>
        </w:rPr>
        <w:t> </w:t>
      </w:r>
      <w:r>
        <w:rPr>
          <w:b/>
          <w:u w:val="thick"/>
        </w:rPr>
        <w:t>NHI-2</w:t>
      </w:r>
      <w:r>
        <w:rPr>
          <w:b/>
          <w:spacing w:val="-11"/>
        </w:rPr>
        <w:t> </w:t>
      </w:r>
      <w:r>
        <w:rPr/>
        <w:t>bloquent</w:t>
      </w:r>
      <w:r>
        <w:rPr>
          <w:spacing w:val="-11"/>
        </w:rPr>
        <w:t> </w:t>
      </w:r>
      <w:r>
        <w:rPr/>
        <w:t>la</w:t>
      </w:r>
      <w:r>
        <w:rPr>
          <w:spacing w:val="-12"/>
        </w:rPr>
        <w:t> </w:t>
      </w:r>
      <w:r>
        <w:rPr/>
        <w:t>formation</w:t>
      </w:r>
      <w:r>
        <w:rPr>
          <w:spacing w:val="-11"/>
        </w:rPr>
        <w:t> </w:t>
      </w:r>
      <w:r>
        <w:rPr/>
        <w:t>de</w:t>
      </w:r>
      <w:r>
        <w:rPr>
          <w:spacing w:val="-12"/>
        </w:rPr>
        <w:t> </w:t>
      </w:r>
      <w:r>
        <w:rPr/>
        <w:t>ces</w:t>
      </w:r>
      <w:r>
        <w:rPr>
          <w:spacing w:val="-11"/>
        </w:rPr>
        <w:t> </w:t>
      </w:r>
      <w:r>
        <w:rPr/>
        <w:t>cellules souches et déclenchent une différenciation cellulaire et un phénomène d’apoptose (Daniele et al., 2015). Réduire l’activité de la LDH-A augmente également le pool d’H+ intracellulaire et contribue à l’acidification du milieu</w:t>
      </w:r>
      <w:r>
        <w:rPr>
          <w:spacing w:val="-10"/>
        </w:rPr>
        <w:t> </w:t>
      </w:r>
      <w:r>
        <w:rPr/>
        <w:t>intracellulaire.</w:t>
      </w:r>
    </w:p>
    <w:p>
      <w:pPr>
        <w:pStyle w:val="BodyText"/>
        <w:rPr>
          <w:sz w:val="26"/>
        </w:rPr>
      </w:pPr>
    </w:p>
    <w:p>
      <w:pPr>
        <w:pStyle w:val="BodyText"/>
        <w:spacing w:before="6"/>
        <w:rPr>
          <w:sz w:val="29"/>
        </w:rPr>
      </w:pPr>
    </w:p>
    <w:p>
      <w:pPr>
        <w:pStyle w:val="ListParagraph"/>
        <w:numPr>
          <w:ilvl w:val="0"/>
          <w:numId w:val="20"/>
        </w:numPr>
        <w:tabs>
          <w:tab w:pos="1110" w:val="left" w:leader="none"/>
        </w:tabs>
        <w:spacing w:line="240" w:lineRule="auto" w:before="0" w:after="0"/>
        <w:ind w:left="1110" w:right="0" w:hanging="360"/>
        <w:jc w:val="left"/>
        <w:rPr>
          <w:sz w:val="24"/>
        </w:rPr>
      </w:pPr>
      <w:bookmarkStart w:name="_bookmark125" w:id="208"/>
      <w:bookmarkEnd w:id="208"/>
      <w:r>
        <w:rPr/>
      </w:r>
      <w:bookmarkStart w:name="_bookmark125" w:id="209"/>
      <w:bookmarkEnd w:id="209"/>
      <w:r>
        <w:rPr>
          <w:sz w:val="24"/>
          <w:u w:val="single"/>
        </w:rPr>
        <w:t>L</w:t>
      </w:r>
      <w:r>
        <w:rPr>
          <w:sz w:val="24"/>
          <w:u w:val="single"/>
        </w:rPr>
        <w:t>imiter l’import de lactate </w:t>
      </w:r>
      <w:r>
        <w:rPr>
          <w:i/>
          <w:sz w:val="24"/>
          <w:u w:val="single"/>
        </w:rPr>
        <w:t>via </w:t>
      </w:r>
      <w:r>
        <w:rPr>
          <w:sz w:val="24"/>
          <w:u w:val="single"/>
        </w:rPr>
        <w:t>l’inhibition des</w:t>
      </w:r>
      <w:r>
        <w:rPr>
          <w:spacing w:val="-8"/>
          <w:sz w:val="24"/>
          <w:u w:val="single"/>
        </w:rPr>
        <w:t> </w:t>
      </w:r>
      <w:r>
        <w:rPr>
          <w:sz w:val="24"/>
          <w:u w:val="single"/>
        </w:rPr>
        <w:t>MCT-1</w:t>
      </w:r>
    </w:p>
    <w:p>
      <w:pPr>
        <w:pStyle w:val="BodyText"/>
        <w:rPr>
          <w:sz w:val="20"/>
        </w:rPr>
      </w:pPr>
    </w:p>
    <w:p>
      <w:pPr>
        <w:pStyle w:val="BodyText"/>
        <w:spacing w:before="5"/>
        <w:rPr>
          <w:sz w:val="16"/>
        </w:rPr>
      </w:pPr>
    </w:p>
    <w:p>
      <w:pPr>
        <w:pStyle w:val="BodyText"/>
        <w:spacing w:line="276" w:lineRule="auto" w:before="100"/>
        <w:ind w:left="116" w:right="114" w:firstLine="707"/>
        <w:jc w:val="both"/>
      </w:pPr>
      <w:r>
        <w:rPr/>
        <w:t>L’inhibiteur historique des MCT-1 est le </w:t>
      </w:r>
      <w:r>
        <w:rPr>
          <w:rFonts w:ascii="Symbol" w:hAnsi="Symbol"/>
        </w:rPr>
        <w:t></w:t>
      </w:r>
      <w:r>
        <w:rPr/>
        <w:t>-cyano-4-hydroxycinnamate (</w:t>
      </w:r>
      <w:r>
        <w:rPr>
          <w:b/>
          <w:u w:val="thick"/>
        </w:rPr>
        <w:t>CHC</w:t>
      </w:r>
      <w:r>
        <w:rPr/>
        <w:t>). Il présente des effets antitumoraux seul ou en association avec de la radiothérapie dans des modèles souris. L’inhibition des MCT1 engendre en effet un shift du métabolisme des cellules tumorales</w:t>
      </w:r>
      <w:r>
        <w:rPr>
          <w:spacing w:val="-16"/>
        </w:rPr>
        <w:t> </w:t>
      </w:r>
      <w:r>
        <w:rPr/>
        <w:t>utilisant</w:t>
      </w:r>
      <w:r>
        <w:rPr>
          <w:spacing w:val="-15"/>
        </w:rPr>
        <w:t> </w:t>
      </w:r>
      <w:r>
        <w:rPr/>
        <w:t>le</w:t>
      </w:r>
      <w:r>
        <w:rPr>
          <w:spacing w:val="-16"/>
        </w:rPr>
        <w:t> </w:t>
      </w:r>
      <w:r>
        <w:rPr/>
        <w:t>lactate</w:t>
      </w:r>
      <w:r>
        <w:rPr>
          <w:spacing w:val="-17"/>
        </w:rPr>
        <w:t> </w:t>
      </w:r>
      <w:r>
        <w:rPr/>
        <w:t>pour</w:t>
      </w:r>
      <w:r>
        <w:rPr>
          <w:spacing w:val="-17"/>
        </w:rPr>
        <w:t> </w:t>
      </w:r>
      <w:r>
        <w:rPr/>
        <w:t>les</w:t>
      </w:r>
      <w:r>
        <w:rPr>
          <w:spacing w:val="-16"/>
        </w:rPr>
        <w:t> </w:t>
      </w:r>
      <w:r>
        <w:rPr/>
        <w:t>processus</w:t>
      </w:r>
      <w:r>
        <w:rPr>
          <w:spacing w:val="-15"/>
        </w:rPr>
        <w:t> </w:t>
      </w:r>
      <w:r>
        <w:rPr/>
        <w:t>oxydatif</w:t>
      </w:r>
      <w:r>
        <w:rPr>
          <w:spacing w:val="-17"/>
        </w:rPr>
        <w:t> </w:t>
      </w:r>
      <w:r>
        <w:rPr/>
        <w:t>vers</w:t>
      </w:r>
      <w:r>
        <w:rPr>
          <w:spacing w:val="-16"/>
        </w:rPr>
        <w:t> </w:t>
      </w:r>
      <w:r>
        <w:rPr/>
        <w:t>un</w:t>
      </w:r>
      <w:r>
        <w:rPr>
          <w:spacing w:val="-16"/>
        </w:rPr>
        <w:t> </w:t>
      </w:r>
      <w:r>
        <w:rPr/>
        <w:t>métabolisme</w:t>
      </w:r>
      <w:r>
        <w:rPr>
          <w:spacing w:val="-16"/>
        </w:rPr>
        <w:t> </w:t>
      </w:r>
      <w:r>
        <w:rPr/>
        <w:t>glycolytique.</w:t>
      </w:r>
      <w:r>
        <w:rPr>
          <w:spacing w:val="-16"/>
        </w:rPr>
        <w:t> </w:t>
      </w:r>
      <w:r>
        <w:rPr/>
        <w:t>Cela prive les cellules hypoxiques glycolytiques avoisinantes de leur unique substrat, et réduit donc la progression tumorale. Les cellules restantes seraient sensibles à la radiothérapie (Sonveaux et al., 2008). Un effet antiangiogénique est également à noter (Sonveaux et al.,</w:t>
      </w:r>
      <w:r>
        <w:rPr>
          <w:spacing w:val="-14"/>
        </w:rPr>
        <w:t> </w:t>
      </w:r>
      <w:r>
        <w:rPr/>
        <w:t>2012).</w:t>
      </w:r>
    </w:p>
    <w:p>
      <w:pPr>
        <w:pStyle w:val="BodyText"/>
        <w:spacing w:line="276" w:lineRule="auto" w:before="163"/>
        <w:ind w:left="116" w:right="116" w:firstLine="707"/>
        <w:jc w:val="both"/>
      </w:pPr>
      <w:r>
        <w:rPr/>
        <w:t>Le </w:t>
      </w:r>
      <w:r>
        <w:rPr>
          <w:b/>
          <w:u w:val="thick"/>
        </w:rPr>
        <w:t>7ACC</w:t>
      </w:r>
      <w:r>
        <w:rPr>
          <w:b/>
        </w:rPr>
        <w:t> </w:t>
      </w:r>
      <w:r>
        <w:rPr/>
        <w:t>(7-aminocarboxycoumarins) est un nouveau composé inhibant l’import de lactate dans la cellule mais pas son export (Draoui et al., 2014). Cela permet de cibler les cellules utilisant le lactate comme carburant (cellules cancéreuses oxydatives). Le 7ACC retarde la croissance de lignées cellulaires de cancer du col de l’utérus, de cancer colorectal et de cancer du sein. Contrairement au CHC, le 7ACC n’empêche pas l’entrée du 3-BP dans les cellules grâce à MCT1 (Draoui et al., 2014).</w:t>
      </w:r>
    </w:p>
    <w:p>
      <w:pPr>
        <w:spacing w:after="0" w:line="276" w:lineRule="auto"/>
        <w:jc w:val="both"/>
        <w:sectPr>
          <w:pgSz w:w="11910" w:h="16840"/>
          <w:pgMar w:header="0" w:footer="995" w:top="1320" w:bottom="1240" w:left="1300" w:right="1300"/>
        </w:sectPr>
      </w:pPr>
    </w:p>
    <w:p>
      <w:pPr>
        <w:pStyle w:val="BodyText"/>
        <w:spacing w:line="276" w:lineRule="auto" w:before="72"/>
        <w:ind w:left="116" w:right="115" w:firstLine="707"/>
        <w:jc w:val="both"/>
      </w:pPr>
      <w:r>
        <w:rPr/>
        <w:t>L’utilisation de l’inhibiteur </w:t>
      </w:r>
      <w:r>
        <w:rPr>
          <w:b/>
          <w:u w:val="thick"/>
        </w:rPr>
        <w:t>AZD3965</w:t>
      </w:r>
      <w:r>
        <w:rPr>
          <w:b/>
        </w:rPr>
        <w:t> </w:t>
      </w:r>
      <w:r>
        <w:rPr/>
        <w:t>dans un modèle </w:t>
      </w:r>
      <w:r>
        <w:rPr>
          <w:b/>
          <w:i/>
        </w:rPr>
        <w:t>in vitro </w:t>
      </w:r>
      <w:r>
        <w:rPr/>
        <w:t>et </w:t>
      </w:r>
      <w:r>
        <w:rPr>
          <w:b/>
          <w:i/>
        </w:rPr>
        <w:t>in vivo </w:t>
      </w:r>
      <w:r>
        <w:rPr/>
        <w:t>de cancer du poumon montre l’efficacité de la molécule à réduire la croissance tumorale dans un milieu hypoxique (Polański et al., 2014).</w:t>
      </w:r>
    </w:p>
    <w:p>
      <w:pPr>
        <w:pStyle w:val="BodyText"/>
        <w:spacing w:line="273" w:lineRule="auto" w:before="164"/>
        <w:ind w:left="116" w:right="115" w:firstLine="707"/>
        <w:jc w:val="both"/>
      </w:pPr>
      <w:r>
        <w:rPr/>
        <w:t>Dans un modèle d’ostéosarcome, il semble que la diminution de l’expression de</w:t>
      </w:r>
      <w:r>
        <w:rPr>
          <w:spacing w:val="-32"/>
        </w:rPr>
        <w:t> </w:t>
      </w:r>
      <w:r>
        <w:rPr/>
        <w:t>MCT1 limite la dissémination métastatique et favorise l’action de l’adriamycine (Zhao et al.,</w:t>
      </w:r>
      <w:r>
        <w:rPr>
          <w:spacing w:val="-15"/>
        </w:rPr>
        <w:t> </w:t>
      </w:r>
      <w:r>
        <w:rPr/>
        <w:t>2014).</w:t>
      </w:r>
    </w:p>
    <w:p>
      <w:pPr>
        <w:pStyle w:val="BodyText"/>
        <w:rPr>
          <w:sz w:val="26"/>
        </w:rPr>
      </w:pPr>
    </w:p>
    <w:p>
      <w:pPr>
        <w:pStyle w:val="BodyText"/>
        <w:rPr>
          <w:sz w:val="30"/>
        </w:rPr>
      </w:pPr>
    </w:p>
    <w:p>
      <w:pPr>
        <w:pStyle w:val="ListParagraph"/>
        <w:numPr>
          <w:ilvl w:val="0"/>
          <w:numId w:val="20"/>
        </w:numPr>
        <w:tabs>
          <w:tab w:pos="1110" w:val="left" w:leader="none"/>
        </w:tabs>
        <w:spacing w:line="276" w:lineRule="auto" w:before="0" w:after="0"/>
        <w:ind w:left="1110" w:right="117" w:hanging="360"/>
        <w:jc w:val="left"/>
        <w:rPr>
          <w:sz w:val="24"/>
        </w:rPr>
      </w:pPr>
      <w:bookmarkStart w:name="_bookmark126" w:id="210"/>
      <w:bookmarkEnd w:id="210"/>
      <w:r>
        <w:rPr/>
      </w:r>
      <w:bookmarkStart w:name="_bookmark126" w:id="211"/>
      <w:bookmarkEnd w:id="211"/>
      <w:r>
        <w:rPr>
          <w:sz w:val="24"/>
          <w:u w:val="single"/>
        </w:rPr>
        <w:t>A</w:t>
      </w:r>
      <w:r>
        <w:rPr>
          <w:sz w:val="24"/>
          <w:u w:val="single"/>
        </w:rPr>
        <w:t>ccentuer l’acidification intracellulaire </w:t>
      </w:r>
      <w:r>
        <w:rPr>
          <w:i/>
          <w:sz w:val="24"/>
          <w:u w:val="single"/>
        </w:rPr>
        <w:t>via </w:t>
      </w:r>
      <w:r>
        <w:rPr>
          <w:sz w:val="24"/>
          <w:u w:val="single"/>
        </w:rPr>
        <w:t>les inhibiteurs des molécules gérant les efflux de</w:t>
      </w:r>
      <w:r>
        <w:rPr>
          <w:spacing w:val="-2"/>
          <w:sz w:val="24"/>
          <w:u w:val="single"/>
        </w:rPr>
        <w:t> </w:t>
      </w:r>
      <w:r>
        <w:rPr>
          <w:sz w:val="24"/>
          <w:u w:val="single"/>
        </w:rPr>
        <w:t>protons</w:t>
      </w:r>
    </w:p>
    <w:p>
      <w:pPr>
        <w:pStyle w:val="BodyText"/>
        <w:rPr>
          <w:sz w:val="20"/>
        </w:rPr>
      </w:pPr>
    </w:p>
    <w:p>
      <w:pPr>
        <w:pStyle w:val="BodyText"/>
        <w:rPr>
          <w:sz w:val="22"/>
        </w:rPr>
      </w:pPr>
    </w:p>
    <w:p>
      <w:pPr>
        <w:pStyle w:val="Heading5"/>
        <w:numPr>
          <w:ilvl w:val="1"/>
          <w:numId w:val="20"/>
        </w:numPr>
        <w:tabs>
          <w:tab w:pos="2252" w:val="left" w:leader="none"/>
          <w:tab w:pos="2253" w:val="left" w:leader="none"/>
        </w:tabs>
        <w:spacing w:line="240" w:lineRule="auto" w:before="0" w:after="0"/>
        <w:ind w:left="2252" w:right="0" w:hanging="720"/>
        <w:jc w:val="left"/>
        <w:rPr>
          <w:i/>
        </w:rPr>
      </w:pPr>
      <w:bookmarkStart w:name="_bookmark127" w:id="212"/>
      <w:bookmarkEnd w:id="212"/>
      <w:r>
        <w:rPr>
          <w:b w:val="0"/>
          <w:i w:val="0"/>
        </w:rPr>
      </w:r>
      <w:bookmarkStart w:name="_bookmark127" w:id="213"/>
      <w:bookmarkEnd w:id="213"/>
      <w:r>
        <w:rPr>
          <w:i/>
        </w:rPr>
        <w:t>L</w:t>
      </w:r>
      <w:r>
        <w:rPr>
          <w:i/>
        </w:rPr>
        <w:t>es inhibiteurs des pompes à protons (IPP), régulant la</w:t>
      </w:r>
      <w:r>
        <w:rPr>
          <w:i/>
          <w:spacing w:val="-6"/>
        </w:rPr>
        <w:t> </w:t>
      </w:r>
      <w:r>
        <w:rPr>
          <w:i/>
        </w:rPr>
        <w:t>V-ATPase</w:t>
      </w:r>
    </w:p>
    <w:p>
      <w:pPr>
        <w:pStyle w:val="BodyText"/>
        <w:rPr>
          <w:b/>
          <w:i/>
          <w:sz w:val="26"/>
        </w:rPr>
      </w:pPr>
    </w:p>
    <w:p>
      <w:pPr>
        <w:pStyle w:val="BodyText"/>
        <w:spacing w:line="276" w:lineRule="auto" w:before="214"/>
        <w:ind w:left="116" w:right="116" w:firstLine="707"/>
        <w:jc w:val="both"/>
      </w:pPr>
      <w:r>
        <w:rPr/>
        <w:t>L’</w:t>
      </w:r>
      <w:r>
        <w:rPr>
          <w:b/>
          <w:u w:val="thick"/>
        </w:rPr>
        <w:t>oméprazole</w:t>
      </w:r>
      <w:r>
        <w:rPr>
          <w:b/>
        </w:rPr>
        <w:t> (</w:t>
      </w:r>
      <w:r>
        <w:rPr>
          <w:b/>
          <w:u w:val="thick"/>
        </w:rPr>
        <w:t>OMP</w:t>
      </w:r>
      <w:r>
        <w:rPr>
          <w:b/>
        </w:rPr>
        <w:t>) </w:t>
      </w:r>
      <w:r>
        <w:rPr/>
        <w:t>est un inhibiteur des pompes à protons H+/K+ (gastriques) dont l’activation,</w:t>
      </w:r>
      <w:r>
        <w:rPr>
          <w:spacing w:val="-17"/>
        </w:rPr>
        <w:t> </w:t>
      </w:r>
      <w:r>
        <w:rPr/>
        <w:t>comme</w:t>
      </w:r>
      <w:r>
        <w:rPr>
          <w:spacing w:val="-18"/>
        </w:rPr>
        <w:t> </w:t>
      </w:r>
      <w:r>
        <w:rPr/>
        <w:t>celle</w:t>
      </w:r>
      <w:r>
        <w:rPr>
          <w:spacing w:val="-16"/>
        </w:rPr>
        <w:t> </w:t>
      </w:r>
      <w:r>
        <w:rPr/>
        <w:t>des</w:t>
      </w:r>
      <w:r>
        <w:rPr>
          <w:spacing w:val="-17"/>
        </w:rPr>
        <w:t> </w:t>
      </w:r>
      <w:r>
        <w:rPr/>
        <w:t>autres</w:t>
      </w:r>
      <w:r>
        <w:rPr>
          <w:spacing w:val="-13"/>
        </w:rPr>
        <w:t> </w:t>
      </w:r>
      <w:r>
        <w:rPr/>
        <w:t>IPP,</w:t>
      </w:r>
      <w:r>
        <w:rPr>
          <w:spacing w:val="-16"/>
        </w:rPr>
        <w:t> </w:t>
      </w:r>
      <w:r>
        <w:rPr/>
        <w:t>nécessite</w:t>
      </w:r>
      <w:r>
        <w:rPr>
          <w:spacing w:val="-16"/>
        </w:rPr>
        <w:t> </w:t>
      </w:r>
      <w:r>
        <w:rPr/>
        <w:t>un</w:t>
      </w:r>
      <w:r>
        <w:rPr>
          <w:spacing w:val="-17"/>
        </w:rPr>
        <w:t> </w:t>
      </w:r>
      <w:r>
        <w:rPr/>
        <w:t>environnement</w:t>
      </w:r>
      <w:r>
        <w:rPr>
          <w:spacing w:val="-17"/>
        </w:rPr>
        <w:t> </w:t>
      </w:r>
      <w:r>
        <w:rPr/>
        <w:t>acide,</w:t>
      </w:r>
      <w:r>
        <w:rPr>
          <w:spacing w:val="-16"/>
        </w:rPr>
        <w:t> </w:t>
      </w:r>
      <w:r>
        <w:rPr/>
        <w:t>permettant</w:t>
      </w:r>
      <w:r>
        <w:rPr>
          <w:spacing w:val="-16"/>
        </w:rPr>
        <w:t> </w:t>
      </w:r>
      <w:r>
        <w:rPr/>
        <w:t>de</w:t>
      </w:r>
      <w:r>
        <w:rPr>
          <w:spacing w:val="-16"/>
        </w:rPr>
        <w:t> </w:t>
      </w:r>
      <w:r>
        <w:rPr/>
        <w:t>cibler partiellement les cellules</w:t>
      </w:r>
      <w:r>
        <w:rPr>
          <w:spacing w:val="-8"/>
        </w:rPr>
        <w:t> </w:t>
      </w:r>
      <w:r>
        <w:rPr/>
        <w:t>tumorales.</w:t>
      </w:r>
    </w:p>
    <w:p>
      <w:pPr>
        <w:pStyle w:val="BodyText"/>
        <w:spacing w:line="276" w:lineRule="auto" w:before="164"/>
        <w:ind w:left="116" w:right="113" w:firstLine="707"/>
        <w:jc w:val="both"/>
      </w:pPr>
      <w:r>
        <w:rPr/>
        <w:t>Les</w:t>
      </w:r>
      <w:r>
        <w:rPr>
          <w:spacing w:val="-2"/>
        </w:rPr>
        <w:t> </w:t>
      </w:r>
      <w:r>
        <w:rPr/>
        <w:t>IPP</w:t>
      </w:r>
      <w:r>
        <w:rPr>
          <w:spacing w:val="-4"/>
        </w:rPr>
        <w:t> </w:t>
      </w:r>
      <w:r>
        <w:rPr/>
        <w:t>permettraient</w:t>
      </w:r>
      <w:r>
        <w:rPr>
          <w:spacing w:val="-5"/>
        </w:rPr>
        <w:t> </w:t>
      </w:r>
      <w:r>
        <w:rPr/>
        <w:t>d’agir</w:t>
      </w:r>
      <w:r>
        <w:rPr>
          <w:spacing w:val="-5"/>
        </w:rPr>
        <w:t> </w:t>
      </w:r>
      <w:r>
        <w:rPr/>
        <w:t>sur</w:t>
      </w:r>
      <w:r>
        <w:rPr>
          <w:spacing w:val="-5"/>
        </w:rPr>
        <w:t> </w:t>
      </w:r>
      <w:r>
        <w:rPr/>
        <w:t>la</w:t>
      </w:r>
      <w:r>
        <w:rPr>
          <w:spacing w:val="-5"/>
        </w:rPr>
        <w:t> </w:t>
      </w:r>
      <w:r>
        <w:rPr/>
        <w:t>fonction</w:t>
      </w:r>
      <w:r>
        <w:rPr>
          <w:spacing w:val="-5"/>
        </w:rPr>
        <w:t> </w:t>
      </w:r>
      <w:r>
        <w:rPr/>
        <w:t>de</w:t>
      </w:r>
      <w:r>
        <w:rPr>
          <w:spacing w:val="-6"/>
        </w:rPr>
        <w:t> </w:t>
      </w:r>
      <w:r>
        <w:rPr/>
        <w:t>régulation</w:t>
      </w:r>
      <w:r>
        <w:rPr>
          <w:spacing w:val="-4"/>
        </w:rPr>
        <w:t> </w:t>
      </w:r>
      <w:r>
        <w:rPr/>
        <w:t>de</w:t>
      </w:r>
      <w:r>
        <w:rPr>
          <w:spacing w:val="-6"/>
        </w:rPr>
        <w:t> </w:t>
      </w:r>
      <w:r>
        <w:rPr/>
        <w:t>la</w:t>
      </w:r>
      <w:r>
        <w:rPr>
          <w:spacing w:val="-5"/>
        </w:rPr>
        <w:t> </w:t>
      </w:r>
      <w:r>
        <w:rPr/>
        <w:t>V-ATPase</w:t>
      </w:r>
      <w:r>
        <w:rPr>
          <w:spacing w:val="-6"/>
        </w:rPr>
        <w:t> </w:t>
      </w:r>
      <w:r>
        <w:rPr/>
        <w:t>en</w:t>
      </w:r>
      <w:r>
        <w:rPr>
          <w:spacing w:val="-5"/>
        </w:rPr>
        <w:t> </w:t>
      </w:r>
      <w:r>
        <w:rPr/>
        <w:t>limitant</w:t>
      </w:r>
      <w:r>
        <w:rPr>
          <w:spacing w:val="-7"/>
        </w:rPr>
        <w:t> </w:t>
      </w:r>
      <w:r>
        <w:rPr/>
        <w:t>le flux lysosomal (De Milito et al., 2010). L’</w:t>
      </w:r>
      <w:r>
        <w:rPr>
          <w:b/>
          <w:u w:val="thick"/>
        </w:rPr>
        <w:t>esoméprazole</w:t>
      </w:r>
      <w:r>
        <w:rPr>
          <w:b/>
        </w:rPr>
        <w:t> </w:t>
      </w:r>
      <w:r>
        <w:rPr/>
        <w:t>est l’isomère-S de l’oméprazole. Son action limitant la prolifération cellulaire dans un modèle </w:t>
      </w:r>
      <w:r>
        <w:rPr>
          <w:b/>
          <w:i/>
        </w:rPr>
        <w:t>in vitro </w:t>
      </w:r>
      <w:r>
        <w:rPr/>
        <w:t>et </w:t>
      </w:r>
      <w:r>
        <w:rPr>
          <w:b/>
          <w:i/>
        </w:rPr>
        <w:t>in vivo </w:t>
      </w:r>
      <w:r>
        <w:rPr/>
        <w:t>de mélanome métastasé montre des résultats prometteurs (De Milito et al., 2010). </w:t>
      </w:r>
      <w:r>
        <w:rPr>
          <w:spacing w:val="-3"/>
        </w:rPr>
        <w:t>Il </w:t>
      </w:r>
      <w:r>
        <w:rPr/>
        <w:t>permet également d’intervenir</w:t>
      </w:r>
      <w:r>
        <w:rPr>
          <w:spacing w:val="-11"/>
        </w:rPr>
        <w:t> </w:t>
      </w:r>
      <w:r>
        <w:rPr/>
        <w:t>sur</w:t>
      </w:r>
      <w:r>
        <w:rPr>
          <w:spacing w:val="-11"/>
        </w:rPr>
        <w:t> </w:t>
      </w:r>
      <w:r>
        <w:rPr/>
        <w:t>le</w:t>
      </w:r>
      <w:r>
        <w:rPr>
          <w:spacing w:val="-11"/>
        </w:rPr>
        <w:t> </w:t>
      </w:r>
      <w:r>
        <w:rPr/>
        <w:t>flux</w:t>
      </w:r>
      <w:r>
        <w:rPr>
          <w:spacing w:val="-9"/>
        </w:rPr>
        <w:t> </w:t>
      </w:r>
      <w:r>
        <w:rPr/>
        <w:t>lysosomal</w:t>
      </w:r>
      <w:r>
        <w:rPr>
          <w:spacing w:val="-10"/>
        </w:rPr>
        <w:t> </w:t>
      </w:r>
      <w:r>
        <w:rPr/>
        <w:t>lors</w:t>
      </w:r>
      <w:r>
        <w:rPr>
          <w:spacing w:val="-11"/>
        </w:rPr>
        <w:t> </w:t>
      </w:r>
      <w:r>
        <w:rPr/>
        <w:t>du</w:t>
      </w:r>
      <w:r>
        <w:rPr>
          <w:spacing w:val="-11"/>
        </w:rPr>
        <w:t> </w:t>
      </w:r>
      <w:r>
        <w:rPr/>
        <w:t>processus</w:t>
      </w:r>
      <w:r>
        <w:rPr>
          <w:spacing w:val="-10"/>
        </w:rPr>
        <w:t> </w:t>
      </w:r>
      <w:r>
        <w:rPr/>
        <w:t>d’autophagie</w:t>
      </w:r>
      <w:r>
        <w:rPr>
          <w:spacing w:val="-12"/>
        </w:rPr>
        <w:t> </w:t>
      </w:r>
      <w:r>
        <w:rPr/>
        <w:t>et</w:t>
      </w:r>
      <w:r>
        <w:rPr>
          <w:spacing w:val="-10"/>
        </w:rPr>
        <w:t> </w:t>
      </w:r>
      <w:r>
        <w:rPr/>
        <w:t>de</w:t>
      </w:r>
      <w:r>
        <w:rPr>
          <w:spacing w:val="-12"/>
        </w:rPr>
        <w:t> </w:t>
      </w:r>
      <w:r>
        <w:rPr/>
        <w:t>diminuer</w:t>
      </w:r>
      <w:r>
        <w:rPr>
          <w:spacing w:val="-11"/>
        </w:rPr>
        <w:t> </w:t>
      </w:r>
      <w:r>
        <w:rPr/>
        <w:t>la</w:t>
      </w:r>
      <w:r>
        <w:rPr>
          <w:spacing w:val="-11"/>
        </w:rPr>
        <w:t> </w:t>
      </w:r>
      <w:r>
        <w:rPr/>
        <w:t>signalisation de mTOR (Marino et al.,</w:t>
      </w:r>
      <w:r>
        <w:rPr>
          <w:spacing w:val="-5"/>
        </w:rPr>
        <w:t> </w:t>
      </w:r>
      <w:r>
        <w:rPr/>
        <w:t>2010).</w:t>
      </w:r>
    </w:p>
    <w:p>
      <w:pPr>
        <w:pStyle w:val="BodyText"/>
        <w:spacing w:line="276" w:lineRule="auto" w:before="164"/>
        <w:ind w:left="116" w:right="113" w:firstLine="707"/>
        <w:jc w:val="both"/>
      </w:pPr>
      <w:r>
        <w:rPr/>
        <w:t>Le traitement préalable de lignées cellulaires de mélanome, d’adénocarcinome et de lymphome à l’oméprazole, au pantoprazole et au lansoprazole (différents IPP) permet de sensibiliser</w:t>
      </w:r>
      <w:r>
        <w:rPr>
          <w:spacing w:val="-8"/>
        </w:rPr>
        <w:t> </w:t>
      </w:r>
      <w:r>
        <w:rPr/>
        <w:t>les</w:t>
      </w:r>
      <w:r>
        <w:rPr>
          <w:spacing w:val="-7"/>
        </w:rPr>
        <w:t> </w:t>
      </w:r>
      <w:r>
        <w:rPr/>
        <w:t>cellules</w:t>
      </w:r>
      <w:r>
        <w:rPr>
          <w:spacing w:val="-7"/>
        </w:rPr>
        <w:t> </w:t>
      </w:r>
      <w:r>
        <w:rPr/>
        <w:t>aux</w:t>
      </w:r>
      <w:r>
        <w:rPr>
          <w:spacing w:val="-5"/>
        </w:rPr>
        <w:t> </w:t>
      </w:r>
      <w:r>
        <w:rPr/>
        <w:t>agents</w:t>
      </w:r>
      <w:r>
        <w:rPr>
          <w:spacing w:val="-7"/>
        </w:rPr>
        <w:t> </w:t>
      </w:r>
      <w:r>
        <w:rPr/>
        <w:t>de</w:t>
      </w:r>
      <w:r>
        <w:rPr>
          <w:spacing w:val="-6"/>
        </w:rPr>
        <w:t> </w:t>
      </w:r>
      <w:r>
        <w:rPr/>
        <w:t>chimiothérapie</w:t>
      </w:r>
      <w:r>
        <w:rPr>
          <w:spacing w:val="-8"/>
        </w:rPr>
        <w:t> </w:t>
      </w:r>
      <w:r>
        <w:rPr/>
        <w:t>(cisplatine,</w:t>
      </w:r>
      <w:r>
        <w:rPr>
          <w:spacing w:val="-7"/>
        </w:rPr>
        <w:t> </w:t>
      </w:r>
      <w:r>
        <w:rPr/>
        <w:t>5-FU,</w:t>
      </w:r>
      <w:r>
        <w:rPr>
          <w:spacing w:val="-5"/>
        </w:rPr>
        <w:t> </w:t>
      </w:r>
      <w:r>
        <w:rPr/>
        <w:t>et</w:t>
      </w:r>
      <w:r>
        <w:rPr>
          <w:spacing w:val="-7"/>
        </w:rPr>
        <w:t> </w:t>
      </w:r>
      <w:r>
        <w:rPr/>
        <w:t>vinblastine).</w:t>
      </w:r>
      <w:r>
        <w:rPr>
          <w:spacing w:val="-8"/>
        </w:rPr>
        <w:t> </w:t>
      </w:r>
      <w:r>
        <w:rPr/>
        <w:t>Ceci</w:t>
      </w:r>
      <w:r>
        <w:rPr>
          <w:spacing w:val="-7"/>
        </w:rPr>
        <w:t> </w:t>
      </w:r>
      <w:r>
        <w:rPr/>
        <w:t>est associé à l’inhibition de l’activité de la V-ATPase (augmentation du pH extracellulaire et du pH à l’intérieur des lysosomes). Dans un modèle de xénogreffe de mélanome, l’utilisation d’oméprazole</w:t>
      </w:r>
      <w:r>
        <w:rPr>
          <w:spacing w:val="-9"/>
        </w:rPr>
        <w:t> </w:t>
      </w:r>
      <w:r>
        <w:rPr/>
        <w:t>en</w:t>
      </w:r>
      <w:r>
        <w:rPr>
          <w:spacing w:val="-11"/>
        </w:rPr>
        <w:t> </w:t>
      </w:r>
      <w:r>
        <w:rPr/>
        <w:t>amont</w:t>
      </w:r>
      <w:r>
        <w:rPr>
          <w:spacing w:val="-8"/>
        </w:rPr>
        <w:t> </w:t>
      </w:r>
      <w:r>
        <w:rPr/>
        <w:t>permet</w:t>
      </w:r>
      <w:r>
        <w:rPr>
          <w:spacing w:val="-11"/>
        </w:rPr>
        <w:t> </w:t>
      </w:r>
      <w:r>
        <w:rPr/>
        <w:t>de</w:t>
      </w:r>
      <w:r>
        <w:rPr>
          <w:spacing w:val="-12"/>
        </w:rPr>
        <w:t> </w:t>
      </w:r>
      <w:r>
        <w:rPr/>
        <w:t>sensibiliser</w:t>
      </w:r>
      <w:r>
        <w:rPr>
          <w:spacing w:val="-12"/>
        </w:rPr>
        <w:t> </w:t>
      </w:r>
      <w:r>
        <w:rPr/>
        <w:t>la</w:t>
      </w:r>
      <w:r>
        <w:rPr>
          <w:spacing w:val="-12"/>
        </w:rPr>
        <w:t> </w:t>
      </w:r>
      <w:r>
        <w:rPr/>
        <w:t>tumeur</w:t>
      </w:r>
      <w:r>
        <w:rPr>
          <w:spacing w:val="-12"/>
        </w:rPr>
        <w:t> </w:t>
      </w:r>
      <w:r>
        <w:rPr/>
        <w:t>au</w:t>
      </w:r>
      <w:r>
        <w:rPr>
          <w:spacing w:val="-9"/>
        </w:rPr>
        <w:t> </w:t>
      </w:r>
      <w:r>
        <w:rPr/>
        <w:t>cisplatine</w:t>
      </w:r>
      <w:r>
        <w:rPr>
          <w:spacing w:val="-6"/>
        </w:rPr>
        <w:t> </w:t>
      </w:r>
      <w:r>
        <w:rPr/>
        <w:t>(Luciani</w:t>
      </w:r>
      <w:r>
        <w:rPr>
          <w:spacing w:val="-11"/>
        </w:rPr>
        <w:t> </w:t>
      </w:r>
      <w:r>
        <w:rPr/>
        <w:t>et</w:t>
      </w:r>
      <w:r>
        <w:rPr>
          <w:spacing w:val="-11"/>
        </w:rPr>
        <w:t> </w:t>
      </w:r>
      <w:r>
        <w:rPr/>
        <w:t>al.,</w:t>
      </w:r>
      <w:r>
        <w:rPr>
          <w:spacing w:val="-9"/>
        </w:rPr>
        <w:t> </w:t>
      </w:r>
      <w:r>
        <w:rPr/>
        <w:t>2004).</w:t>
      </w:r>
      <w:r>
        <w:rPr>
          <w:spacing w:val="-11"/>
        </w:rPr>
        <w:t> </w:t>
      </w:r>
      <w:r>
        <w:rPr/>
        <w:t>Cet effet de sensibilisation à la chimiothérapie est retrouvé dans des lignées cellulaires </w:t>
      </w:r>
      <w:r>
        <w:rPr>
          <w:b/>
          <w:i/>
        </w:rPr>
        <w:t>in vitro </w:t>
      </w:r>
      <w:r>
        <w:rPr/>
        <w:t>de carcinome de l’ovaire et dans un modèle </w:t>
      </w:r>
      <w:r>
        <w:rPr>
          <w:b/>
          <w:i/>
        </w:rPr>
        <w:t>in vivo </w:t>
      </w:r>
      <w:r>
        <w:rPr/>
        <w:t>avec le paclitaxel (Lee et al.,</w:t>
      </w:r>
      <w:r>
        <w:rPr>
          <w:spacing w:val="-14"/>
        </w:rPr>
        <w:t> </w:t>
      </w:r>
      <w:r>
        <w:rPr/>
        <w:t>2015).</w:t>
      </w:r>
    </w:p>
    <w:p>
      <w:pPr>
        <w:pStyle w:val="BodyText"/>
        <w:spacing w:line="276" w:lineRule="auto" w:before="161"/>
        <w:ind w:left="116" w:right="115" w:firstLine="707"/>
        <w:jc w:val="both"/>
      </w:pPr>
      <w:r>
        <w:rPr/>
        <w:t>Une autre équipe montre l’effet de sensibilisaton des IPP à la chimiothérapie avec l’étude </w:t>
      </w:r>
      <w:r>
        <w:rPr>
          <w:b/>
          <w:i/>
        </w:rPr>
        <w:t>in vitro </w:t>
      </w:r>
      <w:r>
        <w:rPr/>
        <w:t>d’une lignée de leucémie lymphoblastique aïgue B. Les cellules sont plus sensibles</w:t>
      </w:r>
      <w:r>
        <w:rPr>
          <w:spacing w:val="-15"/>
        </w:rPr>
        <w:t> </w:t>
      </w:r>
      <w:r>
        <w:rPr/>
        <w:t>à</w:t>
      </w:r>
      <w:r>
        <w:rPr>
          <w:spacing w:val="-16"/>
        </w:rPr>
        <w:t> </w:t>
      </w:r>
      <w:r>
        <w:rPr/>
        <w:t>la</w:t>
      </w:r>
      <w:r>
        <w:rPr>
          <w:spacing w:val="-16"/>
        </w:rPr>
        <w:t> </w:t>
      </w:r>
      <w:r>
        <w:rPr/>
        <w:t>vinblastine</w:t>
      </w:r>
      <w:r>
        <w:rPr>
          <w:spacing w:val="-16"/>
        </w:rPr>
        <w:t> </w:t>
      </w:r>
      <w:r>
        <w:rPr/>
        <w:t>lorsqu’elles</w:t>
      </w:r>
      <w:r>
        <w:rPr>
          <w:spacing w:val="-15"/>
        </w:rPr>
        <w:t> </w:t>
      </w:r>
      <w:r>
        <w:rPr/>
        <w:t>sont</w:t>
      </w:r>
      <w:r>
        <w:rPr>
          <w:spacing w:val="-15"/>
        </w:rPr>
        <w:t> </w:t>
      </w:r>
      <w:r>
        <w:rPr/>
        <w:t>traitées</w:t>
      </w:r>
      <w:r>
        <w:rPr>
          <w:spacing w:val="-15"/>
        </w:rPr>
        <w:t> </w:t>
      </w:r>
      <w:r>
        <w:rPr/>
        <w:t>préalablement</w:t>
      </w:r>
      <w:r>
        <w:rPr>
          <w:spacing w:val="-15"/>
        </w:rPr>
        <w:t> </w:t>
      </w:r>
      <w:r>
        <w:rPr/>
        <w:t>avec</w:t>
      </w:r>
      <w:r>
        <w:rPr>
          <w:spacing w:val="-16"/>
        </w:rPr>
        <w:t> </w:t>
      </w:r>
      <w:r>
        <w:rPr/>
        <w:t>de</w:t>
      </w:r>
      <w:r>
        <w:rPr>
          <w:spacing w:val="-16"/>
        </w:rPr>
        <w:t> </w:t>
      </w:r>
      <w:r>
        <w:rPr/>
        <w:t>l’oméprazole.</w:t>
      </w:r>
      <w:r>
        <w:rPr>
          <w:spacing w:val="-16"/>
        </w:rPr>
        <w:t> </w:t>
      </w:r>
      <w:r>
        <w:rPr/>
        <w:t>De</w:t>
      </w:r>
      <w:r>
        <w:rPr>
          <w:spacing w:val="-16"/>
        </w:rPr>
        <w:t> </w:t>
      </w:r>
      <w:r>
        <w:rPr/>
        <w:t>plus, l’oméprazole</w:t>
      </w:r>
      <w:r>
        <w:rPr>
          <w:spacing w:val="-16"/>
        </w:rPr>
        <w:t> </w:t>
      </w:r>
      <w:r>
        <w:rPr/>
        <w:t>seul</w:t>
      </w:r>
      <w:r>
        <w:rPr>
          <w:spacing w:val="-15"/>
        </w:rPr>
        <w:t> </w:t>
      </w:r>
      <w:r>
        <w:rPr/>
        <w:t>induit</w:t>
      </w:r>
      <w:r>
        <w:rPr>
          <w:spacing w:val="-13"/>
        </w:rPr>
        <w:t> </w:t>
      </w:r>
      <w:r>
        <w:rPr/>
        <w:t>une</w:t>
      </w:r>
      <w:r>
        <w:rPr>
          <w:spacing w:val="-17"/>
        </w:rPr>
        <w:t> </w:t>
      </w:r>
      <w:r>
        <w:rPr/>
        <w:t>inhibition</w:t>
      </w:r>
      <w:r>
        <w:rPr>
          <w:spacing w:val="-15"/>
        </w:rPr>
        <w:t> </w:t>
      </w:r>
      <w:r>
        <w:rPr/>
        <w:t>de</w:t>
      </w:r>
      <w:r>
        <w:rPr>
          <w:spacing w:val="-17"/>
        </w:rPr>
        <w:t> </w:t>
      </w:r>
      <w:r>
        <w:rPr/>
        <w:t>la</w:t>
      </w:r>
      <w:r>
        <w:rPr>
          <w:spacing w:val="-16"/>
        </w:rPr>
        <w:t> </w:t>
      </w:r>
      <w:r>
        <w:rPr/>
        <w:t>prolifération</w:t>
      </w:r>
      <w:r>
        <w:rPr>
          <w:spacing w:val="-16"/>
        </w:rPr>
        <w:t> </w:t>
      </w:r>
      <w:r>
        <w:rPr/>
        <w:t>cellulaire</w:t>
      </w:r>
      <w:r>
        <w:rPr>
          <w:spacing w:val="-17"/>
        </w:rPr>
        <w:t> </w:t>
      </w:r>
      <w:r>
        <w:rPr/>
        <w:t>de</w:t>
      </w:r>
      <w:r>
        <w:rPr>
          <w:spacing w:val="-17"/>
        </w:rPr>
        <w:t> </w:t>
      </w:r>
      <w:r>
        <w:rPr/>
        <w:t>manière</w:t>
      </w:r>
      <w:r>
        <w:rPr>
          <w:spacing w:val="-18"/>
        </w:rPr>
        <w:t> </w:t>
      </w:r>
      <w:r>
        <w:rPr/>
        <w:t>dose</w:t>
      </w:r>
      <w:r>
        <w:rPr>
          <w:spacing w:val="-17"/>
        </w:rPr>
        <w:t> </w:t>
      </w:r>
      <w:r>
        <w:rPr/>
        <w:t>dépendante et</w:t>
      </w:r>
      <w:r>
        <w:rPr>
          <w:spacing w:val="-9"/>
        </w:rPr>
        <w:t> </w:t>
      </w:r>
      <w:r>
        <w:rPr/>
        <w:t>temps</w:t>
      </w:r>
      <w:r>
        <w:rPr>
          <w:spacing w:val="-9"/>
        </w:rPr>
        <w:t> </w:t>
      </w:r>
      <w:r>
        <w:rPr/>
        <w:t>dépendant</w:t>
      </w:r>
      <w:r>
        <w:rPr>
          <w:spacing w:val="-9"/>
        </w:rPr>
        <w:t> </w:t>
      </w:r>
      <w:r>
        <w:rPr/>
        <w:t>(</w:t>
      </w:r>
      <w:r>
        <w:rPr>
          <w:i/>
        </w:rPr>
        <w:t>via</w:t>
      </w:r>
      <w:r>
        <w:rPr>
          <w:i/>
          <w:spacing w:val="-9"/>
        </w:rPr>
        <w:t> </w:t>
      </w:r>
      <w:r>
        <w:rPr/>
        <w:t>une</w:t>
      </w:r>
      <w:r>
        <w:rPr>
          <w:spacing w:val="-11"/>
        </w:rPr>
        <w:t> </w:t>
      </w:r>
      <w:r>
        <w:rPr/>
        <w:t>altération</w:t>
      </w:r>
      <w:r>
        <w:rPr>
          <w:spacing w:val="-10"/>
        </w:rPr>
        <w:t> </w:t>
      </w:r>
      <w:r>
        <w:rPr/>
        <w:t>lysosomale</w:t>
      </w:r>
      <w:r>
        <w:rPr>
          <w:spacing w:val="-8"/>
        </w:rPr>
        <w:t> </w:t>
      </w:r>
      <w:r>
        <w:rPr/>
        <w:t>et</w:t>
      </w:r>
      <w:r>
        <w:rPr>
          <w:spacing w:val="-9"/>
        </w:rPr>
        <w:t> </w:t>
      </w:r>
      <w:r>
        <w:rPr/>
        <w:t>une</w:t>
      </w:r>
      <w:r>
        <w:rPr>
          <w:spacing w:val="-11"/>
        </w:rPr>
        <w:t> </w:t>
      </w:r>
      <w:r>
        <w:rPr/>
        <w:t>acidification</w:t>
      </w:r>
      <w:r>
        <w:rPr>
          <w:spacing w:val="-10"/>
        </w:rPr>
        <w:t> </w:t>
      </w:r>
      <w:r>
        <w:rPr/>
        <w:t>du</w:t>
      </w:r>
      <w:r>
        <w:rPr>
          <w:spacing w:val="-10"/>
        </w:rPr>
        <w:t> </w:t>
      </w:r>
      <w:r>
        <w:rPr/>
        <w:t>cytosol).</w:t>
      </w:r>
      <w:r>
        <w:rPr>
          <w:spacing w:val="-10"/>
        </w:rPr>
        <w:t> </w:t>
      </w:r>
      <w:r>
        <w:rPr/>
        <w:t>Ces</w:t>
      </w:r>
      <w:r>
        <w:rPr>
          <w:spacing w:val="-9"/>
        </w:rPr>
        <w:t> </w:t>
      </w:r>
      <w:r>
        <w:rPr/>
        <w:t>résultats se retrouvent </w:t>
      </w:r>
      <w:r>
        <w:rPr>
          <w:b/>
          <w:i/>
        </w:rPr>
        <w:t>in vivo </w:t>
      </w:r>
      <w:r>
        <w:rPr/>
        <w:t>dans un modèle de souris (De Milito et al., 2007). De nombreuses</w:t>
      </w:r>
      <w:r>
        <w:rPr>
          <w:spacing w:val="-18"/>
        </w:rPr>
        <w:t> </w:t>
      </w:r>
      <w:r>
        <w:rPr/>
        <w:t>études, répertoriées dans la revue de Spugnini et al. (2015), soulignent l’importance thérapeutique de l’oméprazole en</w:t>
      </w:r>
      <w:r>
        <w:rPr>
          <w:spacing w:val="-6"/>
        </w:rPr>
        <w:t> </w:t>
      </w:r>
      <w:r>
        <w:rPr/>
        <w:t>cancérologie.</w:t>
      </w:r>
    </w:p>
    <w:p>
      <w:pPr>
        <w:pStyle w:val="BodyText"/>
        <w:spacing w:line="276" w:lineRule="auto" w:before="164"/>
        <w:ind w:left="116" w:right="117" w:firstLine="707"/>
        <w:jc w:val="both"/>
      </w:pPr>
      <w:r>
        <w:rPr/>
        <w:t>Les mêmes propriétés ont été retrouvées avec l’utilisation d’un autre IPP, le </w:t>
      </w:r>
      <w:r>
        <w:rPr>
          <w:b/>
          <w:u w:val="thick"/>
        </w:rPr>
        <w:t>lansoprazole</w:t>
      </w:r>
      <w:r>
        <w:rPr>
          <w:b/>
        </w:rPr>
        <w:t> </w:t>
      </w:r>
      <w:r>
        <w:rPr/>
        <w:t>(</w:t>
      </w:r>
      <w:r>
        <w:rPr>
          <w:b/>
          <w:u w:val="thick"/>
        </w:rPr>
        <w:t>LSP</w:t>
      </w:r>
      <w:r>
        <w:rPr/>
        <w:t>). Ce dernier sensibilise </w:t>
      </w:r>
      <w:r>
        <w:rPr>
          <w:b/>
          <w:i/>
        </w:rPr>
        <w:t>in vitro </w:t>
      </w:r>
      <w:r>
        <w:rPr/>
        <w:t>et </w:t>
      </w:r>
      <w:r>
        <w:rPr>
          <w:b/>
          <w:i/>
        </w:rPr>
        <w:t>in vivo </w:t>
      </w:r>
      <w:r>
        <w:rPr/>
        <w:t>des cellules de mélanome métastatique au paclitaxel (Azzarito et al., 2015) et permettrait d’utiliser des doses beaucoup</w:t>
      </w:r>
    </w:p>
    <w:p>
      <w:pPr>
        <w:spacing w:after="0" w:line="276" w:lineRule="auto"/>
        <w:jc w:val="both"/>
        <w:sectPr>
          <w:pgSz w:w="11910" w:h="16840"/>
          <w:pgMar w:header="0" w:footer="995" w:top="1320" w:bottom="1240" w:left="1300" w:right="1300"/>
        </w:sectPr>
      </w:pPr>
    </w:p>
    <w:p>
      <w:pPr>
        <w:pStyle w:val="BodyText"/>
        <w:spacing w:line="276" w:lineRule="auto" w:before="72"/>
        <w:ind w:left="116" w:right="23"/>
      </w:pPr>
      <w:r>
        <w:rPr/>
        <w:t>moins toxiques de chimiothérapie. Il potentialise également l’action de la doxorubicine dans de nombreux modèles de tumeurs solides (Yu et al., 2015).</w:t>
      </w:r>
    </w:p>
    <w:p>
      <w:pPr>
        <w:pStyle w:val="BodyText"/>
        <w:rPr>
          <w:sz w:val="26"/>
        </w:rPr>
      </w:pPr>
    </w:p>
    <w:p>
      <w:pPr>
        <w:pStyle w:val="BodyText"/>
        <w:spacing w:before="11"/>
        <w:rPr>
          <w:sz w:val="29"/>
        </w:rPr>
      </w:pPr>
    </w:p>
    <w:p>
      <w:pPr>
        <w:pStyle w:val="Heading5"/>
        <w:numPr>
          <w:ilvl w:val="1"/>
          <w:numId w:val="20"/>
        </w:numPr>
        <w:tabs>
          <w:tab w:pos="2252" w:val="left" w:leader="none"/>
          <w:tab w:pos="2253" w:val="left" w:leader="none"/>
        </w:tabs>
        <w:spacing w:line="240" w:lineRule="auto" w:before="0" w:after="0"/>
        <w:ind w:left="2252" w:right="0" w:hanging="720"/>
        <w:jc w:val="left"/>
        <w:rPr>
          <w:i/>
        </w:rPr>
      </w:pPr>
      <w:bookmarkStart w:name="_bookmark128" w:id="214"/>
      <w:bookmarkEnd w:id="214"/>
      <w:r>
        <w:rPr>
          <w:b w:val="0"/>
          <w:i w:val="0"/>
        </w:rPr>
      </w:r>
      <w:bookmarkStart w:name="_bookmark128" w:id="215"/>
      <w:bookmarkEnd w:id="215"/>
      <w:r>
        <w:rPr>
          <w:i/>
        </w:rPr>
        <w:t>L</w:t>
      </w:r>
      <w:r>
        <w:rPr>
          <w:i/>
        </w:rPr>
        <w:t>es inhibiteurs de l’échangeur Na+/H+</w:t>
      </w:r>
      <w:r>
        <w:rPr>
          <w:i/>
          <w:spacing w:val="-12"/>
        </w:rPr>
        <w:t> </w:t>
      </w:r>
      <w:r>
        <w:rPr>
          <w:i/>
        </w:rPr>
        <w:t>(NHE-1)</w:t>
      </w:r>
    </w:p>
    <w:p>
      <w:pPr>
        <w:pStyle w:val="BodyText"/>
        <w:rPr>
          <w:b/>
          <w:i/>
          <w:sz w:val="26"/>
        </w:rPr>
      </w:pPr>
    </w:p>
    <w:p>
      <w:pPr>
        <w:pStyle w:val="BodyText"/>
        <w:spacing w:line="276" w:lineRule="auto" w:before="195"/>
        <w:ind w:left="116" w:right="114" w:firstLine="707"/>
        <w:jc w:val="both"/>
      </w:pPr>
      <w:r>
        <w:rPr/>
        <w:t>L’échangeur Na+/H+ NHE-1 est connu pour augmenter le pH intracellulaire (Reshkin et al., 2000). L’</w:t>
      </w:r>
      <w:r>
        <w:rPr>
          <w:b/>
          <w:u w:val="thick"/>
        </w:rPr>
        <w:t>amiloride</w:t>
      </w:r>
      <w:r>
        <w:rPr/>
        <w:t>, un inhibiteur de cet échangeur, induit un phénomène d’apoptose dans des lignées cellulaire de cancer de l’œsophage </w:t>
      </w:r>
      <w:r>
        <w:rPr>
          <w:i/>
        </w:rPr>
        <w:t>via </w:t>
      </w:r>
      <w:r>
        <w:rPr/>
        <w:t>une diminution, entre autre, de la production</w:t>
      </w:r>
      <w:r>
        <w:rPr>
          <w:spacing w:val="-10"/>
        </w:rPr>
        <w:t> </w:t>
      </w:r>
      <w:r>
        <w:rPr/>
        <w:t>de</w:t>
      </w:r>
      <w:r>
        <w:rPr>
          <w:spacing w:val="-11"/>
        </w:rPr>
        <w:t> </w:t>
      </w:r>
      <w:r>
        <w:rPr/>
        <w:t>VEGF.</w:t>
      </w:r>
      <w:r>
        <w:rPr>
          <w:spacing w:val="-10"/>
        </w:rPr>
        <w:t> </w:t>
      </w:r>
      <w:r>
        <w:rPr/>
        <w:t>Dans</w:t>
      </w:r>
      <w:r>
        <w:rPr>
          <w:spacing w:val="-9"/>
        </w:rPr>
        <w:t> </w:t>
      </w:r>
      <w:r>
        <w:rPr/>
        <w:t>des</w:t>
      </w:r>
      <w:r>
        <w:rPr>
          <w:spacing w:val="-10"/>
        </w:rPr>
        <w:t> </w:t>
      </w:r>
      <w:r>
        <w:rPr/>
        <w:t>lignées</w:t>
      </w:r>
      <w:r>
        <w:rPr>
          <w:spacing w:val="-10"/>
        </w:rPr>
        <w:t> </w:t>
      </w:r>
      <w:r>
        <w:rPr/>
        <w:t>cellulaires</w:t>
      </w:r>
      <w:r>
        <w:rPr>
          <w:spacing w:val="-10"/>
        </w:rPr>
        <w:t> </w:t>
      </w:r>
      <w:r>
        <w:rPr/>
        <w:t>d’ostéosarcome</w:t>
      </w:r>
      <w:r>
        <w:rPr>
          <w:spacing w:val="-11"/>
        </w:rPr>
        <w:t> </w:t>
      </w:r>
      <w:r>
        <w:rPr/>
        <w:t>canin,</w:t>
      </w:r>
      <w:r>
        <w:rPr>
          <w:spacing w:val="-9"/>
        </w:rPr>
        <w:t> </w:t>
      </w:r>
      <w:r>
        <w:rPr/>
        <w:t>l’amiloride</w:t>
      </w:r>
      <w:r>
        <w:rPr>
          <w:spacing w:val="-10"/>
        </w:rPr>
        <w:t> </w:t>
      </w:r>
      <w:r>
        <w:rPr/>
        <w:t>montre</w:t>
      </w:r>
      <w:r>
        <w:rPr>
          <w:spacing w:val="-11"/>
        </w:rPr>
        <w:t> </w:t>
      </w:r>
      <w:r>
        <w:rPr/>
        <w:t>un effet</w:t>
      </w:r>
      <w:r>
        <w:rPr>
          <w:spacing w:val="-4"/>
        </w:rPr>
        <w:t> </w:t>
      </w:r>
      <w:r>
        <w:rPr/>
        <w:t>toxique</w:t>
      </w:r>
      <w:r>
        <w:rPr>
          <w:spacing w:val="-5"/>
        </w:rPr>
        <w:t> </w:t>
      </w:r>
      <w:r>
        <w:rPr/>
        <w:t>dose</w:t>
      </w:r>
      <w:r>
        <w:rPr>
          <w:spacing w:val="-6"/>
        </w:rPr>
        <w:t> </w:t>
      </w:r>
      <w:r>
        <w:rPr/>
        <w:t>dépendant</w:t>
      </w:r>
      <w:r>
        <w:rPr>
          <w:spacing w:val="-4"/>
        </w:rPr>
        <w:t> </w:t>
      </w:r>
      <w:r>
        <w:rPr/>
        <w:t>envers</w:t>
      </w:r>
      <w:r>
        <w:rPr>
          <w:spacing w:val="-5"/>
        </w:rPr>
        <w:t> </w:t>
      </w:r>
      <w:r>
        <w:rPr/>
        <w:t>les</w:t>
      </w:r>
      <w:r>
        <w:rPr>
          <w:spacing w:val="-2"/>
        </w:rPr>
        <w:t> </w:t>
      </w:r>
      <w:r>
        <w:rPr/>
        <w:t>cellules</w:t>
      </w:r>
      <w:r>
        <w:rPr>
          <w:spacing w:val="-5"/>
        </w:rPr>
        <w:t> </w:t>
      </w:r>
      <w:r>
        <w:rPr/>
        <w:t>cancéreuses</w:t>
      </w:r>
      <w:r>
        <w:rPr>
          <w:spacing w:val="-2"/>
        </w:rPr>
        <w:t> </w:t>
      </w:r>
      <w:r>
        <w:rPr/>
        <w:t>(Walsh</w:t>
      </w:r>
      <w:r>
        <w:rPr>
          <w:spacing w:val="-4"/>
        </w:rPr>
        <w:t> </w:t>
      </w:r>
      <w:r>
        <w:rPr/>
        <w:t>et</w:t>
      </w:r>
      <w:r>
        <w:rPr>
          <w:spacing w:val="-2"/>
        </w:rPr>
        <w:t> </w:t>
      </w:r>
      <w:r>
        <w:rPr/>
        <w:t>al.,</w:t>
      </w:r>
      <w:r>
        <w:rPr>
          <w:spacing w:val="-2"/>
        </w:rPr>
        <w:t> </w:t>
      </w:r>
      <w:r>
        <w:rPr/>
        <w:t>2015).</w:t>
      </w:r>
      <w:r>
        <w:rPr>
          <w:spacing w:val="-5"/>
        </w:rPr>
        <w:t> </w:t>
      </w:r>
      <w:r>
        <w:rPr>
          <w:b/>
          <w:i/>
        </w:rPr>
        <w:t>In</w:t>
      </w:r>
      <w:r>
        <w:rPr>
          <w:b/>
          <w:i/>
          <w:spacing w:val="-4"/>
        </w:rPr>
        <w:t> </w:t>
      </w:r>
      <w:r>
        <w:rPr>
          <w:b/>
          <w:i/>
        </w:rPr>
        <w:t>vivo</w:t>
      </w:r>
      <w:r>
        <w:rPr/>
        <w:t>,</w:t>
      </w:r>
      <w:r>
        <w:rPr>
          <w:spacing w:val="-5"/>
        </w:rPr>
        <w:t> </w:t>
      </w:r>
      <w:r>
        <w:rPr/>
        <w:t>dans des modèles de rats, l’amiloride montre un effet antimétastatique (Ja et al.,</w:t>
      </w:r>
      <w:r>
        <w:rPr>
          <w:spacing w:val="-9"/>
        </w:rPr>
        <w:t> </w:t>
      </w:r>
      <w:r>
        <w:rPr/>
        <w:t>1988).</w:t>
      </w:r>
    </w:p>
    <w:p>
      <w:pPr>
        <w:pStyle w:val="BodyText"/>
        <w:spacing w:line="276" w:lineRule="auto" w:before="164"/>
        <w:ind w:left="116" w:right="114" w:firstLine="707"/>
        <w:jc w:val="both"/>
      </w:pPr>
      <w:r>
        <w:rPr/>
        <w:t>De</w:t>
      </w:r>
      <w:r>
        <w:rPr>
          <w:spacing w:val="-17"/>
        </w:rPr>
        <w:t> </w:t>
      </w:r>
      <w:r>
        <w:rPr/>
        <w:t>nouveaux</w:t>
      </w:r>
      <w:r>
        <w:rPr>
          <w:spacing w:val="-14"/>
        </w:rPr>
        <w:t> </w:t>
      </w:r>
      <w:r>
        <w:rPr/>
        <w:t>inhibiteurs</w:t>
      </w:r>
      <w:r>
        <w:rPr>
          <w:spacing w:val="-16"/>
        </w:rPr>
        <w:t> </w:t>
      </w:r>
      <w:r>
        <w:rPr/>
        <w:t>comme</w:t>
      </w:r>
      <w:r>
        <w:rPr>
          <w:spacing w:val="-17"/>
        </w:rPr>
        <w:t> </w:t>
      </w:r>
      <w:r>
        <w:rPr/>
        <w:t>le</w:t>
      </w:r>
      <w:r>
        <w:rPr>
          <w:spacing w:val="-14"/>
        </w:rPr>
        <w:t> </w:t>
      </w:r>
      <w:r>
        <w:rPr>
          <w:b/>
          <w:u w:val="thick"/>
        </w:rPr>
        <w:t>cariporide</w:t>
      </w:r>
      <w:r>
        <w:rPr>
          <w:b/>
          <w:spacing w:val="-16"/>
        </w:rPr>
        <w:t> </w:t>
      </w:r>
      <w:r>
        <w:rPr/>
        <w:t>se</w:t>
      </w:r>
      <w:r>
        <w:rPr>
          <w:spacing w:val="-17"/>
        </w:rPr>
        <w:t> </w:t>
      </w:r>
      <w:r>
        <w:rPr/>
        <w:t>développent</w:t>
      </w:r>
      <w:r>
        <w:rPr>
          <w:spacing w:val="-16"/>
        </w:rPr>
        <w:t> </w:t>
      </w:r>
      <w:r>
        <w:rPr/>
        <w:t>(Harguindey</w:t>
      </w:r>
      <w:r>
        <w:rPr>
          <w:spacing w:val="-16"/>
        </w:rPr>
        <w:t> </w:t>
      </w:r>
      <w:r>
        <w:rPr/>
        <w:t>et</w:t>
      </w:r>
      <w:r>
        <w:rPr>
          <w:spacing w:val="-15"/>
        </w:rPr>
        <w:t> </w:t>
      </w:r>
      <w:r>
        <w:rPr/>
        <w:t>al.,</w:t>
      </w:r>
      <w:r>
        <w:rPr>
          <w:spacing w:val="-15"/>
        </w:rPr>
        <w:t> </w:t>
      </w:r>
      <w:r>
        <w:rPr/>
        <w:t>2013). Leur diversité est détaillée dans la revue de Masereel et al., 2003. On peut citer par exemple le </w:t>
      </w:r>
      <w:r>
        <w:rPr>
          <w:b/>
          <w:u w:val="thick"/>
        </w:rPr>
        <w:t>Composé 9t</w:t>
      </w:r>
      <w:r>
        <w:rPr>
          <w:b/>
        </w:rPr>
        <w:t> </w:t>
      </w:r>
      <w:r>
        <w:rPr/>
        <w:t>(3-méthyl-4-fluoro analogue de 5-aryl-4(4-(5-méthyl-14-imidazole-4-yl) pipéridine-1-yl) pyrimidine), qui est extrêmement sélectif, ou encore le</w:t>
      </w:r>
      <w:r>
        <w:rPr>
          <w:spacing w:val="-11"/>
        </w:rPr>
        <w:t> </w:t>
      </w:r>
      <w:r>
        <w:rPr>
          <w:b/>
          <w:u w:val="thick"/>
        </w:rPr>
        <w:t>Phx-3</w:t>
      </w:r>
      <w:r>
        <w:rPr/>
        <w:t>.</w:t>
      </w:r>
    </w:p>
    <w:p>
      <w:pPr>
        <w:pStyle w:val="BodyText"/>
        <w:spacing w:line="276" w:lineRule="auto" w:before="3"/>
        <w:ind w:left="116" w:right="114" w:firstLine="707"/>
        <w:jc w:val="both"/>
      </w:pPr>
      <w:r>
        <w:rPr/>
        <w:t>Développer</w:t>
      </w:r>
      <w:r>
        <w:rPr>
          <w:spacing w:val="-7"/>
        </w:rPr>
        <w:t> </w:t>
      </w:r>
      <w:r>
        <w:rPr/>
        <w:t>des</w:t>
      </w:r>
      <w:r>
        <w:rPr>
          <w:spacing w:val="-6"/>
        </w:rPr>
        <w:t> </w:t>
      </w:r>
      <w:r>
        <w:rPr/>
        <w:t>inhibiteurs</w:t>
      </w:r>
      <w:r>
        <w:rPr>
          <w:spacing w:val="-7"/>
        </w:rPr>
        <w:t> </w:t>
      </w:r>
      <w:r>
        <w:rPr/>
        <w:t>de</w:t>
      </w:r>
      <w:r>
        <w:rPr>
          <w:spacing w:val="-7"/>
        </w:rPr>
        <w:t> </w:t>
      </w:r>
      <w:r>
        <w:rPr/>
        <w:t>NHE-1</w:t>
      </w:r>
      <w:r>
        <w:rPr>
          <w:spacing w:val="-6"/>
        </w:rPr>
        <w:t> </w:t>
      </w:r>
      <w:r>
        <w:rPr/>
        <w:t>présente</w:t>
      </w:r>
      <w:r>
        <w:rPr>
          <w:spacing w:val="-7"/>
        </w:rPr>
        <w:t> </w:t>
      </w:r>
      <w:r>
        <w:rPr/>
        <w:t>également</w:t>
      </w:r>
      <w:r>
        <w:rPr>
          <w:spacing w:val="-6"/>
        </w:rPr>
        <w:t> </w:t>
      </w:r>
      <w:r>
        <w:rPr/>
        <w:t>un</w:t>
      </w:r>
      <w:r>
        <w:rPr>
          <w:spacing w:val="-6"/>
        </w:rPr>
        <w:t> </w:t>
      </w:r>
      <w:r>
        <w:rPr/>
        <w:t>intérêt</w:t>
      </w:r>
      <w:r>
        <w:rPr>
          <w:spacing w:val="-6"/>
        </w:rPr>
        <w:t> </w:t>
      </w:r>
      <w:r>
        <w:rPr/>
        <w:t>en</w:t>
      </w:r>
      <w:r>
        <w:rPr>
          <w:spacing w:val="-6"/>
        </w:rPr>
        <w:t> </w:t>
      </w:r>
      <w:r>
        <w:rPr/>
        <w:t>association</w:t>
      </w:r>
      <w:r>
        <w:rPr>
          <w:spacing w:val="-6"/>
        </w:rPr>
        <w:t> </w:t>
      </w:r>
      <w:r>
        <w:rPr/>
        <w:t>avec une chimiothérapie. Des lignées cellulaires de cancer du sein déficientes en NHE-1 montrent par exemple une réponse beaucoup plus importante au paclitaxel (Amith et al., 2015). L’amiloride permet également de sensibiliser les cellules à la doxorubicine et au cisplatine (Walsh et al.,</w:t>
      </w:r>
      <w:r>
        <w:rPr>
          <w:spacing w:val="-4"/>
        </w:rPr>
        <w:t> </w:t>
      </w:r>
      <w:r>
        <w:rPr/>
        <w:t>2015).</w:t>
      </w:r>
    </w:p>
    <w:p>
      <w:pPr>
        <w:pStyle w:val="BodyText"/>
        <w:rPr>
          <w:sz w:val="26"/>
        </w:rPr>
      </w:pPr>
    </w:p>
    <w:p>
      <w:pPr>
        <w:pStyle w:val="Heading5"/>
        <w:numPr>
          <w:ilvl w:val="1"/>
          <w:numId w:val="20"/>
        </w:numPr>
        <w:tabs>
          <w:tab w:pos="2252" w:val="left" w:leader="none"/>
          <w:tab w:pos="2253" w:val="left" w:leader="none"/>
        </w:tabs>
        <w:spacing w:line="240" w:lineRule="auto" w:before="186" w:after="0"/>
        <w:ind w:left="2252" w:right="0" w:hanging="720"/>
        <w:jc w:val="left"/>
        <w:rPr>
          <w:i/>
        </w:rPr>
      </w:pPr>
      <w:bookmarkStart w:name="_bookmark129" w:id="216"/>
      <w:bookmarkEnd w:id="216"/>
      <w:r>
        <w:rPr>
          <w:b w:val="0"/>
          <w:i w:val="0"/>
        </w:rPr>
      </w:r>
      <w:bookmarkStart w:name="_bookmark129" w:id="217"/>
      <w:bookmarkEnd w:id="217"/>
      <w:r>
        <w:rPr>
          <w:i/>
        </w:rPr>
        <w:t>L</w:t>
      </w:r>
      <w:r>
        <w:rPr>
          <w:i/>
        </w:rPr>
        <w:t>es inhibiteurs des anhydrases carboniques (CA) IX et</w:t>
      </w:r>
      <w:r>
        <w:rPr>
          <w:i/>
          <w:spacing w:val="-7"/>
        </w:rPr>
        <w:t> </w:t>
      </w:r>
      <w:r>
        <w:rPr>
          <w:i/>
        </w:rPr>
        <w:t>XII</w:t>
      </w:r>
    </w:p>
    <w:p>
      <w:pPr>
        <w:pStyle w:val="BodyText"/>
        <w:rPr>
          <w:b/>
          <w:i/>
          <w:sz w:val="26"/>
        </w:rPr>
      </w:pPr>
    </w:p>
    <w:p>
      <w:pPr>
        <w:pStyle w:val="BodyText"/>
        <w:spacing w:line="276" w:lineRule="auto" w:before="214"/>
        <w:ind w:left="116" w:right="117" w:firstLine="707"/>
        <w:jc w:val="both"/>
      </w:pPr>
      <w:r>
        <w:rPr/>
        <w:t>La CAIX, par sa distribution au niveau des tumeurs hypoxiques sans équivalent actif dans</w:t>
      </w:r>
      <w:r>
        <w:rPr>
          <w:spacing w:val="-9"/>
        </w:rPr>
        <w:t> </w:t>
      </w:r>
      <w:r>
        <w:rPr/>
        <w:t>les</w:t>
      </w:r>
      <w:r>
        <w:rPr>
          <w:spacing w:val="-10"/>
        </w:rPr>
        <w:t> </w:t>
      </w:r>
      <w:r>
        <w:rPr/>
        <w:t>tissus</w:t>
      </w:r>
      <w:r>
        <w:rPr>
          <w:spacing w:val="-9"/>
        </w:rPr>
        <w:t> </w:t>
      </w:r>
      <w:r>
        <w:rPr/>
        <w:t>normaux,</w:t>
      </w:r>
      <w:r>
        <w:rPr>
          <w:spacing w:val="-12"/>
        </w:rPr>
        <w:t> </w:t>
      </w:r>
      <w:r>
        <w:rPr/>
        <w:t>est</w:t>
      </w:r>
      <w:r>
        <w:rPr>
          <w:spacing w:val="-9"/>
        </w:rPr>
        <w:t> </w:t>
      </w:r>
      <w:r>
        <w:rPr/>
        <w:t>une</w:t>
      </w:r>
      <w:r>
        <w:rPr>
          <w:spacing w:val="-11"/>
        </w:rPr>
        <w:t> </w:t>
      </w:r>
      <w:r>
        <w:rPr/>
        <w:t>cible</w:t>
      </w:r>
      <w:r>
        <w:rPr>
          <w:spacing w:val="-11"/>
        </w:rPr>
        <w:t> </w:t>
      </w:r>
      <w:r>
        <w:rPr/>
        <w:t>de</w:t>
      </w:r>
      <w:r>
        <w:rPr>
          <w:spacing w:val="-8"/>
        </w:rPr>
        <w:t> </w:t>
      </w:r>
      <w:r>
        <w:rPr/>
        <w:t>choix</w:t>
      </w:r>
      <w:r>
        <w:rPr>
          <w:spacing w:val="-7"/>
        </w:rPr>
        <w:t> </w:t>
      </w:r>
      <w:r>
        <w:rPr/>
        <w:t>en</w:t>
      </w:r>
      <w:r>
        <w:rPr>
          <w:spacing w:val="-10"/>
        </w:rPr>
        <w:t> </w:t>
      </w:r>
      <w:r>
        <w:rPr/>
        <w:t>thérapeutique.</w:t>
      </w:r>
      <w:r>
        <w:rPr>
          <w:spacing w:val="-5"/>
        </w:rPr>
        <w:t> </w:t>
      </w:r>
      <w:r>
        <w:rPr/>
        <w:t>Le</w:t>
      </w:r>
      <w:r>
        <w:rPr>
          <w:spacing w:val="-8"/>
        </w:rPr>
        <w:t> </w:t>
      </w:r>
      <w:r>
        <w:rPr/>
        <w:t>développement</w:t>
      </w:r>
      <w:r>
        <w:rPr>
          <w:spacing w:val="-10"/>
        </w:rPr>
        <w:t> </w:t>
      </w:r>
      <w:r>
        <w:rPr/>
        <w:t>d’anticorps se liant à son domaine extracellulaire empêche la cellule cancéreuse de s’adapter à son environnement hypoxique. L’exemple de l’</w:t>
      </w:r>
      <w:r>
        <w:rPr>
          <w:b/>
          <w:u w:val="thick"/>
        </w:rPr>
        <w:t>anticorps monoclonal VII/20 </w:t>
      </w:r>
      <w:r>
        <w:rPr/>
        <w:t>est développé dans un modèle de souris (xénogreffe de carcinome colorectal) (Zatovicova et al.,</w:t>
      </w:r>
      <w:r>
        <w:rPr>
          <w:spacing w:val="-9"/>
        </w:rPr>
        <w:t> </w:t>
      </w:r>
      <w:r>
        <w:rPr/>
        <w:t>2010).</w:t>
      </w:r>
    </w:p>
    <w:p>
      <w:pPr>
        <w:pStyle w:val="BodyText"/>
        <w:spacing w:line="276" w:lineRule="auto" w:before="164"/>
        <w:ind w:left="116" w:right="115" w:firstLine="707"/>
        <w:jc w:val="both"/>
      </w:pPr>
      <w:r>
        <w:rPr/>
        <w:t>L’utilisation d’un autre inhibiteur des CA, l’</w:t>
      </w:r>
      <w:r>
        <w:rPr>
          <w:b/>
          <w:u w:val="thick"/>
        </w:rPr>
        <w:t>indisulam </w:t>
      </w:r>
      <w:r>
        <w:rPr/>
        <w:t>(E7070), en association avec le cisplatine, l’oxaliplatine et le 5-FU dans un modèle </w:t>
      </w:r>
      <w:r>
        <w:rPr>
          <w:b/>
          <w:i/>
        </w:rPr>
        <w:t>in vitro </w:t>
      </w:r>
      <w:r>
        <w:rPr/>
        <w:t>et </w:t>
      </w:r>
      <w:r>
        <w:rPr>
          <w:b/>
          <w:i/>
        </w:rPr>
        <w:t>in vivo </w:t>
      </w:r>
      <w:r>
        <w:rPr/>
        <w:t>de cancer du poumon montre</w:t>
      </w:r>
      <w:r>
        <w:rPr>
          <w:spacing w:val="-6"/>
        </w:rPr>
        <w:t> </w:t>
      </w:r>
      <w:r>
        <w:rPr/>
        <w:t>des</w:t>
      </w:r>
      <w:r>
        <w:rPr>
          <w:spacing w:val="-4"/>
        </w:rPr>
        <w:t> </w:t>
      </w:r>
      <w:r>
        <w:rPr/>
        <w:t>résultats</w:t>
      </w:r>
      <w:r>
        <w:rPr>
          <w:spacing w:val="-3"/>
        </w:rPr>
        <w:t> </w:t>
      </w:r>
      <w:r>
        <w:rPr/>
        <w:t>intéressants</w:t>
      </w:r>
      <w:r>
        <w:rPr>
          <w:spacing w:val="-2"/>
        </w:rPr>
        <w:t> </w:t>
      </w:r>
      <w:r>
        <w:rPr/>
        <w:t>(Ozawa</w:t>
      </w:r>
      <w:r>
        <w:rPr>
          <w:spacing w:val="-3"/>
        </w:rPr>
        <w:t> </w:t>
      </w:r>
      <w:r>
        <w:rPr/>
        <w:t>et</w:t>
      </w:r>
      <w:r>
        <w:rPr>
          <w:spacing w:val="-3"/>
        </w:rPr>
        <w:t> </w:t>
      </w:r>
      <w:r>
        <w:rPr/>
        <w:t>al.,</w:t>
      </w:r>
      <w:r>
        <w:rPr>
          <w:spacing w:val="-4"/>
        </w:rPr>
        <w:t> </w:t>
      </w:r>
      <w:r>
        <w:rPr/>
        <w:t>2004).</w:t>
      </w:r>
      <w:r>
        <w:rPr>
          <w:spacing w:val="-4"/>
        </w:rPr>
        <w:t> </w:t>
      </w:r>
      <w:r>
        <w:rPr/>
        <w:t>Une</w:t>
      </w:r>
      <w:r>
        <w:rPr>
          <w:spacing w:val="-5"/>
        </w:rPr>
        <w:t> </w:t>
      </w:r>
      <w:r>
        <w:rPr/>
        <w:t>liste</w:t>
      </w:r>
      <w:r>
        <w:rPr>
          <w:spacing w:val="-4"/>
        </w:rPr>
        <w:t> </w:t>
      </w:r>
      <w:r>
        <w:rPr/>
        <w:t>plus</w:t>
      </w:r>
      <w:r>
        <w:rPr>
          <w:spacing w:val="-3"/>
        </w:rPr>
        <w:t> </w:t>
      </w:r>
      <w:r>
        <w:rPr/>
        <w:t>exhaustive</w:t>
      </w:r>
      <w:r>
        <w:rPr>
          <w:spacing w:val="-5"/>
        </w:rPr>
        <w:t> </w:t>
      </w:r>
      <w:r>
        <w:rPr/>
        <w:t>des</w:t>
      </w:r>
      <w:r>
        <w:rPr>
          <w:spacing w:val="-4"/>
        </w:rPr>
        <w:t> </w:t>
      </w:r>
      <w:r>
        <w:rPr/>
        <w:t>inhibiteurs spécifiques</w:t>
      </w:r>
      <w:r>
        <w:rPr>
          <w:spacing w:val="-8"/>
        </w:rPr>
        <w:t> </w:t>
      </w:r>
      <w:r>
        <w:rPr/>
        <w:t>des</w:t>
      </w:r>
      <w:r>
        <w:rPr>
          <w:spacing w:val="-8"/>
        </w:rPr>
        <w:t> </w:t>
      </w:r>
      <w:r>
        <w:rPr/>
        <w:t>isoformes</w:t>
      </w:r>
      <w:r>
        <w:rPr>
          <w:spacing w:val="-6"/>
        </w:rPr>
        <w:t> </w:t>
      </w:r>
      <w:r>
        <w:rPr/>
        <w:t>tumorales</w:t>
      </w:r>
      <w:r>
        <w:rPr>
          <w:spacing w:val="-9"/>
        </w:rPr>
        <w:t> </w:t>
      </w:r>
      <w:r>
        <w:rPr/>
        <w:t>qui</w:t>
      </w:r>
      <w:r>
        <w:rPr>
          <w:spacing w:val="-8"/>
        </w:rPr>
        <w:t> </w:t>
      </w:r>
      <w:r>
        <w:rPr/>
        <w:t>se</w:t>
      </w:r>
      <w:r>
        <w:rPr>
          <w:spacing w:val="-9"/>
        </w:rPr>
        <w:t> </w:t>
      </w:r>
      <w:r>
        <w:rPr/>
        <w:t>développent</w:t>
      </w:r>
      <w:r>
        <w:rPr>
          <w:spacing w:val="-8"/>
        </w:rPr>
        <w:t> </w:t>
      </w:r>
      <w:r>
        <w:rPr/>
        <w:t>est</w:t>
      </w:r>
      <w:r>
        <w:rPr>
          <w:spacing w:val="-6"/>
        </w:rPr>
        <w:t> </w:t>
      </w:r>
      <w:r>
        <w:rPr/>
        <w:t>présentée</w:t>
      </w:r>
      <w:r>
        <w:rPr>
          <w:spacing w:val="-10"/>
        </w:rPr>
        <w:t> </w:t>
      </w:r>
      <w:r>
        <w:rPr/>
        <w:t>dans</w:t>
      </w:r>
      <w:r>
        <w:rPr>
          <w:spacing w:val="-8"/>
        </w:rPr>
        <w:t> </w:t>
      </w:r>
      <w:r>
        <w:rPr/>
        <w:t>la</w:t>
      </w:r>
      <w:r>
        <w:rPr>
          <w:spacing w:val="-7"/>
        </w:rPr>
        <w:t> </w:t>
      </w:r>
      <w:r>
        <w:rPr/>
        <w:t>revue</w:t>
      </w:r>
      <w:r>
        <w:rPr>
          <w:spacing w:val="-10"/>
        </w:rPr>
        <w:t> </w:t>
      </w:r>
      <w:r>
        <w:rPr/>
        <w:t>de</w:t>
      </w:r>
      <w:r>
        <w:rPr>
          <w:spacing w:val="-8"/>
        </w:rPr>
        <w:t> </w:t>
      </w:r>
      <w:r>
        <w:rPr/>
        <w:t>Spugnini et al.,</w:t>
      </w:r>
      <w:r>
        <w:rPr>
          <w:spacing w:val="-2"/>
        </w:rPr>
        <w:t> </w:t>
      </w:r>
      <w:r>
        <w:rPr/>
        <w:t>2015.</w:t>
      </w:r>
    </w:p>
    <w:p>
      <w:pPr>
        <w:spacing w:after="0" w:line="276" w:lineRule="auto"/>
        <w:jc w:val="both"/>
        <w:sectPr>
          <w:pgSz w:w="11910" w:h="16840"/>
          <w:pgMar w:header="0" w:footer="995" w:top="1320" w:bottom="1240" w:left="1300" w:right="1300"/>
        </w:sectPr>
      </w:pPr>
    </w:p>
    <w:p>
      <w:pPr>
        <w:pStyle w:val="Heading3"/>
        <w:ind w:left="1174" w:firstLine="0"/>
      </w:pPr>
      <w:bookmarkStart w:name="_bookmark130" w:id="218"/>
      <w:bookmarkEnd w:id="218"/>
      <w:r>
        <w:rPr>
          <w:b w:val="0"/>
        </w:rPr>
      </w:r>
      <w:r>
        <w:rPr/>
        <w:t>I.   Conclusion partielle</w:t>
      </w:r>
    </w:p>
    <w:p>
      <w:pPr>
        <w:pStyle w:val="BodyText"/>
        <w:rPr>
          <w:b/>
          <w:sz w:val="30"/>
        </w:rPr>
      </w:pPr>
    </w:p>
    <w:p>
      <w:pPr>
        <w:pStyle w:val="BodyText"/>
        <w:spacing w:line="276" w:lineRule="auto" w:before="178"/>
        <w:ind w:left="116" w:right="112" w:firstLine="707"/>
        <w:jc w:val="both"/>
      </w:pPr>
      <w:r>
        <w:rPr/>
        <w:t>La</w:t>
      </w:r>
      <w:r>
        <w:rPr>
          <w:spacing w:val="-7"/>
        </w:rPr>
        <w:t> </w:t>
      </w:r>
      <w:r>
        <w:rPr/>
        <w:t>diversité</w:t>
      </w:r>
      <w:r>
        <w:rPr>
          <w:spacing w:val="-7"/>
        </w:rPr>
        <w:t> </w:t>
      </w:r>
      <w:r>
        <w:rPr/>
        <w:t>et</w:t>
      </w:r>
      <w:r>
        <w:rPr>
          <w:spacing w:val="-6"/>
        </w:rPr>
        <w:t> </w:t>
      </w:r>
      <w:r>
        <w:rPr/>
        <w:t>la</w:t>
      </w:r>
      <w:r>
        <w:rPr>
          <w:spacing w:val="-7"/>
        </w:rPr>
        <w:t> </w:t>
      </w:r>
      <w:r>
        <w:rPr/>
        <w:t>complémentarité</w:t>
      </w:r>
      <w:r>
        <w:rPr>
          <w:spacing w:val="-7"/>
        </w:rPr>
        <w:t> </w:t>
      </w:r>
      <w:r>
        <w:rPr/>
        <w:t>des</w:t>
      </w:r>
      <w:r>
        <w:rPr>
          <w:spacing w:val="-6"/>
        </w:rPr>
        <w:t> </w:t>
      </w:r>
      <w:r>
        <w:rPr/>
        <w:t>voies</w:t>
      </w:r>
      <w:r>
        <w:rPr>
          <w:spacing w:val="-7"/>
        </w:rPr>
        <w:t> </w:t>
      </w:r>
      <w:r>
        <w:rPr/>
        <w:t>métaboliques</w:t>
      </w:r>
      <w:r>
        <w:rPr>
          <w:spacing w:val="-6"/>
        </w:rPr>
        <w:t> </w:t>
      </w:r>
      <w:r>
        <w:rPr/>
        <w:t>du</w:t>
      </w:r>
      <w:r>
        <w:rPr>
          <w:spacing w:val="-6"/>
        </w:rPr>
        <w:t> </w:t>
      </w:r>
      <w:r>
        <w:rPr/>
        <w:t>glucose</w:t>
      </w:r>
      <w:r>
        <w:rPr>
          <w:spacing w:val="-7"/>
        </w:rPr>
        <w:t> </w:t>
      </w:r>
      <w:r>
        <w:rPr/>
        <w:t>et</w:t>
      </w:r>
      <w:r>
        <w:rPr>
          <w:spacing w:val="-6"/>
        </w:rPr>
        <w:t> </w:t>
      </w:r>
      <w:r>
        <w:rPr/>
        <w:t>de</w:t>
      </w:r>
      <w:r>
        <w:rPr>
          <w:spacing w:val="-5"/>
        </w:rPr>
        <w:t> </w:t>
      </w:r>
      <w:r>
        <w:rPr/>
        <w:t>la</w:t>
      </w:r>
      <w:r>
        <w:rPr>
          <w:spacing w:val="-7"/>
        </w:rPr>
        <w:t> </w:t>
      </w:r>
      <w:r>
        <w:rPr/>
        <w:t>glutamine exposées précédemment, ainsi que les voies de gestion des efflux de protons, expliquent le grand nombre de molécules envisageables pour cibler les cellules cancéreuses. La coopération métabolique pouvant s’établir entre les cellules cancéreuses (métabolisme glycolytique / métabolisme</w:t>
      </w:r>
      <w:r>
        <w:rPr>
          <w:spacing w:val="-4"/>
        </w:rPr>
        <w:t> </w:t>
      </w:r>
      <w:r>
        <w:rPr/>
        <w:t>oxydatif)</w:t>
      </w:r>
      <w:r>
        <w:rPr>
          <w:spacing w:val="-5"/>
        </w:rPr>
        <w:t> </w:t>
      </w:r>
      <w:r>
        <w:rPr/>
        <w:t>permet</w:t>
      </w:r>
      <w:r>
        <w:rPr>
          <w:spacing w:val="-3"/>
        </w:rPr>
        <w:t> </w:t>
      </w:r>
      <w:r>
        <w:rPr/>
        <w:t>de</w:t>
      </w:r>
      <w:r>
        <w:rPr>
          <w:spacing w:val="-5"/>
        </w:rPr>
        <w:t> </w:t>
      </w:r>
      <w:r>
        <w:rPr/>
        <w:t>comprendre</w:t>
      </w:r>
      <w:r>
        <w:rPr>
          <w:spacing w:val="-6"/>
        </w:rPr>
        <w:t> </w:t>
      </w:r>
      <w:r>
        <w:rPr/>
        <w:t>les</w:t>
      </w:r>
      <w:r>
        <w:rPr>
          <w:spacing w:val="-4"/>
        </w:rPr>
        <w:t> </w:t>
      </w:r>
      <w:r>
        <w:rPr/>
        <w:t>limites</w:t>
      </w:r>
      <w:r>
        <w:rPr>
          <w:spacing w:val="-4"/>
        </w:rPr>
        <w:t> </w:t>
      </w:r>
      <w:r>
        <w:rPr/>
        <w:t>de</w:t>
      </w:r>
      <w:r>
        <w:rPr>
          <w:spacing w:val="-5"/>
        </w:rPr>
        <w:t> </w:t>
      </w:r>
      <w:r>
        <w:rPr/>
        <w:t>certains</w:t>
      </w:r>
      <w:r>
        <w:rPr>
          <w:spacing w:val="-3"/>
        </w:rPr>
        <w:t> </w:t>
      </w:r>
      <w:r>
        <w:rPr/>
        <w:t>inhibiteurs</w:t>
      </w:r>
      <w:r>
        <w:rPr>
          <w:spacing w:val="-4"/>
        </w:rPr>
        <w:t> </w:t>
      </w:r>
      <w:r>
        <w:rPr/>
        <w:t>de</w:t>
      </w:r>
      <w:r>
        <w:rPr>
          <w:spacing w:val="-5"/>
        </w:rPr>
        <w:t> </w:t>
      </w:r>
      <w:r>
        <w:rPr/>
        <w:t>la</w:t>
      </w:r>
      <w:r>
        <w:rPr>
          <w:spacing w:val="-4"/>
        </w:rPr>
        <w:t> </w:t>
      </w:r>
      <w:r>
        <w:rPr/>
        <w:t>glycolyse et d’apprécier l’intérêt particulier des molécules ciblant l’équilibre acido-basique de la cellule. N’ont pas été abordées les nombreuses molécules en développement permettant de cibler le métabolisme mitochondrial en lui-même (complexes enzymatiques des phosphorylations oxydatives,</w:t>
      </w:r>
      <w:r>
        <w:rPr>
          <w:spacing w:val="-7"/>
        </w:rPr>
        <w:t> </w:t>
      </w:r>
      <w:r>
        <w:rPr/>
        <w:t>enzymes</w:t>
      </w:r>
      <w:r>
        <w:rPr>
          <w:spacing w:val="-7"/>
        </w:rPr>
        <w:t> </w:t>
      </w:r>
      <w:r>
        <w:rPr/>
        <w:t>du</w:t>
      </w:r>
      <w:r>
        <w:rPr>
          <w:spacing w:val="-7"/>
        </w:rPr>
        <w:t> </w:t>
      </w:r>
      <w:r>
        <w:rPr/>
        <w:t>cycle</w:t>
      </w:r>
      <w:r>
        <w:rPr>
          <w:spacing w:val="-8"/>
        </w:rPr>
        <w:t> </w:t>
      </w:r>
      <w:r>
        <w:rPr/>
        <w:t>de</w:t>
      </w:r>
      <w:r>
        <w:rPr>
          <w:spacing w:val="-8"/>
        </w:rPr>
        <w:t> </w:t>
      </w:r>
      <w:r>
        <w:rPr/>
        <w:t>Krebs,</w:t>
      </w:r>
      <w:r>
        <w:rPr>
          <w:spacing w:val="-7"/>
        </w:rPr>
        <w:t> </w:t>
      </w:r>
      <w:r>
        <w:rPr/>
        <w:t>machine</w:t>
      </w:r>
      <w:r>
        <w:rPr>
          <w:spacing w:val="-8"/>
        </w:rPr>
        <w:t> </w:t>
      </w:r>
      <w:r>
        <w:rPr/>
        <w:t>apoptotique,</w:t>
      </w:r>
      <w:r>
        <w:rPr>
          <w:spacing w:val="-8"/>
        </w:rPr>
        <w:t> </w:t>
      </w:r>
      <w:r>
        <w:rPr/>
        <w:t>canaux</w:t>
      </w:r>
      <w:r>
        <w:rPr>
          <w:spacing w:val="-5"/>
        </w:rPr>
        <w:t> </w:t>
      </w:r>
      <w:r>
        <w:rPr/>
        <w:t>membranaires</w:t>
      </w:r>
      <w:r>
        <w:rPr>
          <w:spacing w:val="-7"/>
        </w:rPr>
        <w:t> </w:t>
      </w:r>
      <w:r>
        <w:rPr/>
        <w:t>comme</w:t>
      </w:r>
      <w:r>
        <w:rPr>
          <w:spacing w:val="-8"/>
        </w:rPr>
        <w:t> </w:t>
      </w:r>
      <w:r>
        <w:rPr/>
        <w:t>le VDAC…)</w:t>
      </w:r>
      <w:r>
        <w:rPr>
          <w:spacing w:val="-6"/>
        </w:rPr>
        <w:t> </w:t>
      </w:r>
      <w:r>
        <w:rPr/>
        <w:t>en</w:t>
      </w:r>
      <w:r>
        <w:rPr>
          <w:spacing w:val="-5"/>
        </w:rPr>
        <w:t> </w:t>
      </w:r>
      <w:r>
        <w:rPr/>
        <w:t>raison</w:t>
      </w:r>
      <w:r>
        <w:rPr>
          <w:spacing w:val="-4"/>
        </w:rPr>
        <w:t> </w:t>
      </w:r>
      <w:r>
        <w:rPr/>
        <w:t>de</w:t>
      </w:r>
      <w:r>
        <w:rPr>
          <w:spacing w:val="-6"/>
        </w:rPr>
        <w:t> </w:t>
      </w:r>
      <w:r>
        <w:rPr/>
        <w:t>leur</w:t>
      </w:r>
      <w:r>
        <w:rPr>
          <w:spacing w:val="-6"/>
        </w:rPr>
        <w:t> </w:t>
      </w:r>
      <w:r>
        <w:rPr/>
        <w:t>accès</w:t>
      </w:r>
      <w:r>
        <w:rPr>
          <w:spacing w:val="-5"/>
        </w:rPr>
        <w:t> </w:t>
      </w:r>
      <w:r>
        <w:rPr/>
        <w:t>difficile</w:t>
      </w:r>
      <w:r>
        <w:rPr>
          <w:spacing w:val="-2"/>
        </w:rPr>
        <w:t> </w:t>
      </w:r>
      <w:r>
        <w:rPr/>
        <w:t>en</w:t>
      </w:r>
      <w:r>
        <w:rPr>
          <w:spacing w:val="-5"/>
        </w:rPr>
        <w:t> </w:t>
      </w:r>
      <w:r>
        <w:rPr/>
        <w:t>clinique</w:t>
      </w:r>
      <w:r>
        <w:rPr>
          <w:spacing w:val="-5"/>
        </w:rPr>
        <w:t> </w:t>
      </w:r>
      <w:r>
        <w:rPr/>
        <w:t>vétérinaire.</w:t>
      </w:r>
      <w:r>
        <w:rPr>
          <w:spacing w:val="-2"/>
        </w:rPr>
        <w:t> </w:t>
      </w:r>
      <w:r>
        <w:rPr/>
        <w:t>Les</w:t>
      </w:r>
      <w:r>
        <w:rPr>
          <w:spacing w:val="-5"/>
        </w:rPr>
        <w:t> </w:t>
      </w:r>
      <w:r>
        <w:rPr/>
        <w:t>revues</w:t>
      </w:r>
      <w:r>
        <w:rPr>
          <w:spacing w:val="-5"/>
        </w:rPr>
        <w:t> </w:t>
      </w:r>
      <w:r>
        <w:rPr/>
        <w:t>de</w:t>
      </w:r>
      <w:r>
        <w:rPr>
          <w:spacing w:val="-3"/>
        </w:rPr>
        <w:t> </w:t>
      </w:r>
      <w:r>
        <w:rPr/>
        <w:t>Pathania</w:t>
      </w:r>
      <w:r>
        <w:rPr>
          <w:spacing w:val="-6"/>
        </w:rPr>
        <w:t> </w:t>
      </w:r>
      <w:r>
        <w:rPr/>
        <w:t>et</w:t>
      </w:r>
      <w:r>
        <w:rPr>
          <w:spacing w:val="-4"/>
        </w:rPr>
        <w:t> </w:t>
      </w:r>
      <w:r>
        <w:rPr/>
        <w:t>al. (2009), Weinberg et Chandel (2015), Caino et Altieri (2016) s’y intéressent plus particulièrement. Il faut néanmoins souligner l’inhibition du complexe I de la chaine de transports d’électrons par la</w:t>
      </w:r>
      <w:r>
        <w:rPr>
          <w:spacing w:val="-7"/>
        </w:rPr>
        <w:t> </w:t>
      </w:r>
      <w:r>
        <w:rPr/>
        <w:t>metformine.</w:t>
      </w:r>
    </w:p>
    <w:p>
      <w:pPr>
        <w:pStyle w:val="BodyText"/>
        <w:spacing w:line="276" w:lineRule="auto" w:before="163"/>
        <w:ind w:left="116" w:right="116" w:firstLine="707"/>
        <w:jc w:val="both"/>
      </w:pPr>
      <w:r>
        <w:rPr/>
        <w:t>Si certains articles soulignent les limites de l’efficacité des molécules ciblant la glycolyse (comme le 2-DG par exemple), il ressort néanmoins que l’ensemble des molécules détaillées, si elles ne montrent pas une efficacité quand elles sont utilisées seules, peuvent agir en synergie soit entre elles (différents mécanismes d’action), soit avec des molécules de chimiothérapie conventionnelle. Leur rôle de sensibilisation à la radiothérapie est également fondamental. Une comparaison de différents agents ciblant le métabolisme du glucose a été effectuée sur des modèles </w:t>
      </w:r>
      <w:r>
        <w:rPr>
          <w:b/>
          <w:i/>
        </w:rPr>
        <w:t>in vitro </w:t>
      </w:r>
      <w:r>
        <w:rPr/>
        <w:t>de cancers du sein et de cancers de l’ovaire, montrant leur efficacité dans des conditions normoxiques selon les associations (Xintaropoulou et al., 2015). Le tableau bilan suivant permet d’apprécier la diversité des molécules existantes et leurs différents atouts.</w:t>
      </w:r>
    </w:p>
    <w:p>
      <w:pPr>
        <w:pStyle w:val="BodyText"/>
        <w:spacing w:line="276" w:lineRule="auto" w:before="161"/>
        <w:ind w:left="116" w:right="115" w:firstLine="707"/>
        <w:jc w:val="both"/>
      </w:pPr>
      <w:r>
        <w:rPr/>
        <w:t>Dans la suite de notre étude, nous focaliserons notre attention sur les molécules qui ont déjà pu être utilisées en clinique en médecine humaine.</w:t>
      </w:r>
    </w:p>
    <w:p>
      <w:pPr>
        <w:spacing w:after="0" w:line="276" w:lineRule="auto"/>
        <w:jc w:val="both"/>
        <w:sectPr>
          <w:pgSz w:w="11910" w:h="16840"/>
          <w:pgMar w:header="0" w:footer="995" w:top="1320" w:bottom="1240" w:left="1300" w:right="1300"/>
        </w:sectPr>
      </w:pPr>
    </w:p>
    <w:p>
      <w:pPr>
        <w:pStyle w:val="BodyText"/>
        <w:spacing w:before="8"/>
        <w:rPr>
          <w:sz w:val="18"/>
        </w:rPr>
      </w:pPr>
    </w:p>
    <w:p>
      <w:pPr>
        <w:spacing w:before="92"/>
        <w:ind w:left="778" w:right="0" w:firstLine="0"/>
        <w:jc w:val="left"/>
        <w:rPr>
          <w:i/>
          <w:sz w:val="18"/>
        </w:rPr>
      </w:pPr>
      <w:bookmarkStart w:name="_bookmark131" w:id="219"/>
      <w:bookmarkEnd w:id="219"/>
      <w:r>
        <w:rPr/>
      </w:r>
      <w:r>
        <w:rPr>
          <w:i/>
          <w:color w:val="44536A"/>
          <w:sz w:val="18"/>
        </w:rPr>
        <w:t>Tableau 3 : Tableau bilan des molécules ciblant le métabolisme de la cellule cancéreuse</w:t>
      </w:r>
    </w:p>
    <w:p>
      <w:pPr>
        <w:pStyle w:val="BodyText"/>
        <w:rPr>
          <w:i/>
          <w:sz w:val="20"/>
        </w:rPr>
      </w:pPr>
    </w:p>
    <w:p>
      <w:pPr>
        <w:pStyle w:val="BodyText"/>
        <w:spacing w:before="7"/>
        <w:rPr>
          <w:i/>
          <w:sz w:val="21"/>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1"/>
        <w:gridCol w:w="1481"/>
        <w:gridCol w:w="2132"/>
        <w:gridCol w:w="1839"/>
        <w:gridCol w:w="3123"/>
        <w:gridCol w:w="2136"/>
        <w:gridCol w:w="2405"/>
      </w:tblGrid>
      <w:tr>
        <w:trPr>
          <w:trHeight w:val="880" w:hRule="atLeast"/>
        </w:trPr>
        <w:tc>
          <w:tcPr>
            <w:tcW w:w="2201" w:type="dxa"/>
          </w:tcPr>
          <w:p>
            <w:pPr>
              <w:pStyle w:val="TableParagraph"/>
              <w:spacing w:line="237" w:lineRule="auto" w:before="1"/>
              <w:ind w:left="607" w:right="399" w:hanging="188"/>
              <w:rPr>
                <w:b/>
                <w:sz w:val="28"/>
              </w:rPr>
            </w:pPr>
            <w:r>
              <w:rPr>
                <w:b/>
                <w:color w:val="00AF50"/>
                <w:sz w:val="28"/>
              </w:rPr>
              <w:t>Mécanisme d’action</w:t>
            </w:r>
          </w:p>
        </w:tc>
        <w:tc>
          <w:tcPr>
            <w:tcW w:w="1481" w:type="dxa"/>
          </w:tcPr>
          <w:p>
            <w:pPr>
              <w:pStyle w:val="TableParagraph"/>
              <w:spacing w:line="317" w:lineRule="exact"/>
              <w:ind w:left="94" w:right="95"/>
              <w:jc w:val="center"/>
              <w:rPr>
                <w:b/>
                <w:sz w:val="28"/>
              </w:rPr>
            </w:pPr>
            <w:r>
              <w:rPr>
                <w:b/>
                <w:sz w:val="28"/>
              </w:rPr>
              <w:t>Molécule</w:t>
            </w:r>
          </w:p>
        </w:tc>
        <w:tc>
          <w:tcPr>
            <w:tcW w:w="2132" w:type="dxa"/>
          </w:tcPr>
          <w:p>
            <w:pPr>
              <w:pStyle w:val="TableParagraph"/>
              <w:spacing w:line="312" w:lineRule="exact"/>
              <w:ind w:left="91" w:right="91"/>
              <w:jc w:val="center"/>
              <w:rPr>
                <w:i/>
                <w:sz w:val="28"/>
              </w:rPr>
            </w:pPr>
            <w:r>
              <w:rPr>
                <w:i/>
                <w:sz w:val="28"/>
              </w:rPr>
              <w:t>In vitro</w:t>
            </w:r>
          </w:p>
        </w:tc>
        <w:tc>
          <w:tcPr>
            <w:tcW w:w="1839" w:type="dxa"/>
          </w:tcPr>
          <w:p>
            <w:pPr>
              <w:pStyle w:val="TableParagraph"/>
              <w:spacing w:line="312" w:lineRule="exact"/>
              <w:ind w:left="527"/>
              <w:rPr>
                <w:i/>
                <w:sz w:val="28"/>
              </w:rPr>
            </w:pPr>
            <w:r>
              <w:rPr>
                <w:i/>
                <w:sz w:val="28"/>
              </w:rPr>
              <w:t>In vivo</w:t>
            </w:r>
          </w:p>
        </w:tc>
        <w:tc>
          <w:tcPr>
            <w:tcW w:w="3123" w:type="dxa"/>
          </w:tcPr>
          <w:p>
            <w:pPr>
              <w:pStyle w:val="TableParagraph"/>
              <w:spacing w:line="237" w:lineRule="auto"/>
              <w:ind w:left="714" w:right="699" w:firstLine="31"/>
              <w:rPr>
                <w:sz w:val="28"/>
              </w:rPr>
            </w:pPr>
            <w:r>
              <w:rPr>
                <w:sz w:val="28"/>
              </w:rPr>
              <w:t>Action avec la chimiothérapie</w:t>
            </w:r>
          </w:p>
        </w:tc>
        <w:tc>
          <w:tcPr>
            <w:tcW w:w="2136" w:type="dxa"/>
          </w:tcPr>
          <w:p>
            <w:pPr>
              <w:pStyle w:val="TableParagraph"/>
              <w:spacing w:line="273" w:lineRule="auto"/>
              <w:ind w:left="323" w:right="238" w:hanging="72"/>
              <w:rPr>
                <w:sz w:val="28"/>
              </w:rPr>
            </w:pPr>
            <w:r>
              <w:rPr>
                <w:sz w:val="28"/>
              </w:rPr>
              <w:t>Action avec la radiothérapie</w:t>
            </w:r>
          </w:p>
        </w:tc>
        <w:tc>
          <w:tcPr>
            <w:tcW w:w="2405" w:type="dxa"/>
          </w:tcPr>
          <w:p>
            <w:pPr>
              <w:pStyle w:val="TableParagraph"/>
              <w:spacing w:line="312" w:lineRule="exact"/>
              <w:ind w:left="213" w:right="207"/>
              <w:jc w:val="center"/>
              <w:rPr>
                <w:sz w:val="28"/>
              </w:rPr>
            </w:pPr>
            <w:r>
              <w:rPr>
                <w:sz w:val="28"/>
              </w:rPr>
              <w:t>Source</w:t>
            </w:r>
          </w:p>
        </w:tc>
      </w:tr>
      <w:tr>
        <w:trPr>
          <w:trHeight w:val="480" w:hRule="atLeast"/>
        </w:trPr>
        <w:tc>
          <w:tcPr>
            <w:tcW w:w="15317" w:type="dxa"/>
            <w:gridSpan w:val="7"/>
          </w:tcPr>
          <w:p>
            <w:pPr>
              <w:pStyle w:val="TableParagraph"/>
              <w:spacing w:line="317" w:lineRule="exact"/>
              <w:ind w:left="5232" w:right="5227"/>
              <w:jc w:val="center"/>
              <w:rPr>
                <w:b/>
                <w:sz w:val="28"/>
              </w:rPr>
            </w:pPr>
            <w:r>
              <w:rPr>
                <w:b/>
                <w:color w:val="6F2F9F"/>
                <w:sz w:val="28"/>
              </w:rPr>
              <w:t>Cibler l’entrée du glucose par les GLUT</w:t>
            </w:r>
          </w:p>
        </w:tc>
      </w:tr>
      <w:tr>
        <w:trPr>
          <w:trHeight w:val="680" w:hRule="atLeast"/>
        </w:trPr>
        <w:tc>
          <w:tcPr>
            <w:tcW w:w="2201" w:type="dxa"/>
            <w:vMerge w:val="restart"/>
          </w:tcPr>
          <w:p>
            <w:pPr>
              <w:pStyle w:val="TableParagraph"/>
              <w:spacing w:line="273" w:lineRule="exact"/>
              <w:ind w:left="213"/>
              <w:rPr>
                <w:b/>
                <w:sz w:val="24"/>
              </w:rPr>
            </w:pPr>
            <w:r>
              <w:rPr>
                <w:b/>
                <w:color w:val="00AF50"/>
                <w:sz w:val="24"/>
              </w:rPr>
              <w:t>Inhibition GLUT</w:t>
            </w:r>
          </w:p>
        </w:tc>
        <w:tc>
          <w:tcPr>
            <w:tcW w:w="1481" w:type="dxa"/>
          </w:tcPr>
          <w:p>
            <w:pPr>
              <w:pStyle w:val="TableParagraph"/>
              <w:spacing w:line="273" w:lineRule="exact"/>
              <w:ind w:left="94" w:right="94"/>
              <w:jc w:val="center"/>
              <w:rPr>
                <w:b/>
                <w:sz w:val="24"/>
              </w:rPr>
            </w:pPr>
            <w:r>
              <w:rPr>
                <w:b/>
                <w:sz w:val="24"/>
              </w:rPr>
              <w:t>Phlorétine</w:t>
            </w:r>
          </w:p>
        </w:tc>
        <w:tc>
          <w:tcPr>
            <w:tcW w:w="3971" w:type="dxa"/>
            <w:gridSpan w:val="2"/>
          </w:tcPr>
          <w:p>
            <w:pPr>
              <w:pStyle w:val="TableParagraph"/>
              <w:ind w:left="1066" w:right="616" w:firstLine="206"/>
              <w:rPr>
                <w:sz w:val="24"/>
              </w:rPr>
            </w:pPr>
            <w:r>
              <w:rPr>
                <w:sz w:val="24"/>
              </w:rPr>
              <w:t>Cancer du foie Cancer du poumon</w:t>
            </w:r>
          </w:p>
        </w:tc>
        <w:tc>
          <w:tcPr>
            <w:tcW w:w="3123" w:type="dxa"/>
          </w:tcPr>
          <w:p>
            <w:pPr>
              <w:pStyle w:val="TableParagraph"/>
              <w:spacing w:line="268" w:lineRule="exact"/>
              <w:ind w:left="92" w:right="93"/>
              <w:jc w:val="center"/>
              <w:rPr>
                <w:sz w:val="24"/>
              </w:rPr>
            </w:pPr>
            <w:r>
              <w:rPr>
                <w:sz w:val="24"/>
              </w:rPr>
              <w:t>Cancer de la vessie :</w:t>
            </w:r>
          </w:p>
          <w:p>
            <w:pPr>
              <w:pStyle w:val="TableParagraph"/>
              <w:ind w:left="92" w:right="92"/>
              <w:jc w:val="center"/>
              <w:rPr>
                <w:i/>
                <w:sz w:val="24"/>
              </w:rPr>
            </w:pPr>
            <w:r>
              <w:rPr>
                <w:i/>
                <w:sz w:val="24"/>
              </w:rPr>
              <w:t>daunorubicine</w:t>
            </w:r>
          </w:p>
        </w:tc>
        <w:tc>
          <w:tcPr>
            <w:tcW w:w="2136" w:type="dxa"/>
            <w:shd w:val="clear" w:color="auto" w:fill="D9D9D9"/>
          </w:tcPr>
          <w:p>
            <w:pPr>
              <w:pStyle w:val="TableParagraph"/>
              <w:rPr>
                <w:sz w:val="22"/>
              </w:rPr>
            </w:pPr>
          </w:p>
        </w:tc>
        <w:tc>
          <w:tcPr>
            <w:tcW w:w="2405" w:type="dxa"/>
          </w:tcPr>
          <w:p>
            <w:pPr>
              <w:pStyle w:val="TableParagraph"/>
              <w:spacing w:line="223" w:lineRule="exact"/>
              <w:ind w:left="563" w:firstLine="4"/>
              <w:rPr>
                <w:sz w:val="20"/>
              </w:rPr>
            </w:pPr>
            <w:r>
              <w:rPr>
                <w:sz w:val="20"/>
              </w:rPr>
              <w:t>Cao et al., 2007</w:t>
            </w:r>
          </w:p>
          <w:p>
            <w:pPr>
              <w:pStyle w:val="TableParagraph"/>
              <w:spacing w:line="230" w:lineRule="atLeast" w:before="1"/>
              <w:ind w:left="563" w:right="540" w:firstLine="21"/>
              <w:rPr>
                <w:sz w:val="20"/>
              </w:rPr>
            </w:pPr>
            <w:r>
              <w:rPr>
                <w:sz w:val="20"/>
              </w:rPr>
              <w:t>Wu et al., 2009 Min et al., 2015</w:t>
            </w:r>
          </w:p>
        </w:tc>
      </w:tr>
      <w:tr>
        <w:trPr>
          <w:trHeight w:val="260" w:hRule="atLeast"/>
        </w:trPr>
        <w:tc>
          <w:tcPr>
            <w:tcW w:w="2201" w:type="dxa"/>
            <w:vMerge/>
            <w:tcBorders>
              <w:top w:val="nil"/>
            </w:tcBorders>
          </w:tcPr>
          <w:p>
            <w:pPr>
              <w:rPr>
                <w:sz w:val="2"/>
                <w:szCs w:val="2"/>
              </w:rPr>
            </w:pPr>
          </w:p>
        </w:tc>
        <w:tc>
          <w:tcPr>
            <w:tcW w:w="1481" w:type="dxa"/>
          </w:tcPr>
          <w:p>
            <w:pPr>
              <w:pStyle w:val="TableParagraph"/>
              <w:spacing w:line="256" w:lineRule="exact"/>
              <w:ind w:left="94" w:right="95"/>
              <w:jc w:val="center"/>
              <w:rPr>
                <w:b/>
                <w:sz w:val="24"/>
              </w:rPr>
            </w:pPr>
            <w:r>
              <w:rPr>
                <w:b/>
                <w:sz w:val="24"/>
              </w:rPr>
              <w:t>Fasentin</w:t>
            </w:r>
          </w:p>
        </w:tc>
        <w:tc>
          <w:tcPr>
            <w:tcW w:w="2132" w:type="dxa"/>
            <w:shd w:val="clear" w:color="auto" w:fill="D9D9D9"/>
          </w:tcPr>
          <w:p>
            <w:pPr>
              <w:pStyle w:val="TableParagraph"/>
              <w:rPr>
                <w:sz w:val="20"/>
              </w:rPr>
            </w:pP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0" w:right="207"/>
              <w:jc w:val="center"/>
              <w:rPr>
                <w:sz w:val="20"/>
              </w:rPr>
            </w:pPr>
            <w:r>
              <w:rPr>
                <w:sz w:val="20"/>
              </w:rPr>
              <w:t>Wood et al., 2008</w:t>
            </w:r>
          </w:p>
        </w:tc>
      </w:tr>
      <w:tr>
        <w:trPr>
          <w:trHeight w:val="1140" w:hRule="atLeast"/>
        </w:trPr>
        <w:tc>
          <w:tcPr>
            <w:tcW w:w="2201" w:type="dxa"/>
            <w:vMerge/>
            <w:tcBorders>
              <w:top w:val="nil"/>
            </w:tcBorders>
          </w:tcPr>
          <w:p>
            <w:pPr>
              <w:rPr>
                <w:sz w:val="2"/>
                <w:szCs w:val="2"/>
              </w:rPr>
            </w:pPr>
          </w:p>
        </w:tc>
        <w:tc>
          <w:tcPr>
            <w:tcW w:w="1481" w:type="dxa"/>
          </w:tcPr>
          <w:p>
            <w:pPr>
              <w:pStyle w:val="TableParagraph"/>
              <w:spacing w:line="273" w:lineRule="exact"/>
              <w:ind w:left="94" w:right="94"/>
              <w:jc w:val="center"/>
              <w:rPr>
                <w:b/>
                <w:sz w:val="24"/>
              </w:rPr>
            </w:pPr>
            <w:r>
              <w:rPr>
                <w:b/>
                <w:sz w:val="24"/>
              </w:rPr>
              <w:t>Silybine</w:t>
            </w:r>
          </w:p>
        </w:tc>
        <w:tc>
          <w:tcPr>
            <w:tcW w:w="3971" w:type="dxa"/>
            <w:gridSpan w:val="2"/>
          </w:tcPr>
          <w:p>
            <w:pPr>
              <w:pStyle w:val="TableParagraph"/>
              <w:spacing w:line="268" w:lineRule="exact"/>
              <w:ind w:left="490"/>
              <w:rPr>
                <w:sz w:val="24"/>
              </w:rPr>
            </w:pPr>
            <w:r>
              <w:rPr>
                <w:sz w:val="24"/>
              </w:rPr>
              <w:t>Carcinome des cellules basales</w:t>
            </w:r>
          </w:p>
        </w:tc>
        <w:tc>
          <w:tcPr>
            <w:tcW w:w="3123" w:type="dxa"/>
          </w:tcPr>
          <w:p>
            <w:pPr>
              <w:pStyle w:val="TableParagraph"/>
              <w:ind w:left="170" w:right="168" w:hanging="1"/>
              <w:jc w:val="center"/>
              <w:rPr>
                <w:i/>
                <w:sz w:val="24"/>
              </w:rPr>
            </w:pPr>
            <w:r>
              <w:rPr>
                <w:sz w:val="24"/>
              </w:rPr>
              <w:t>Carcinome du poumon : </w:t>
            </w:r>
            <w:r>
              <w:rPr>
                <w:i/>
                <w:sz w:val="24"/>
              </w:rPr>
              <w:t>étoposide – doxorubicine </w:t>
            </w:r>
            <w:r>
              <w:rPr>
                <w:sz w:val="24"/>
              </w:rPr>
              <w:t>Carcinome hépatocellulaire : </w:t>
            </w:r>
            <w:r>
              <w:rPr>
                <w:i/>
                <w:sz w:val="24"/>
              </w:rPr>
              <w:t>géfitinib, sorafénib</w:t>
            </w:r>
          </w:p>
        </w:tc>
        <w:tc>
          <w:tcPr>
            <w:tcW w:w="2136" w:type="dxa"/>
          </w:tcPr>
          <w:p>
            <w:pPr>
              <w:pStyle w:val="TableParagraph"/>
              <w:ind w:left="681" w:right="444" w:hanging="219"/>
              <w:rPr>
                <w:sz w:val="24"/>
              </w:rPr>
            </w:pPr>
            <w:r>
              <w:rPr>
                <w:sz w:val="24"/>
              </w:rPr>
              <w:t>Cancer de la prostate</w:t>
            </w:r>
          </w:p>
        </w:tc>
        <w:tc>
          <w:tcPr>
            <w:tcW w:w="2405" w:type="dxa"/>
          </w:tcPr>
          <w:p>
            <w:pPr>
              <w:pStyle w:val="TableParagraph"/>
              <w:ind w:left="302" w:right="295" w:firstLine="2"/>
              <w:jc w:val="center"/>
              <w:rPr>
                <w:sz w:val="20"/>
              </w:rPr>
            </w:pPr>
            <w:r>
              <w:rPr>
                <w:sz w:val="20"/>
              </w:rPr>
              <w:t>Zhan et al., 2011 Tilley et al., 2016 Sadava et Kane., 2013 Nambiar et al., 2015</w:t>
            </w:r>
          </w:p>
          <w:p>
            <w:pPr>
              <w:pStyle w:val="TableParagraph"/>
              <w:spacing w:line="217" w:lineRule="exact" w:before="7"/>
              <w:ind w:left="208" w:right="207"/>
              <w:jc w:val="center"/>
              <w:rPr>
                <w:sz w:val="20"/>
              </w:rPr>
            </w:pPr>
            <w:r>
              <w:rPr>
                <w:sz w:val="20"/>
              </w:rPr>
              <w:t>Gu et al., 2015</w:t>
            </w:r>
          </w:p>
        </w:tc>
      </w:tr>
      <w:tr>
        <w:trPr>
          <w:trHeight w:val="540" w:hRule="atLeast"/>
        </w:trPr>
        <w:tc>
          <w:tcPr>
            <w:tcW w:w="2201" w:type="dxa"/>
            <w:vMerge/>
            <w:tcBorders>
              <w:top w:val="nil"/>
            </w:tcBorders>
          </w:tcPr>
          <w:p>
            <w:pPr>
              <w:rPr>
                <w:sz w:val="2"/>
                <w:szCs w:val="2"/>
              </w:rPr>
            </w:pPr>
          </w:p>
        </w:tc>
        <w:tc>
          <w:tcPr>
            <w:tcW w:w="1481" w:type="dxa"/>
          </w:tcPr>
          <w:p>
            <w:pPr>
              <w:pStyle w:val="TableParagraph"/>
              <w:spacing w:line="273" w:lineRule="exact"/>
              <w:ind w:left="314" w:hanging="48"/>
              <w:rPr>
                <w:b/>
                <w:sz w:val="24"/>
              </w:rPr>
            </w:pPr>
            <w:r>
              <w:rPr>
                <w:b/>
                <w:sz w:val="24"/>
              </w:rPr>
              <w:t>WZB-27,</w:t>
            </w:r>
          </w:p>
          <w:p>
            <w:pPr>
              <w:pStyle w:val="TableParagraph"/>
              <w:spacing w:line="259" w:lineRule="exact"/>
              <w:ind w:left="314"/>
              <w:rPr>
                <w:b/>
                <w:sz w:val="24"/>
              </w:rPr>
            </w:pPr>
            <w:r>
              <w:rPr>
                <w:b/>
                <w:sz w:val="24"/>
              </w:rPr>
              <w:t>115, 117</w:t>
            </w:r>
          </w:p>
        </w:tc>
        <w:tc>
          <w:tcPr>
            <w:tcW w:w="3971" w:type="dxa"/>
            <w:gridSpan w:val="2"/>
          </w:tcPr>
          <w:p>
            <w:pPr>
              <w:pStyle w:val="TableParagraph"/>
              <w:spacing w:line="268" w:lineRule="exact"/>
              <w:ind w:left="1066"/>
              <w:rPr>
                <w:sz w:val="24"/>
              </w:rPr>
            </w:pPr>
            <w:r>
              <w:rPr>
                <w:sz w:val="24"/>
              </w:rPr>
              <w:t>Cancer du poumon</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ind w:left="402" w:right="247" w:hanging="135"/>
              <w:rPr>
                <w:sz w:val="20"/>
              </w:rPr>
            </w:pPr>
            <w:r>
              <w:rPr>
                <w:sz w:val="20"/>
              </w:rPr>
              <w:t>Liu et al., 2010 et 2012 Shibuya et al., 2015</w:t>
            </w:r>
          </w:p>
        </w:tc>
      </w:tr>
      <w:tr>
        <w:trPr>
          <w:trHeight w:val="300" w:hRule="atLeast"/>
        </w:trPr>
        <w:tc>
          <w:tcPr>
            <w:tcW w:w="2201" w:type="dxa"/>
            <w:vMerge/>
            <w:tcBorders>
              <w:top w:val="nil"/>
            </w:tcBorders>
          </w:tcPr>
          <w:p>
            <w:pPr>
              <w:rPr>
                <w:sz w:val="2"/>
                <w:szCs w:val="2"/>
              </w:rPr>
            </w:pPr>
          </w:p>
        </w:tc>
        <w:tc>
          <w:tcPr>
            <w:tcW w:w="1481" w:type="dxa"/>
          </w:tcPr>
          <w:p>
            <w:pPr>
              <w:pStyle w:val="TableParagraph"/>
              <w:spacing w:line="273" w:lineRule="exact"/>
              <w:ind w:left="94" w:right="95"/>
              <w:jc w:val="center"/>
              <w:rPr>
                <w:b/>
                <w:sz w:val="24"/>
              </w:rPr>
            </w:pPr>
            <w:r>
              <w:rPr>
                <w:b/>
                <w:sz w:val="24"/>
              </w:rPr>
              <w:t>Polyphénols</w:t>
            </w:r>
          </w:p>
        </w:tc>
        <w:tc>
          <w:tcPr>
            <w:tcW w:w="2132" w:type="dxa"/>
            <w:shd w:val="clear" w:color="auto" w:fill="D9D9D9"/>
          </w:tcPr>
          <w:p>
            <w:pPr>
              <w:pStyle w:val="TableParagraph"/>
              <w:rPr>
                <w:sz w:val="22"/>
              </w:rPr>
            </w:pP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0" w:right="207"/>
              <w:jc w:val="center"/>
              <w:rPr>
                <w:sz w:val="20"/>
              </w:rPr>
            </w:pPr>
            <w:r>
              <w:rPr>
                <w:sz w:val="20"/>
              </w:rPr>
              <w:t>Martel et al., 2016</w:t>
            </w:r>
          </w:p>
        </w:tc>
      </w:tr>
      <w:tr>
        <w:trPr>
          <w:trHeight w:val="540" w:hRule="atLeast"/>
        </w:trPr>
        <w:tc>
          <w:tcPr>
            <w:tcW w:w="2201" w:type="dxa"/>
          </w:tcPr>
          <w:p>
            <w:pPr>
              <w:pStyle w:val="TableParagraph"/>
              <w:spacing w:line="276" w:lineRule="exact"/>
              <w:ind w:left="758" w:right="316" w:hanging="423"/>
              <w:rPr>
                <w:b/>
                <w:sz w:val="24"/>
              </w:rPr>
            </w:pPr>
            <w:r>
              <w:rPr>
                <w:b/>
                <w:color w:val="00AF50"/>
                <w:sz w:val="24"/>
              </w:rPr>
              <w:t>Internalisation GLUT</w:t>
            </w:r>
          </w:p>
        </w:tc>
        <w:tc>
          <w:tcPr>
            <w:tcW w:w="1481" w:type="dxa"/>
          </w:tcPr>
          <w:p>
            <w:pPr>
              <w:pStyle w:val="TableParagraph"/>
              <w:spacing w:line="273" w:lineRule="exact"/>
              <w:ind w:left="94" w:right="95"/>
              <w:jc w:val="center"/>
              <w:rPr>
                <w:b/>
                <w:sz w:val="24"/>
              </w:rPr>
            </w:pPr>
            <w:r>
              <w:rPr>
                <w:b/>
                <w:sz w:val="24"/>
              </w:rPr>
              <w:t>Imatinib</w:t>
            </w:r>
          </w:p>
        </w:tc>
        <w:tc>
          <w:tcPr>
            <w:tcW w:w="2132" w:type="dxa"/>
          </w:tcPr>
          <w:p>
            <w:pPr>
              <w:pStyle w:val="TableParagraph"/>
              <w:spacing w:line="268" w:lineRule="exact"/>
              <w:ind w:left="91" w:right="91"/>
              <w:jc w:val="center"/>
              <w:rPr>
                <w:sz w:val="24"/>
              </w:rPr>
            </w:pPr>
            <w:r>
              <w:rPr>
                <w:sz w:val="24"/>
              </w:rPr>
              <w:t>Leucémie myéloïde</w:t>
            </w:r>
          </w:p>
          <w:p>
            <w:pPr>
              <w:pStyle w:val="TableParagraph"/>
              <w:spacing w:line="264" w:lineRule="exact"/>
              <w:ind w:left="91" w:right="91"/>
              <w:jc w:val="center"/>
              <w:rPr>
                <w:sz w:val="24"/>
              </w:rPr>
            </w:pPr>
            <w:r>
              <w:rPr>
                <w:sz w:val="24"/>
              </w:rPr>
              <w:t>chronique</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1" w:right="207"/>
              <w:jc w:val="center"/>
              <w:rPr>
                <w:sz w:val="20"/>
              </w:rPr>
            </w:pPr>
            <w:r>
              <w:rPr>
                <w:sz w:val="20"/>
              </w:rPr>
              <w:t>Barnes et al., 2005</w:t>
            </w:r>
          </w:p>
        </w:tc>
      </w:tr>
      <w:tr>
        <w:trPr>
          <w:trHeight w:val="480" w:hRule="atLeast"/>
        </w:trPr>
        <w:tc>
          <w:tcPr>
            <w:tcW w:w="15317" w:type="dxa"/>
            <w:gridSpan w:val="7"/>
          </w:tcPr>
          <w:p>
            <w:pPr>
              <w:pStyle w:val="TableParagraph"/>
              <w:spacing w:line="317" w:lineRule="exact"/>
              <w:ind w:left="5229" w:right="5227"/>
              <w:jc w:val="center"/>
              <w:rPr>
                <w:b/>
                <w:sz w:val="28"/>
              </w:rPr>
            </w:pPr>
            <w:r>
              <w:rPr>
                <w:b/>
                <w:color w:val="6F2F9F"/>
                <w:sz w:val="28"/>
              </w:rPr>
              <w:t>Cibler la glycolyse</w:t>
            </w:r>
          </w:p>
        </w:tc>
      </w:tr>
      <w:tr>
        <w:trPr>
          <w:trHeight w:val="1140" w:hRule="atLeast"/>
        </w:trPr>
        <w:tc>
          <w:tcPr>
            <w:tcW w:w="2201" w:type="dxa"/>
            <w:vMerge w:val="restart"/>
          </w:tcPr>
          <w:p>
            <w:pPr>
              <w:pStyle w:val="TableParagraph"/>
              <w:ind w:left="909" w:right="561" w:hanging="327"/>
              <w:rPr>
                <w:b/>
                <w:sz w:val="24"/>
              </w:rPr>
            </w:pPr>
            <w:r>
              <w:rPr>
                <w:b/>
                <w:color w:val="00AF50"/>
                <w:sz w:val="24"/>
              </w:rPr>
              <w:t>Inhibition HK</w:t>
            </w:r>
          </w:p>
        </w:tc>
        <w:tc>
          <w:tcPr>
            <w:tcW w:w="1481" w:type="dxa"/>
          </w:tcPr>
          <w:p>
            <w:pPr>
              <w:pStyle w:val="TableParagraph"/>
              <w:spacing w:line="273" w:lineRule="exact"/>
              <w:ind w:left="94" w:right="95"/>
              <w:jc w:val="center"/>
              <w:rPr>
                <w:b/>
                <w:sz w:val="24"/>
              </w:rPr>
            </w:pPr>
            <w:r>
              <w:rPr>
                <w:b/>
                <w:sz w:val="24"/>
              </w:rPr>
              <w:t>2-DG</w:t>
            </w:r>
          </w:p>
        </w:tc>
        <w:tc>
          <w:tcPr>
            <w:tcW w:w="2132" w:type="dxa"/>
          </w:tcPr>
          <w:p>
            <w:pPr>
              <w:pStyle w:val="TableParagraph"/>
              <w:spacing w:line="268" w:lineRule="exact"/>
              <w:ind w:left="89" w:right="91"/>
              <w:jc w:val="center"/>
              <w:rPr>
                <w:sz w:val="24"/>
              </w:rPr>
            </w:pPr>
            <w:r>
              <w:rPr>
                <w:sz w:val="24"/>
              </w:rPr>
              <w:t>Différentes lignées</w:t>
            </w:r>
          </w:p>
        </w:tc>
        <w:tc>
          <w:tcPr>
            <w:tcW w:w="1839" w:type="dxa"/>
          </w:tcPr>
          <w:p>
            <w:pPr>
              <w:pStyle w:val="TableParagraph"/>
              <w:ind w:left="513" w:right="409" w:hanging="87"/>
              <w:rPr>
                <w:sz w:val="24"/>
              </w:rPr>
            </w:pPr>
            <w:r>
              <w:rPr>
                <w:sz w:val="24"/>
              </w:rPr>
              <w:t>Différents</w:t>
            </w:r>
            <w:r>
              <w:rPr>
                <w:w w:val="99"/>
                <w:sz w:val="24"/>
              </w:rPr>
              <w:t> </w:t>
            </w:r>
            <w:r>
              <w:rPr>
                <w:sz w:val="24"/>
              </w:rPr>
              <w:t>modèles</w:t>
            </w:r>
          </w:p>
        </w:tc>
        <w:tc>
          <w:tcPr>
            <w:tcW w:w="3123" w:type="dxa"/>
          </w:tcPr>
          <w:p>
            <w:pPr>
              <w:pStyle w:val="TableParagraph"/>
              <w:ind w:left="153" w:right="152" w:hanging="2"/>
              <w:jc w:val="center"/>
              <w:rPr>
                <w:i/>
                <w:sz w:val="24"/>
              </w:rPr>
            </w:pPr>
            <w:r>
              <w:rPr>
                <w:sz w:val="24"/>
              </w:rPr>
              <w:t>Cancer du poumon - Ostéosarcome : </w:t>
            </w:r>
            <w:r>
              <w:rPr>
                <w:i/>
                <w:sz w:val="24"/>
              </w:rPr>
              <w:t>adriamycine, </w:t>
            </w:r>
            <w:r>
              <w:rPr>
                <w:i/>
                <w:sz w:val="24"/>
              </w:rPr>
              <w:t>paclitaxel</w:t>
            </w:r>
          </w:p>
          <w:p>
            <w:pPr>
              <w:pStyle w:val="TableParagraph"/>
              <w:spacing w:before="8"/>
              <w:ind w:left="92" w:right="92"/>
              <w:jc w:val="center"/>
              <w:rPr>
                <w:i/>
                <w:sz w:val="24"/>
              </w:rPr>
            </w:pPr>
            <w:r>
              <w:rPr>
                <w:sz w:val="24"/>
              </w:rPr>
              <w:t>Cancer du sein : </w:t>
            </w:r>
            <w:r>
              <w:rPr>
                <w:i/>
                <w:sz w:val="24"/>
              </w:rPr>
              <w:t>cisplatine</w:t>
            </w:r>
          </w:p>
        </w:tc>
        <w:tc>
          <w:tcPr>
            <w:tcW w:w="2136" w:type="dxa"/>
            <w:shd w:val="clear" w:color="auto" w:fill="D9D9D9"/>
          </w:tcPr>
          <w:p>
            <w:pPr>
              <w:pStyle w:val="TableParagraph"/>
              <w:rPr>
                <w:sz w:val="22"/>
              </w:rPr>
            </w:pPr>
          </w:p>
        </w:tc>
        <w:tc>
          <w:tcPr>
            <w:tcW w:w="2405" w:type="dxa"/>
          </w:tcPr>
          <w:p>
            <w:pPr>
              <w:pStyle w:val="TableParagraph"/>
              <w:ind w:left="216" w:right="207"/>
              <w:jc w:val="center"/>
              <w:rPr>
                <w:sz w:val="20"/>
              </w:rPr>
            </w:pPr>
            <w:r>
              <w:rPr>
                <w:sz w:val="20"/>
              </w:rPr>
              <w:t>Zhang et al., 2006 Maschek et al.,2004 Zhao et al., 2011 Sullivan et al., 2014a</w:t>
            </w:r>
          </w:p>
        </w:tc>
      </w:tr>
      <w:tr>
        <w:trPr>
          <w:trHeight w:val="1600" w:hRule="atLeast"/>
        </w:trPr>
        <w:tc>
          <w:tcPr>
            <w:tcW w:w="2201" w:type="dxa"/>
            <w:vMerge/>
            <w:tcBorders>
              <w:top w:val="nil"/>
            </w:tcBorders>
          </w:tcPr>
          <w:p>
            <w:pPr>
              <w:rPr>
                <w:sz w:val="2"/>
                <w:szCs w:val="2"/>
              </w:rPr>
            </w:pPr>
          </w:p>
        </w:tc>
        <w:tc>
          <w:tcPr>
            <w:tcW w:w="1481" w:type="dxa"/>
          </w:tcPr>
          <w:p>
            <w:pPr>
              <w:pStyle w:val="TableParagraph"/>
              <w:spacing w:line="273" w:lineRule="exact"/>
              <w:ind w:left="94" w:right="94"/>
              <w:jc w:val="center"/>
              <w:rPr>
                <w:b/>
                <w:sz w:val="24"/>
              </w:rPr>
            </w:pPr>
            <w:r>
              <w:rPr>
                <w:b/>
                <w:sz w:val="24"/>
              </w:rPr>
              <w:t>3-BP</w:t>
            </w:r>
          </w:p>
        </w:tc>
        <w:tc>
          <w:tcPr>
            <w:tcW w:w="2132" w:type="dxa"/>
          </w:tcPr>
          <w:p>
            <w:pPr>
              <w:pStyle w:val="TableParagraph"/>
              <w:ind w:left="87" w:right="91"/>
              <w:jc w:val="center"/>
              <w:rPr>
                <w:sz w:val="24"/>
              </w:rPr>
            </w:pPr>
            <w:r>
              <w:rPr>
                <w:sz w:val="24"/>
              </w:rPr>
              <w:t>Cancer du poumon Carcinome hépatocellulaire</w:t>
            </w:r>
          </w:p>
        </w:tc>
        <w:tc>
          <w:tcPr>
            <w:tcW w:w="1839" w:type="dxa"/>
          </w:tcPr>
          <w:p>
            <w:pPr>
              <w:pStyle w:val="TableParagraph"/>
              <w:ind w:left="146" w:right="149" w:firstLine="4"/>
              <w:jc w:val="center"/>
              <w:rPr>
                <w:sz w:val="24"/>
              </w:rPr>
            </w:pPr>
            <w:r>
              <w:rPr>
                <w:sz w:val="24"/>
              </w:rPr>
              <w:t>Cancer de l’estomac Cancer du sein Carcinome hépatocellulaire</w:t>
            </w:r>
          </w:p>
        </w:tc>
        <w:tc>
          <w:tcPr>
            <w:tcW w:w="3123" w:type="dxa"/>
          </w:tcPr>
          <w:p>
            <w:pPr>
              <w:pStyle w:val="TableParagraph"/>
              <w:ind w:left="92" w:right="91"/>
              <w:jc w:val="center"/>
              <w:rPr>
                <w:i/>
                <w:sz w:val="24"/>
              </w:rPr>
            </w:pPr>
            <w:r>
              <w:rPr>
                <w:sz w:val="24"/>
              </w:rPr>
              <w:t>Cancer du sein : </w:t>
            </w:r>
            <w:r>
              <w:rPr>
                <w:i/>
                <w:sz w:val="24"/>
              </w:rPr>
              <w:t>tamoxifène, </w:t>
            </w:r>
            <w:r>
              <w:rPr>
                <w:i/>
                <w:sz w:val="24"/>
              </w:rPr>
              <w:t>daunorubicine</w:t>
            </w:r>
          </w:p>
          <w:p>
            <w:pPr>
              <w:pStyle w:val="TableParagraph"/>
              <w:spacing w:before="8"/>
              <w:ind w:left="92" w:right="92"/>
              <w:jc w:val="center"/>
              <w:rPr>
                <w:i/>
                <w:sz w:val="24"/>
              </w:rPr>
            </w:pPr>
            <w:r>
              <w:rPr>
                <w:sz w:val="24"/>
              </w:rPr>
              <w:t>Gliome : </w:t>
            </w:r>
            <w:r>
              <w:rPr>
                <w:i/>
                <w:sz w:val="24"/>
              </w:rPr>
              <w:t>témolozomide</w:t>
            </w:r>
          </w:p>
        </w:tc>
        <w:tc>
          <w:tcPr>
            <w:tcW w:w="2136" w:type="dxa"/>
          </w:tcPr>
          <w:p>
            <w:pPr>
              <w:pStyle w:val="TableParagraph"/>
              <w:spacing w:line="268" w:lineRule="exact"/>
              <w:ind w:left="702"/>
              <w:rPr>
                <w:sz w:val="24"/>
              </w:rPr>
            </w:pPr>
            <w:r>
              <w:rPr>
                <w:sz w:val="24"/>
              </w:rPr>
              <w:t>Gliome</w:t>
            </w:r>
          </w:p>
        </w:tc>
        <w:tc>
          <w:tcPr>
            <w:tcW w:w="2405" w:type="dxa"/>
          </w:tcPr>
          <w:p>
            <w:pPr>
              <w:pStyle w:val="TableParagraph"/>
              <w:ind w:left="474" w:right="465" w:hanging="3"/>
              <w:jc w:val="center"/>
              <w:rPr>
                <w:sz w:val="20"/>
              </w:rPr>
            </w:pPr>
            <w:r>
              <w:rPr>
                <w:sz w:val="20"/>
              </w:rPr>
              <w:t>Xu et al., 2005 Zhang et al., 2012 Xian et al., 2015 Attia et al., 2015 Liu et al., 2015b</w:t>
            </w:r>
          </w:p>
          <w:p>
            <w:pPr>
              <w:pStyle w:val="TableParagraph"/>
              <w:spacing w:line="230" w:lineRule="exact" w:before="7"/>
              <w:ind w:left="386" w:right="377"/>
              <w:jc w:val="center"/>
              <w:rPr>
                <w:sz w:val="20"/>
              </w:rPr>
            </w:pPr>
            <w:r>
              <w:rPr>
                <w:sz w:val="20"/>
              </w:rPr>
              <w:t>Wicks et al., 2015 Ko et al., 2004</w:t>
            </w:r>
          </w:p>
        </w:tc>
      </w:tr>
    </w:tbl>
    <w:p>
      <w:pPr>
        <w:spacing w:after="0" w:line="230" w:lineRule="exact"/>
        <w:jc w:val="center"/>
        <w:rPr>
          <w:sz w:val="20"/>
        </w:rPr>
        <w:sectPr>
          <w:footerReference w:type="even" r:id="rId38"/>
          <w:footerReference w:type="default" r:id="rId39"/>
          <w:pgSz w:w="16840" w:h="11910" w:orient="landscape"/>
          <w:pgMar w:footer="998" w:header="0" w:top="1100" w:bottom="1180" w:left="640" w:right="640"/>
          <w:pgNumType w:start="80"/>
        </w:sectPr>
      </w:pPr>
    </w:p>
    <w:p>
      <w:pPr>
        <w:pStyle w:val="BodyText"/>
        <w:spacing w:before="1" w:after="1"/>
        <w:rPr>
          <w:sz w:val="2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1"/>
        <w:gridCol w:w="1481"/>
        <w:gridCol w:w="2132"/>
        <w:gridCol w:w="1839"/>
        <w:gridCol w:w="3123"/>
        <w:gridCol w:w="2136"/>
        <w:gridCol w:w="2405"/>
      </w:tblGrid>
      <w:tr>
        <w:trPr>
          <w:trHeight w:val="680" w:hRule="atLeast"/>
        </w:trPr>
        <w:tc>
          <w:tcPr>
            <w:tcW w:w="2201" w:type="dxa"/>
            <w:vMerge w:val="restart"/>
          </w:tcPr>
          <w:p>
            <w:pPr>
              <w:pStyle w:val="TableParagraph"/>
              <w:rPr>
                <w:sz w:val="22"/>
              </w:rPr>
            </w:pPr>
          </w:p>
        </w:tc>
        <w:tc>
          <w:tcPr>
            <w:tcW w:w="1481" w:type="dxa"/>
          </w:tcPr>
          <w:p>
            <w:pPr>
              <w:pStyle w:val="TableParagraph"/>
              <w:ind w:left="455" w:right="103" w:hanging="334"/>
              <w:rPr>
                <w:b/>
                <w:sz w:val="24"/>
              </w:rPr>
            </w:pPr>
            <w:r>
              <w:rPr>
                <w:b/>
                <w:sz w:val="24"/>
              </w:rPr>
              <w:t>Méthyljasm onate</w:t>
            </w:r>
          </w:p>
        </w:tc>
        <w:tc>
          <w:tcPr>
            <w:tcW w:w="3971" w:type="dxa"/>
            <w:gridSpan w:val="2"/>
          </w:tcPr>
          <w:p>
            <w:pPr>
              <w:pStyle w:val="TableParagraph"/>
              <w:spacing w:line="268" w:lineRule="exact"/>
              <w:ind w:left="1090"/>
              <w:rPr>
                <w:sz w:val="24"/>
              </w:rPr>
            </w:pPr>
            <w:r>
              <w:rPr>
                <w:sz w:val="24"/>
              </w:rPr>
              <w:t>Myélome multiple</w:t>
            </w:r>
          </w:p>
        </w:tc>
        <w:tc>
          <w:tcPr>
            <w:tcW w:w="3123" w:type="dxa"/>
          </w:tcPr>
          <w:p>
            <w:pPr>
              <w:pStyle w:val="TableParagraph"/>
              <w:spacing w:line="268" w:lineRule="exact"/>
              <w:ind w:left="92" w:right="92"/>
              <w:jc w:val="center"/>
              <w:rPr>
                <w:i/>
                <w:sz w:val="24"/>
              </w:rPr>
            </w:pPr>
            <w:r>
              <w:rPr>
                <w:sz w:val="24"/>
              </w:rPr>
              <w:t>Cancer de l’utérus : </w:t>
            </w:r>
            <w:r>
              <w:rPr>
                <w:i/>
                <w:sz w:val="24"/>
              </w:rPr>
              <w:t>cisplatine</w:t>
            </w:r>
          </w:p>
        </w:tc>
        <w:tc>
          <w:tcPr>
            <w:tcW w:w="2136" w:type="dxa"/>
          </w:tcPr>
          <w:p>
            <w:pPr>
              <w:pStyle w:val="TableParagraph"/>
              <w:spacing w:line="268" w:lineRule="exact"/>
              <w:ind w:left="182"/>
              <w:rPr>
                <w:sz w:val="24"/>
              </w:rPr>
            </w:pPr>
            <w:r>
              <w:rPr>
                <w:sz w:val="24"/>
              </w:rPr>
              <w:t>Cancer de l’utérus</w:t>
            </w:r>
          </w:p>
        </w:tc>
        <w:tc>
          <w:tcPr>
            <w:tcW w:w="2405" w:type="dxa"/>
          </w:tcPr>
          <w:p>
            <w:pPr>
              <w:pStyle w:val="TableParagraph"/>
              <w:ind w:left="429" w:right="362" w:hanging="44"/>
              <w:rPr>
                <w:sz w:val="20"/>
              </w:rPr>
            </w:pPr>
            <w:r>
              <w:rPr>
                <w:sz w:val="20"/>
              </w:rPr>
              <w:t>Pathania et al., 2009 Klippel et al., 2012</w:t>
            </w:r>
          </w:p>
          <w:p>
            <w:pPr>
              <w:pStyle w:val="TableParagraph"/>
              <w:spacing w:line="215" w:lineRule="exact" w:before="7"/>
              <w:ind w:left="474"/>
              <w:rPr>
                <w:sz w:val="20"/>
              </w:rPr>
            </w:pPr>
            <w:r>
              <w:rPr>
                <w:sz w:val="20"/>
              </w:rPr>
              <w:t>Milrot et al., 2013</w:t>
            </w:r>
          </w:p>
        </w:tc>
      </w:tr>
      <w:tr>
        <w:trPr>
          <w:trHeight w:val="920" w:hRule="atLeast"/>
        </w:trPr>
        <w:tc>
          <w:tcPr>
            <w:tcW w:w="2201" w:type="dxa"/>
            <w:vMerge/>
            <w:tcBorders>
              <w:top w:val="nil"/>
            </w:tcBorders>
          </w:tcPr>
          <w:p>
            <w:pPr>
              <w:rPr>
                <w:sz w:val="2"/>
                <w:szCs w:val="2"/>
              </w:rPr>
            </w:pPr>
          </w:p>
        </w:tc>
        <w:tc>
          <w:tcPr>
            <w:tcW w:w="1481" w:type="dxa"/>
          </w:tcPr>
          <w:p>
            <w:pPr>
              <w:pStyle w:val="TableParagraph"/>
              <w:spacing w:line="275" w:lineRule="exact"/>
              <w:ind w:left="94" w:right="94"/>
              <w:jc w:val="center"/>
              <w:rPr>
                <w:b/>
                <w:sz w:val="24"/>
              </w:rPr>
            </w:pPr>
            <w:r>
              <w:rPr>
                <w:b/>
                <w:sz w:val="24"/>
              </w:rPr>
              <w:t>LND</w:t>
            </w:r>
          </w:p>
        </w:tc>
        <w:tc>
          <w:tcPr>
            <w:tcW w:w="2132" w:type="dxa"/>
          </w:tcPr>
          <w:p>
            <w:pPr>
              <w:pStyle w:val="TableParagraph"/>
              <w:ind w:left="550" w:hanging="399"/>
              <w:rPr>
                <w:sz w:val="24"/>
              </w:rPr>
            </w:pPr>
            <w:r>
              <w:rPr>
                <w:sz w:val="24"/>
              </w:rPr>
              <w:t>Différentes lignées (dont foie)</w:t>
            </w:r>
          </w:p>
        </w:tc>
        <w:tc>
          <w:tcPr>
            <w:tcW w:w="1839" w:type="dxa"/>
          </w:tcPr>
          <w:p>
            <w:pPr>
              <w:pStyle w:val="TableParagraph"/>
              <w:ind w:left="513" w:right="409" w:hanging="87"/>
              <w:rPr>
                <w:sz w:val="24"/>
              </w:rPr>
            </w:pPr>
            <w:r>
              <w:rPr>
                <w:sz w:val="24"/>
              </w:rPr>
              <w:t>Différents</w:t>
            </w:r>
            <w:r>
              <w:rPr>
                <w:w w:val="99"/>
                <w:sz w:val="24"/>
              </w:rPr>
              <w:t> </w:t>
            </w:r>
            <w:r>
              <w:rPr>
                <w:sz w:val="24"/>
              </w:rPr>
              <w:t>modèles</w:t>
            </w:r>
          </w:p>
        </w:tc>
        <w:tc>
          <w:tcPr>
            <w:tcW w:w="3123" w:type="dxa"/>
          </w:tcPr>
          <w:p>
            <w:pPr>
              <w:pStyle w:val="TableParagraph"/>
              <w:ind w:left="921" w:right="235" w:hanging="670"/>
              <w:rPr>
                <w:i/>
                <w:sz w:val="24"/>
              </w:rPr>
            </w:pPr>
            <w:r>
              <w:rPr>
                <w:sz w:val="24"/>
              </w:rPr>
              <w:t>Cancer du sein : </w:t>
            </w:r>
            <w:r>
              <w:rPr>
                <w:i/>
                <w:sz w:val="24"/>
              </w:rPr>
              <w:t>cisplatine, </w:t>
            </w:r>
            <w:r>
              <w:rPr>
                <w:i/>
                <w:sz w:val="24"/>
              </w:rPr>
              <w:t>doxorubicine</w:t>
            </w:r>
          </w:p>
        </w:tc>
        <w:tc>
          <w:tcPr>
            <w:tcW w:w="2136" w:type="dxa"/>
            <w:shd w:val="clear" w:color="auto" w:fill="D9D9D9"/>
          </w:tcPr>
          <w:p>
            <w:pPr>
              <w:pStyle w:val="TableParagraph"/>
              <w:rPr>
                <w:sz w:val="22"/>
              </w:rPr>
            </w:pPr>
          </w:p>
        </w:tc>
        <w:tc>
          <w:tcPr>
            <w:tcW w:w="2405" w:type="dxa"/>
          </w:tcPr>
          <w:p>
            <w:pPr>
              <w:pStyle w:val="TableParagraph"/>
              <w:ind w:left="386" w:right="378"/>
              <w:jc w:val="center"/>
              <w:rPr>
                <w:sz w:val="20"/>
              </w:rPr>
            </w:pPr>
            <w:r>
              <w:rPr>
                <w:sz w:val="20"/>
              </w:rPr>
              <w:t>Floridi et al., 1981 Li et al., 2002 Pelicano et al., 2006</w:t>
            </w:r>
          </w:p>
          <w:p>
            <w:pPr>
              <w:pStyle w:val="TableParagraph"/>
              <w:spacing w:line="217" w:lineRule="exact" w:before="5"/>
              <w:ind w:left="211" w:right="207"/>
              <w:jc w:val="center"/>
              <w:rPr>
                <w:sz w:val="20"/>
              </w:rPr>
            </w:pPr>
            <w:r>
              <w:rPr>
                <w:sz w:val="20"/>
              </w:rPr>
              <w:t>Nath et al., 2015</w:t>
            </w:r>
          </w:p>
        </w:tc>
      </w:tr>
      <w:tr>
        <w:trPr>
          <w:trHeight w:val="460" w:hRule="atLeast"/>
        </w:trPr>
        <w:tc>
          <w:tcPr>
            <w:tcW w:w="2201" w:type="dxa"/>
            <w:vMerge w:val="restart"/>
          </w:tcPr>
          <w:p>
            <w:pPr>
              <w:pStyle w:val="TableParagraph"/>
              <w:spacing w:line="273" w:lineRule="exact"/>
              <w:ind w:left="119"/>
              <w:rPr>
                <w:b/>
                <w:sz w:val="24"/>
              </w:rPr>
            </w:pPr>
            <w:r>
              <w:rPr>
                <w:b/>
                <w:color w:val="00AF50"/>
                <w:sz w:val="24"/>
              </w:rPr>
              <w:t>Inhibition GAPDH</w:t>
            </w:r>
          </w:p>
        </w:tc>
        <w:tc>
          <w:tcPr>
            <w:tcW w:w="1481" w:type="dxa"/>
          </w:tcPr>
          <w:p>
            <w:pPr>
              <w:pStyle w:val="TableParagraph"/>
              <w:spacing w:line="273" w:lineRule="exact"/>
              <w:ind w:left="94" w:right="94"/>
              <w:jc w:val="center"/>
              <w:rPr>
                <w:b/>
                <w:sz w:val="24"/>
              </w:rPr>
            </w:pPr>
            <w:r>
              <w:rPr>
                <w:b/>
                <w:sz w:val="24"/>
              </w:rPr>
              <w:t>3-BP</w:t>
            </w:r>
          </w:p>
        </w:tc>
        <w:tc>
          <w:tcPr>
            <w:tcW w:w="2132" w:type="dxa"/>
          </w:tcPr>
          <w:p>
            <w:pPr>
              <w:pStyle w:val="TableParagraph"/>
              <w:spacing w:line="268" w:lineRule="exact"/>
              <w:ind w:left="91" w:right="91"/>
              <w:jc w:val="center"/>
              <w:rPr>
                <w:sz w:val="24"/>
              </w:rPr>
            </w:pPr>
            <w:r>
              <w:rPr>
                <w:sz w:val="24"/>
              </w:rPr>
              <w:t>Oui</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110" w:right="109"/>
              <w:jc w:val="center"/>
              <w:rPr>
                <w:sz w:val="20"/>
              </w:rPr>
            </w:pPr>
            <w:r>
              <w:rPr>
                <w:sz w:val="20"/>
              </w:rPr>
              <w:t>Ganapathy-Kanniappan et</w:t>
            </w:r>
          </w:p>
          <w:p>
            <w:pPr>
              <w:pStyle w:val="TableParagraph"/>
              <w:spacing w:line="217" w:lineRule="exact"/>
              <w:ind w:left="210" w:right="207"/>
              <w:jc w:val="center"/>
              <w:rPr>
                <w:sz w:val="20"/>
              </w:rPr>
            </w:pPr>
            <w:r>
              <w:rPr>
                <w:sz w:val="20"/>
              </w:rPr>
              <w:t>al., 2009</w:t>
            </w:r>
          </w:p>
        </w:tc>
      </w:tr>
      <w:tr>
        <w:trPr>
          <w:trHeight w:val="260" w:hRule="atLeast"/>
        </w:trPr>
        <w:tc>
          <w:tcPr>
            <w:tcW w:w="2201" w:type="dxa"/>
            <w:vMerge/>
            <w:tcBorders>
              <w:top w:val="nil"/>
            </w:tcBorders>
          </w:tcPr>
          <w:p>
            <w:pPr>
              <w:rPr>
                <w:sz w:val="2"/>
                <w:szCs w:val="2"/>
              </w:rPr>
            </w:pPr>
          </w:p>
        </w:tc>
        <w:tc>
          <w:tcPr>
            <w:tcW w:w="1481" w:type="dxa"/>
          </w:tcPr>
          <w:p>
            <w:pPr>
              <w:pStyle w:val="TableParagraph"/>
              <w:spacing w:line="256" w:lineRule="exact"/>
              <w:ind w:left="93" w:right="95"/>
              <w:jc w:val="center"/>
              <w:rPr>
                <w:b/>
                <w:sz w:val="24"/>
              </w:rPr>
            </w:pPr>
            <w:r>
              <w:rPr>
                <w:b/>
                <w:sz w:val="24"/>
              </w:rPr>
              <w:t>Iodoacétate</w:t>
            </w:r>
          </w:p>
        </w:tc>
        <w:tc>
          <w:tcPr>
            <w:tcW w:w="2132" w:type="dxa"/>
          </w:tcPr>
          <w:p>
            <w:pPr>
              <w:pStyle w:val="TableParagraph"/>
              <w:spacing w:line="256" w:lineRule="exact"/>
              <w:ind w:left="91" w:right="91"/>
              <w:jc w:val="center"/>
              <w:rPr>
                <w:sz w:val="24"/>
              </w:rPr>
            </w:pPr>
            <w:r>
              <w:rPr>
                <w:sz w:val="24"/>
              </w:rPr>
              <w:t>Oui</w:t>
            </w: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4" w:right="207"/>
              <w:jc w:val="center"/>
              <w:rPr>
                <w:sz w:val="20"/>
              </w:rPr>
            </w:pPr>
            <w:r>
              <w:rPr>
                <w:sz w:val="20"/>
              </w:rPr>
              <w:t>Fahim et al., 2003</w:t>
            </w:r>
          </w:p>
        </w:tc>
      </w:tr>
      <w:tr>
        <w:trPr>
          <w:trHeight w:val="540" w:hRule="atLeast"/>
        </w:trPr>
        <w:tc>
          <w:tcPr>
            <w:tcW w:w="2201" w:type="dxa"/>
          </w:tcPr>
          <w:p>
            <w:pPr>
              <w:pStyle w:val="TableParagraph"/>
              <w:spacing w:line="273" w:lineRule="exact"/>
              <w:ind w:left="172" w:right="169"/>
              <w:jc w:val="center"/>
              <w:rPr>
                <w:b/>
                <w:sz w:val="24"/>
              </w:rPr>
            </w:pPr>
            <w:r>
              <w:rPr>
                <w:b/>
                <w:color w:val="00AF50"/>
                <w:sz w:val="24"/>
              </w:rPr>
              <w:t>Inhibition PFK</w:t>
            </w:r>
          </w:p>
        </w:tc>
        <w:tc>
          <w:tcPr>
            <w:tcW w:w="1481" w:type="dxa"/>
          </w:tcPr>
          <w:p>
            <w:pPr>
              <w:pStyle w:val="TableParagraph"/>
              <w:spacing w:line="273" w:lineRule="exact"/>
              <w:ind w:left="94" w:right="94"/>
              <w:jc w:val="center"/>
              <w:rPr>
                <w:b/>
                <w:sz w:val="24"/>
              </w:rPr>
            </w:pPr>
            <w:r>
              <w:rPr>
                <w:b/>
                <w:sz w:val="24"/>
              </w:rPr>
              <w:t>Citrate</w:t>
            </w:r>
          </w:p>
        </w:tc>
        <w:tc>
          <w:tcPr>
            <w:tcW w:w="2132" w:type="dxa"/>
          </w:tcPr>
          <w:p>
            <w:pPr>
              <w:pStyle w:val="TableParagraph"/>
              <w:spacing w:line="268" w:lineRule="exact"/>
              <w:ind w:left="619" w:hanging="84"/>
              <w:rPr>
                <w:sz w:val="24"/>
              </w:rPr>
            </w:pPr>
            <w:r>
              <w:rPr>
                <w:sz w:val="24"/>
              </w:rPr>
              <w:t>Carcinome</w:t>
            </w:r>
          </w:p>
          <w:p>
            <w:pPr>
              <w:pStyle w:val="TableParagraph"/>
              <w:spacing w:line="264" w:lineRule="exact"/>
              <w:ind w:left="619"/>
              <w:rPr>
                <w:sz w:val="24"/>
              </w:rPr>
            </w:pPr>
            <w:r>
              <w:rPr>
                <w:sz w:val="24"/>
              </w:rPr>
              <w:t>gastrique</w:t>
            </w:r>
          </w:p>
        </w:tc>
        <w:tc>
          <w:tcPr>
            <w:tcW w:w="1839" w:type="dxa"/>
            <w:shd w:val="clear" w:color="auto" w:fill="D9D9D9"/>
          </w:tcPr>
          <w:p>
            <w:pPr>
              <w:pStyle w:val="TableParagraph"/>
              <w:rPr>
                <w:sz w:val="22"/>
              </w:rPr>
            </w:pPr>
          </w:p>
        </w:tc>
        <w:tc>
          <w:tcPr>
            <w:tcW w:w="3123" w:type="dxa"/>
          </w:tcPr>
          <w:p>
            <w:pPr>
              <w:pStyle w:val="TableParagraph"/>
              <w:spacing w:line="268" w:lineRule="exact"/>
              <w:ind w:left="92" w:right="92"/>
              <w:jc w:val="center"/>
              <w:rPr>
                <w:i/>
                <w:sz w:val="24"/>
              </w:rPr>
            </w:pPr>
            <w:r>
              <w:rPr>
                <w:sz w:val="24"/>
              </w:rPr>
              <w:t>Mésothéliome : </w:t>
            </w:r>
            <w:r>
              <w:rPr>
                <w:i/>
                <w:sz w:val="24"/>
              </w:rPr>
              <w:t>cisplatine</w:t>
            </w:r>
          </w:p>
        </w:tc>
        <w:tc>
          <w:tcPr>
            <w:tcW w:w="2136" w:type="dxa"/>
            <w:shd w:val="clear" w:color="auto" w:fill="D9D9D9"/>
          </w:tcPr>
          <w:p>
            <w:pPr>
              <w:pStyle w:val="TableParagraph"/>
              <w:rPr>
                <w:sz w:val="22"/>
              </w:rPr>
            </w:pPr>
          </w:p>
        </w:tc>
        <w:tc>
          <w:tcPr>
            <w:tcW w:w="2405" w:type="dxa"/>
          </w:tcPr>
          <w:p>
            <w:pPr>
              <w:pStyle w:val="TableParagraph"/>
              <w:ind w:left="474" w:right="451" w:firstLine="144"/>
              <w:rPr>
                <w:sz w:val="20"/>
              </w:rPr>
            </w:pPr>
            <w:r>
              <w:rPr>
                <w:sz w:val="20"/>
              </w:rPr>
              <w:t>Lu et al., 2011 Zhang et al., 2009</w:t>
            </w:r>
          </w:p>
        </w:tc>
      </w:tr>
      <w:tr>
        <w:trPr>
          <w:trHeight w:val="540" w:hRule="atLeast"/>
        </w:trPr>
        <w:tc>
          <w:tcPr>
            <w:tcW w:w="2201" w:type="dxa"/>
          </w:tcPr>
          <w:p>
            <w:pPr>
              <w:pStyle w:val="TableParagraph"/>
              <w:spacing w:line="276" w:lineRule="exact"/>
              <w:ind w:left="643" w:right="560" w:hanging="60"/>
              <w:rPr>
                <w:b/>
                <w:sz w:val="24"/>
              </w:rPr>
            </w:pPr>
            <w:r>
              <w:rPr>
                <w:b/>
                <w:color w:val="00AF50"/>
                <w:sz w:val="24"/>
              </w:rPr>
              <w:t>Inhibition PFKFB3</w:t>
            </w:r>
          </w:p>
        </w:tc>
        <w:tc>
          <w:tcPr>
            <w:tcW w:w="1481" w:type="dxa"/>
          </w:tcPr>
          <w:p>
            <w:pPr>
              <w:pStyle w:val="TableParagraph"/>
              <w:spacing w:line="273" w:lineRule="exact"/>
              <w:ind w:left="90" w:right="95"/>
              <w:jc w:val="center"/>
              <w:rPr>
                <w:b/>
                <w:sz w:val="24"/>
              </w:rPr>
            </w:pPr>
            <w:r>
              <w:rPr>
                <w:b/>
                <w:sz w:val="24"/>
              </w:rPr>
              <w:t>3-PO</w:t>
            </w:r>
          </w:p>
        </w:tc>
        <w:tc>
          <w:tcPr>
            <w:tcW w:w="2132" w:type="dxa"/>
          </w:tcPr>
          <w:p>
            <w:pPr>
              <w:pStyle w:val="TableParagraph"/>
              <w:spacing w:line="268" w:lineRule="exact"/>
              <w:ind w:left="89" w:right="91"/>
              <w:jc w:val="center"/>
              <w:rPr>
                <w:sz w:val="24"/>
              </w:rPr>
            </w:pPr>
            <w:r>
              <w:rPr>
                <w:sz w:val="24"/>
              </w:rPr>
              <w:t>Différentes lignées</w:t>
            </w:r>
          </w:p>
        </w:tc>
        <w:tc>
          <w:tcPr>
            <w:tcW w:w="1839" w:type="dxa"/>
          </w:tcPr>
          <w:p>
            <w:pPr>
              <w:pStyle w:val="TableParagraph"/>
              <w:spacing w:line="268" w:lineRule="exact"/>
              <w:ind w:left="201"/>
              <w:rPr>
                <w:sz w:val="24"/>
              </w:rPr>
            </w:pPr>
            <w:r>
              <w:rPr>
                <w:sz w:val="24"/>
              </w:rPr>
              <w:t>Cancer du sein</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4" w:right="207"/>
              <w:jc w:val="center"/>
              <w:rPr>
                <w:sz w:val="20"/>
              </w:rPr>
            </w:pPr>
            <w:r>
              <w:rPr>
                <w:sz w:val="20"/>
              </w:rPr>
              <w:t>Clem et al., 2008</w:t>
            </w:r>
          </w:p>
        </w:tc>
      </w:tr>
      <w:tr>
        <w:trPr>
          <w:trHeight w:val="540" w:hRule="atLeast"/>
        </w:trPr>
        <w:tc>
          <w:tcPr>
            <w:tcW w:w="2201" w:type="dxa"/>
            <w:vMerge w:val="restart"/>
          </w:tcPr>
          <w:p>
            <w:pPr>
              <w:pStyle w:val="TableParagraph"/>
              <w:spacing w:line="273" w:lineRule="exact"/>
              <w:ind w:left="213"/>
              <w:rPr>
                <w:b/>
                <w:sz w:val="24"/>
              </w:rPr>
            </w:pPr>
            <w:r>
              <w:rPr>
                <w:b/>
                <w:color w:val="00AF50"/>
                <w:sz w:val="24"/>
              </w:rPr>
              <w:t>Inhibition PKM2</w:t>
            </w:r>
          </w:p>
        </w:tc>
        <w:tc>
          <w:tcPr>
            <w:tcW w:w="1481" w:type="dxa"/>
          </w:tcPr>
          <w:p>
            <w:pPr>
              <w:pStyle w:val="TableParagraph"/>
              <w:spacing w:line="273" w:lineRule="exact"/>
              <w:ind w:left="94" w:right="94"/>
              <w:jc w:val="center"/>
              <w:rPr>
                <w:b/>
                <w:sz w:val="24"/>
              </w:rPr>
            </w:pPr>
            <w:r>
              <w:rPr>
                <w:b/>
                <w:sz w:val="24"/>
              </w:rPr>
              <w:t>TT-232</w:t>
            </w:r>
          </w:p>
        </w:tc>
        <w:tc>
          <w:tcPr>
            <w:tcW w:w="2132" w:type="dxa"/>
          </w:tcPr>
          <w:p>
            <w:pPr>
              <w:pStyle w:val="TableParagraph"/>
              <w:spacing w:line="268" w:lineRule="exact"/>
              <w:ind w:left="89" w:right="91"/>
              <w:jc w:val="center"/>
              <w:rPr>
                <w:sz w:val="24"/>
              </w:rPr>
            </w:pPr>
            <w:r>
              <w:rPr>
                <w:sz w:val="24"/>
              </w:rPr>
              <w:t>Différentes lignées</w:t>
            </w:r>
          </w:p>
        </w:tc>
        <w:tc>
          <w:tcPr>
            <w:tcW w:w="1839" w:type="dxa"/>
          </w:tcPr>
          <w:p>
            <w:pPr>
              <w:pStyle w:val="TableParagraph"/>
              <w:spacing w:line="268" w:lineRule="exact"/>
              <w:ind w:left="513" w:hanging="87"/>
              <w:rPr>
                <w:sz w:val="24"/>
              </w:rPr>
            </w:pPr>
            <w:r>
              <w:rPr>
                <w:sz w:val="24"/>
              </w:rPr>
              <w:t>Différents</w:t>
            </w:r>
          </w:p>
          <w:p>
            <w:pPr>
              <w:pStyle w:val="TableParagraph"/>
              <w:spacing w:line="264" w:lineRule="exact"/>
              <w:ind w:left="513"/>
              <w:rPr>
                <w:sz w:val="24"/>
              </w:rPr>
            </w:pPr>
            <w:r>
              <w:rPr>
                <w:sz w:val="24"/>
              </w:rPr>
              <w:t>modèles</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0" w:right="207"/>
              <w:jc w:val="center"/>
              <w:rPr>
                <w:sz w:val="20"/>
              </w:rPr>
            </w:pPr>
            <w:r>
              <w:rPr>
                <w:sz w:val="20"/>
              </w:rPr>
              <w:t>Szokolóczi et al., 2005</w:t>
            </w:r>
          </w:p>
        </w:tc>
      </w:tr>
      <w:tr>
        <w:trPr>
          <w:trHeight w:val="540" w:hRule="atLeast"/>
        </w:trPr>
        <w:tc>
          <w:tcPr>
            <w:tcW w:w="2201" w:type="dxa"/>
            <w:vMerge/>
            <w:tcBorders>
              <w:top w:val="nil"/>
            </w:tcBorders>
          </w:tcPr>
          <w:p>
            <w:pPr>
              <w:rPr>
                <w:sz w:val="2"/>
                <w:szCs w:val="2"/>
              </w:rPr>
            </w:pPr>
          </w:p>
        </w:tc>
        <w:tc>
          <w:tcPr>
            <w:tcW w:w="1481" w:type="dxa"/>
          </w:tcPr>
          <w:p>
            <w:pPr>
              <w:pStyle w:val="TableParagraph"/>
              <w:spacing w:line="275" w:lineRule="exact"/>
              <w:ind w:left="94" w:right="94"/>
              <w:jc w:val="center"/>
              <w:rPr>
                <w:b/>
                <w:sz w:val="24"/>
              </w:rPr>
            </w:pPr>
            <w:r>
              <w:rPr>
                <w:b/>
                <w:sz w:val="24"/>
              </w:rPr>
              <w:t>Shikonine</w:t>
            </w:r>
          </w:p>
        </w:tc>
        <w:tc>
          <w:tcPr>
            <w:tcW w:w="2132" w:type="dxa"/>
          </w:tcPr>
          <w:p>
            <w:pPr>
              <w:pStyle w:val="TableParagraph"/>
              <w:spacing w:line="270" w:lineRule="exact"/>
              <w:ind w:left="89" w:right="91"/>
              <w:jc w:val="center"/>
              <w:rPr>
                <w:sz w:val="24"/>
              </w:rPr>
            </w:pPr>
            <w:r>
              <w:rPr>
                <w:sz w:val="24"/>
              </w:rPr>
              <w:t>Différentes lignées</w:t>
            </w:r>
          </w:p>
        </w:tc>
        <w:tc>
          <w:tcPr>
            <w:tcW w:w="1839" w:type="dxa"/>
          </w:tcPr>
          <w:p>
            <w:pPr>
              <w:pStyle w:val="TableParagraph"/>
              <w:spacing w:line="270" w:lineRule="exact"/>
              <w:ind w:left="513" w:hanging="87"/>
              <w:rPr>
                <w:sz w:val="24"/>
              </w:rPr>
            </w:pPr>
            <w:r>
              <w:rPr>
                <w:sz w:val="24"/>
              </w:rPr>
              <w:t>Différents</w:t>
            </w:r>
          </w:p>
          <w:p>
            <w:pPr>
              <w:pStyle w:val="TableParagraph"/>
              <w:spacing w:line="264" w:lineRule="exact"/>
              <w:ind w:left="513"/>
              <w:rPr>
                <w:sz w:val="24"/>
              </w:rPr>
            </w:pPr>
            <w:r>
              <w:rPr>
                <w:sz w:val="24"/>
              </w:rPr>
              <w:t>modèles</w:t>
            </w:r>
          </w:p>
        </w:tc>
        <w:tc>
          <w:tcPr>
            <w:tcW w:w="3123" w:type="dxa"/>
          </w:tcPr>
          <w:p>
            <w:pPr>
              <w:pStyle w:val="TableParagraph"/>
              <w:spacing w:line="270" w:lineRule="exact"/>
              <w:ind w:left="91" w:right="93"/>
              <w:jc w:val="center"/>
              <w:rPr>
                <w:i/>
                <w:sz w:val="24"/>
              </w:rPr>
            </w:pPr>
            <w:r>
              <w:rPr>
                <w:sz w:val="24"/>
              </w:rPr>
              <w:t>Cancer du sein : </w:t>
            </w:r>
            <w:r>
              <w:rPr>
                <w:i/>
                <w:sz w:val="24"/>
              </w:rPr>
              <w:t>paclitaxel</w:t>
            </w:r>
          </w:p>
        </w:tc>
        <w:tc>
          <w:tcPr>
            <w:tcW w:w="2136" w:type="dxa"/>
            <w:shd w:val="clear" w:color="auto" w:fill="D9D9D9"/>
          </w:tcPr>
          <w:p>
            <w:pPr>
              <w:pStyle w:val="TableParagraph"/>
              <w:rPr>
                <w:sz w:val="22"/>
              </w:rPr>
            </w:pPr>
          </w:p>
        </w:tc>
        <w:tc>
          <w:tcPr>
            <w:tcW w:w="2405" w:type="dxa"/>
          </w:tcPr>
          <w:p>
            <w:pPr>
              <w:pStyle w:val="TableParagraph"/>
              <w:spacing w:line="225" w:lineRule="exact"/>
              <w:ind w:left="210" w:right="207"/>
              <w:jc w:val="center"/>
              <w:rPr>
                <w:sz w:val="20"/>
              </w:rPr>
            </w:pPr>
            <w:r>
              <w:rPr>
                <w:sz w:val="20"/>
              </w:rPr>
              <w:t>Li et al., 2014b</w:t>
            </w:r>
          </w:p>
        </w:tc>
      </w:tr>
      <w:tr>
        <w:trPr>
          <w:trHeight w:val="260" w:hRule="atLeast"/>
        </w:trPr>
        <w:tc>
          <w:tcPr>
            <w:tcW w:w="2201" w:type="dxa"/>
            <w:vMerge/>
            <w:tcBorders>
              <w:top w:val="nil"/>
            </w:tcBorders>
          </w:tcPr>
          <w:p>
            <w:pPr>
              <w:rPr>
                <w:sz w:val="2"/>
                <w:szCs w:val="2"/>
              </w:rPr>
            </w:pPr>
          </w:p>
        </w:tc>
        <w:tc>
          <w:tcPr>
            <w:tcW w:w="1481" w:type="dxa"/>
          </w:tcPr>
          <w:p>
            <w:pPr>
              <w:pStyle w:val="TableParagraph"/>
              <w:spacing w:line="256" w:lineRule="exact"/>
              <w:ind w:left="94" w:right="94"/>
              <w:jc w:val="center"/>
              <w:rPr>
                <w:b/>
                <w:sz w:val="24"/>
              </w:rPr>
            </w:pPr>
            <w:r>
              <w:rPr>
                <w:b/>
                <w:sz w:val="24"/>
              </w:rPr>
              <w:t>Alkannine</w:t>
            </w:r>
          </w:p>
        </w:tc>
        <w:tc>
          <w:tcPr>
            <w:tcW w:w="2132" w:type="dxa"/>
          </w:tcPr>
          <w:p>
            <w:pPr>
              <w:pStyle w:val="TableParagraph"/>
              <w:spacing w:line="256" w:lineRule="exact"/>
              <w:ind w:left="91" w:right="90"/>
              <w:jc w:val="center"/>
              <w:rPr>
                <w:sz w:val="24"/>
              </w:rPr>
            </w:pPr>
            <w:r>
              <w:rPr>
                <w:sz w:val="24"/>
              </w:rPr>
              <w:t>Gliome</w:t>
            </w: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2" w:right="207"/>
              <w:jc w:val="center"/>
              <w:rPr>
                <w:sz w:val="20"/>
              </w:rPr>
            </w:pPr>
            <w:r>
              <w:rPr>
                <w:sz w:val="20"/>
              </w:rPr>
              <w:t>Gao et al., 2015</w:t>
            </w:r>
          </w:p>
        </w:tc>
      </w:tr>
      <w:tr>
        <w:trPr>
          <w:trHeight w:val="540" w:hRule="atLeast"/>
        </w:trPr>
        <w:tc>
          <w:tcPr>
            <w:tcW w:w="2201" w:type="dxa"/>
            <w:vMerge/>
            <w:tcBorders>
              <w:top w:val="nil"/>
            </w:tcBorders>
          </w:tcPr>
          <w:p>
            <w:pPr>
              <w:rPr>
                <w:sz w:val="2"/>
                <w:szCs w:val="2"/>
              </w:rPr>
            </w:pPr>
          </w:p>
        </w:tc>
        <w:tc>
          <w:tcPr>
            <w:tcW w:w="1481" w:type="dxa"/>
          </w:tcPr>
          <w:p>
            <w:pPr>
              <w:pStyle w:val="TableParagraph"/>
              <w:spacing w:line="273" w:lineRule="exact"/>
              <w:ind w:left="94" w:right="94"/>
              <w:jc w:val="center"/>
              <w:rPr>
                <w:b/>
                <w:sz w:val="24"/>
              </w:rPr>
            </w:pPr>
            <w:r>
              <w:rPr>
                <w:b/>
                <w:sz w:val="24"/>
              </w:rPr>
              <w:t>siARN</w:t>
            </w:r>
          </w:p>
        </w:tc>
        <w:tc>
          <w:tcPr>
            <w:tcW w:w="2132" w:type="dxa"/>
          </w:tcPr>
          <w:p>
            <w:pPr>
              <w:pStyle w:val="TableParagraph"/>
              <w:spacing w:line="268" w:lineRule="exact"/>
              <w:ind w:left="89" w:right="91"/>
              <w:jc w:val="center"/>
              <w:rPr>
                <w:sz w:val="24"/>
              </w:rPr>
            </w:pPr>
            <w:r>
              <w:rPr>
                <w:sz w:val="24"/>
              </w:rPr>
              <w:t>Différentes lignées</w:t>
            </w:r>
          </w:p>
        </w:tc>
        <w:tc>
          <w:tcPr>
            <w:tcW w:w="1839" w:type="dxa"/>
          </w:tcPr>
          <w:p>
            <w:pPr>
              <w:pStyle w:val="TableParagraph"/>
              <w:spacing w:line="268" w:lineRule="exact"/>
              <w:ind w:left="513" w:hanging="87"/>
              <w:rPr>
                <w:sz w:val="24"/>
              </w:rPr>
            </w:pPr>
            <w:r>
              <w:rPr>
                <w:sz w:val="24"/>
              </w:rPr>
              <w:t>Différents</w:t>
            </w:r>
          </w:p>
          <w:p>
            <w:pPr>
              <w:pStyle w:val="TableParagraph"/>
              <w:spacing w:line="264" w:lineRule="exact"/>
              <w:ind w:left="513"/>
              <w:rPr>
                <w:sz w:val="24"/>
              </w:rPr>
            </w:pPr>
            <w:r>
              <w:rPr>
                <w:sz w:val="24"/>
              </w:rPr>
              <w:t>modèles</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110" w:right="107"/>
              <w:jc w:val="center"/>
              <w:rPr>
                <w:sz w:val="20"/>
              </w:rPr>
            </w:pPr>
            <w:r>
              <w:rPr>
                <w:sz w:val="20"/>
              </w:rPr>
              <w:t>Goldberg et Sharp, 2012</w:t>
            </w:r>
          </w:p>
        </w:tc>
      </w:tr>
      <w:tr>
        <w:trPr>
          <w:trHeight w:val="260" w:hRule="atLeast"/>
        </w:trPr>
        <w:tc>
          <w:tcPr>
            <w:tcW w:w="2201" w:type="dxa"/>
          </w:tcPr>
          <w:p>
            <w:pPr>
              <w:pStyle w:val="TableParagraph"/>
              <w:spacing w:line="256" w:lineRule="exact"/>
              <w:ind w:left="172" w:right="171"/>
              <w:jc w:val="center"/>
              <w:rPr>
                <w:b/>
                <w:sz w:val="24"/>
              </w:rPr>
            </w:pPr>
            <w:r>
              <w:rPr>
                <w:b/>
                <w:color w:val="00AF50"/>
                <w:sz w:val="24"/>
              </w:rPr>
              <w:t>Activation PKM2</w:t>
            </w:r>
          </w:p>
        </w:tc>
        <w:tc>
          <w:tcPr>
            <w:tcW w:w="1481" w:type="dxa"/>
          </w:tcPr>
          <w:p>
            <w:pPr>
              <w:pStyle w:val="TableParagraph"/>
              <w:spacing w:line="256" w:lineRule="exact"/>
              <w:ind w:left="94" w:right="94"/>
              <w:jc w:val="center"/>
              <w:rPr>
                <w:b/>
                <w:sz w:val="24"/>
              </w:rPr>
            </w:pPr>
            <w:r>
              <w:rPr>
                <w:b/>
                <w:sz w:val="24"/>
              </w:rPr>
              <w:t>PA-12</w:t>
            </w:r>
          </w:p>
        </w:tc>
        <w:tc>
          <w:tcPr>
            <w:tcW w:w="2132" w:type="dxa"/>
          </w:tcPr>
          <w:p>
            <w:pPr>
              <w:pStyle w:val="TableParagraph"/>
              <w:spacing w:line="256" w:lineRule="exact"/>
              <w:ind w:left="87" w:right="91"/>
              <w:jc w:val="center"/>
              <w:rPr>
                <w:sz w:val="24"/>
              </w:rPr>
            </w:pPr>
            <w:r>
              <w:rPr>
                <w:sz w:val="24"/>
              </w:rPr>
              <w:t>Cancer du poumon</w:t>
            </w: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1" w:right="207"/>
              <w:jc w:val="center"/>
              <w:rPr>
                <w:sz w:val="20"/>
              </w:rPr>
            </w:pPr>
            <w:r>
              <w:rPr>
                <w:sz w:val="20"/>
              </w:rPr>
              <w:t>Kim et al., 2015</w:t>
            </w:r>
          </w:p>
        </w:tc>
      </w:tr>
      <w:tr>
        <w:trPr>
          <w:trHeight w:val="480" w:hRule="atLeast"/>
        </w:trPr>
        <w:tc>
          <w:tcPr>
            <w:tcW w:w="15317" w:type="dxa"/>
            <w:gridSpan w:val="7"/>
          </w:tcPr>
          <w:p>
            <w:pPr>
              <w:pStyle w:val="TableParagraph"/>
              <w:spacing w:line="317" w:lineRule="exact"/>
              <w:ind w:left="5231" w:right="5227"/>
              <w:jc w:val="center"/>
              <w:rPr>
                <w:b/>
                <w:sz w:val="28"/>
              </w:rPr>
            </w:pPr>
            <w:r>
              <w:rPr>
                <w:b/>
                <w:color w:val="6F2F9F"/>
                <w:sz w:val="28"/>
              </w:rPr>
              <w:t>Cibler la voie des pentoses phosphates</w:t>
            </w:r>
          </w:p>
        </w:tc>
      </w:tr>
      <w:tr>
        <w:trPr>
          <w:trHeight w:val="540" w:hRule="atLeast"/>
        </w:trPr>
        <w:tc>
          <w:tcPr>
            <w:tcW w:w="2201" w:type="dxa"/>
          </w:tcPr>
          <w:p>
            <w:pPr>
              <w:pStyle w:val="TableParagraph"/>
              <w:spacing w:line="273" w:lineRule="exact"/>
              <w:ind w:left="172" w:right="168"/>
              <w:jc w:val="center"/>
              <w:rPr>
                <w:b/>
                <w:sz w:val="24"/>
              </w:rPr>
            </w:pPr>
            <w:r>
              <w:rPr>
                <w:b/>
                <w:color w:val="00AF50"/>
                <w:sz w:val="24"/>
              </w:rPr>
              <w:t>Inhibition TKTL</w:t>
            </w:r>
          </w:p>
        </w:tc>
        <w:tc>
          <w:tcPr>
            <w:tcW w:w="1481" w:type="dxa"/>
          </w:tcPr>
          <w:p>
            <w:pPr>
              <w:pStyle w:val="TableParagraph"/>
              <w:spacing w:line="273" w:lineRule="exact"/>
              <w:ind w:left="94" w:right="95"/>
              <w:jc w:val="center"/>
              <w:rPr>
                <w:b/>
                <w:sz w:val="24"/>
              </w:rPr>
            </w:pPr>
            <w:r>
              <w:rPr>
                <w:b/>
                <w:sz w:val="24"/>
              </w:rPr>
              <w:t>Oxythiamin</w:t>
            </w:r>
          </w:p>
          <w:p>
            <w:pPr>
              <w:pStyle w:val="TableParagraph"/>
              <w:spacing w:line="259" w:lineRule="exact"/>
              <w:ind w:right="1"/>
              <w:jc w:val="center"/>
              <w:rPr>
                <w:b/>
                <w:sz w:val="24"/>
              </w:rPr>
            </w:pPr>
            <w:r>
              <w:rPr>
                <w:b/>
                <w:sz w:val="24"/>
              </w:rPr>
              <w:t>e</w:t>
            </w:r>
          </w:p>
        </w:tc>
        <w:tc>
          <w:tcPr>
            <w:tcW w:w="2132" w:type="dxa"/>
          </w:tcPr>
          <w:p>
            <w:pPr>
              <w:pStyle w:val="TableParagraph"/>
              <w:spacing w:line="268" w:lineRule="exact"/>
              <w:ind w:left="89" w:right="91"/>
              <w:jc w:val="center"/>
              <w:rPr>
                <w:sz w:val="24"/>
              </w:rPr>
            </w:pPr>
            <w:r>
              <w:rPr>
                <w:sz w:val="24"/>
              </w:rPr>
              <w:t>Différentes lignées</w:t>
            </w:r>
          </w:p>
        </w:tc>
        <w:tc>
          <w:tcPr>
            <w:tcW w:w="1839" w:type="dxa"/>
          </w:tcPr>
          <w:p>
            <w:pPr>
              <w:pStyle w:val="TableParagraph"/>
              <w:spacing w:line="268" w:lineRule="exact"/>
              <w:ind w:left="513" w:hanging="87"/>
              <w:rPr>
                <w:sz w:val="24"/>
              </w:rPr>
            </w:pPr>
            <w:r>
              <w:rPr>
                <w:sz w:val="24"/>
              </w:rPr>
              <w:t>Différents</w:t>
            </w:r>
          </w:p>
          <w:p>
            <w:pPr>
              <w:pStyle w:val="TableParagraph"/>
              <w:spacing w:line="264" w:lineRule="exact"/>
              <w:ind w:left="513"/>
              <w:rPr>
                <w:sz w:val="24"/>
              </w:rPr>
            </w:pPr>
            <w:r>
              <w:rPr>
                <w:sz w:val="24"/>
              </w:rPr>
              <w:t>modèles</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1" w:right="207"/>
              <w:jc w:val="center"/>
              <w:rPr>
                <w:sz w:val="20"/>
              </w:rPr>
            </w:pPr>
            <w:r>
              <w:rPr>
                <w:sz w:val="20"/>
              </w:rPr>
              <w:t>Xu et al., 2016</w:t>
            </w:r>
          </w:p>
        </w:tc>
      </w:tr>
      <w:tr>
        <w:trPr>
          <w:trHeight w:val="820" w:hRule="atLeast"/>
        </w:trPr>
        <w:tc>
          <w:tcPr>
            <w:tcW w:w="2201" w:type="dxa"/>
            <w:vMerge w:val="restart"/>
          </w:tcPr>
          <w:p>
            <w:pPr>
              <w:pStyle w:val="TableParagraph"/>
              <w:spacing w:line="273" w:lineRule="exact"/>
              <w:ind w:left="239"/>
              <w:rPr>
                <w:b/>
                <w:sz w:val="24"/>
              </w:rPr>
            </w:pPr>
            <w:r>
              <w:rPr>
                <w:b/>
                <w:color w:val="00AF50"/>
                <w:sz w:val="24"/>
              </w:rPr>
              <w:t>Inhibition G6PD</w:t>
            </w:r>
          </w:p>
        </w:tc>
        <w:tc>
          <w:tcPr>
            <w:tcW w:w="1481" w:type="dxa"/>
          </w:tcPr>
          <w:p>
            <w:pPr>
              <w:pStyle w:val="TableParagraph"/>
              <w:spacing w:line="273" w:lineRule="exact"/>
              <w:ind w:left="93" w:right="95"/>
              <w:jc w:val="center"/>
              <w:rPr>
                <w:b/>
                <w:sz w:val="24"/>
              </w:rPr>
            </w:pPr>
            <w:r>
              <w:rPr>
                <w:b/>
                <w:sz w:val="24"/>
              </w:rPr>
              <w:t>6-AN</w:t>
            </w:r>
          </w:p>
        </w:tc>
        <w:tc>
          <w:tcPr>
            <w:tcW w:w="2132" w:type="dxa"/>
          </w:tcPr>
          <w:p>
            <w:pPr>
              <w:pStyle w:val="TableParagraph"/>
              <w:spacing w:line="268" w:lineRule="exact"/>
              <w:ind w:left="89" w:right="91"/>
              <w:jc w:val="center"/>
              <w:rPr>
                <w:sz w:val="24"/>
              </w:rPr>
            </w:pPr>
            <w:r>
              <w:rPr>
                <w:sz w:val="24"/>
              </w:rPr>
              <w:t>Différentes lignées</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tcPr>
          <w:p>
            <w:pPr>
              <w:pStyle w:val="TableParagraph"/>
              <w:ind w:left="143" w:right="143"/>
              <w:jc w:val="center"/>
              <w:rPr>
                <w:i/>
                <w:sz w:val="24"/>
              </w:rPr>
            </w:pPr>
            <w:r>
              <w:rPr>
                <w:sz w:val="24"/>
              </w:rPr>
              <w:t>Gliome, carcinome épidermoïde </w:t>
            </w:r>
            <w:r>
              <w:rPr>
                <w:i/>
                <w:sz w:val="24"/>
              </w:rPr>
              <w:t>(in</w:t>
            </w:r>
          </w:p>
          <w:p>
            <w:pPr>
              <w:pStyle w:val="TableParagraph"/>
              <w:spacing w:line="264" w:lineRule="exact" w:before="8"/>
              <w:ind w:left="143" w:right="143"/>
              <w:jc w:val="center"/>
              <w:rPr>
                <w:i/>
                <w:sz w:val="24"/>
              </w:rPr>
            </w:pPr>
            <w:r>
              <w:rPr>
                <w:i/>
                <w:sz w:val="24"/>
              </w:rPr>
              <w:t>vitro)</w:t>
            </w:r>
          </w:p>
        </w:tc>
        <w:tc>
          <w:tcPr>
            <w:tcW w:w="2405" w:type="dxa"/>
          </w:tcPr>
          <w:p>
            <w:pPr>
              <w:pStyle w:val="TableParagraph"/>
              <w:spacing w:line="223" w:lineRule="exact"/>
              <w:ind w:left="209" w:right="207"/>
              <w:jc w:val="center"/>
              <w:rPr>
                <w:sz w:val="20"/>
              </w:rPr>
            </w:pPr>
            <w:r>
              <w:rPr>
                <w:sz w:val="20"/>
              </w:rPr>
              <w:t>Varshney et al., 2005</w:t>
            </w:r>
          </w:p>
        </w:tc>
      </w:tr>
      <w:tr>
        <w:trPr>
          <w:trHeight w:val="260" w:hRule="atLeast"/>
        </w:trPr>
        <w:tc>
          <w:tcPr>
            <w:tcW w:w="2201" w:type="dxa"/>
            <w:vMerge/>
            <w:tcBorders>
              <w:top w:val="nil"/>
            </w:tcBorders>
          </w:tcPr>
          <w:p>
            <w:pPr>
              <w:rPr>
                <w:sz w:val="2"/>
                <w:szCs w:val="2"/>
              </w:rPr>
            </w:pPr>
          </w:p>
        </w:tc>
        <w:tc>
          <w:tcPr>
            <w:tcW w:w="1481" w:type="dxa"/>
          </w:tcPr>
          <w:p>
            <w:pPr>
              <w:pStyle w:val="TableParagraph"/>
              <w:spacing w:line="256" w:lineRule="exact"/>
              <w:ind w:left="94" w:right="95"/>
              <w:jc w:val="center"/>
              <w:rPr>
                <w:b/>
                <w:sz w:val="24"/>
              </w:rPr>
            </w:pPr>
            <w:r>
              <w:rPr>
                <w:b/>
                <w:sz w:val="24"/>
              </w:rPr>
              <w:t>Imatinib</w:t>
            </w:r>
          </w:p>
        </w:tc>
        <w:tc>
          <w:tcPr>
            <w:tcW w:w="2132" w:type="dxa"/>
          </w:tcPr>
          <w:p>
            <w:pPr>
              <w:pStyle w:val="TableParagraph"/>
              <w:spacing w:line="256" w:lineRule="exact"/>
              <w:ind w:left="90" w:right="91"/>
              <w:jc w:val="center"/>
              <w:rPr>
                <w:sz w:val="24"/>
              </w:rPr>
            </w:pPr>
            <w:r>
              <w:rPr>
                <w:sz w:val="24"/>
              </w:rPr>
              <w:t>Leucémie</w:t>
            </w: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2" w:right="207"/>
              <w:jc w:val="center"/>
              <w:rPr>
                <w:sz w:val="20"/>
              </w:rPr>
            </w:pPr>
            <w:r>
              <w:rPr>
                <w:sz w:val="20"/>
              </w:rPr>
              <w:t>Pelicano et al., 2006</w:t>
            </w:r>
          </w:p>
        </w:tc>
      </w:tr>
      <w:tr>
        <w:trPr>
          <w:trHeight w:val="480" w:hRule="atLeast"/>
        </w:trPr>
        <w:tc>
          <w:tcPr>
            <w:tcW w:w="15317" w:type="dxa"/>
            <w:gridSpan w:val="7"/>
          </w:tcPr>
          <w:p>
            <w:pPr>
              <w:pStyle w:val="TableParagraph"/>
              <w:spacing w:line="320" w:lineRule="exact"/>
              <w:ind w:left="5231" w:right="5227"/>
              <w:jc w:val="center"/>
              <w:rPr>
                <w:b/>
                <w:sz w:val="28"/>
              </w:rPr>
            </w:pPr>
            <w:r>
              <w:rPr>
                <w:b/>
                <w:color w:val="6F2F9F"/>
                <w:sz w:val="28"/>
              </w:rPr>
              <w:t>Cibler la glutaminolyse</w:t>
            </w:r>
          </w:p>
        </w:tc>
      </w:tr>
      <w:tr>
        <w:trPr>
          <w:trHeight w:val="260" w:hRule="atLeast"/>
        </w:trPr>
        <w:tc>
          <w:tcPr>
            <w:tcW w:w="2201" w:type="dxa"/>
          </w:tcPr>
          <w:p>
            <w:pPr>
              <w:pStyle w:val="TableParagraph"/>
              <w:rPr>
                <w:sz w:val="20"/>
              </w:rPr>
            </w:pPr>
          </w:p>
        </w:tc>
        <w:tc>
          <w:tcPr>
            <w:tcW w:w="1481" w:type="dxa"/>
          </w:tcPr>
          <w:p>
            <w:pPr>
              <w:pStyle w:val="TableParagraph"/>
              <w:spacing w:line="258" w:lineRule="exact"/>
              <w:ind w:left="94" w:right="95"/>
              <w:jc w:val="center"/>
              <w:rPr>
                <w:b/>
                <w:sz w:val="24"/>
              </w:rPr>
            </w:pPr>
            <w:r>
              <w:rPr>
                <w:b/>
                <w:sz w:val="24"/>
              </w:rPr>
              <w:t>BPTES</w:t>
            </w:r>
          </w:p>
        </w:tc>
        <w:tc>
          <w:tcPr>
            <w:tcW w:w="2132" w:type="dxa"/>
          </w:tcPr>
          <w:p>
            <w:pPr>
              <w:pStyle w:val="TableParagraph"/>
              <w:spacing w:line="258" w:lineRule="exact"/>
              <w:ind w:left="89" w:right="91"/>
              <w:jc w:val="center"/>
              <w:rPr>
                <w:sz w:val="24"/>
              </w:rPr>
            </w:pPr>
            <w:r>
              <w:rPr>
                <w:sz w:val="24"/>
              </w:rPr>
              <w:t>Différentes lignées</w:t>
            </w: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5" w:lineRule="exact"/>
              <w:ind w:left="211" w:right="207"/>
              <w:jc w:val="center"/>
              <w:rPr>
                <w:sz w:val="20"/>
              </w:rPr>
            </w:pPr>
            <w:r>
              <w:rPr>
                <w:sz w:val="20"/>
              </w:rPr>
              <w:t>Robinson et al., 2007</w:t>
            </w:r>
          </w:p>
        </w:tc>
      </w:tr>
    </w:tbl>
    <w:p>
      <w:pPr>
        <w:spacing w:after="0" w:line="225" w:lineRule="exact"/>
        <w:jc w:val="center"/>
        <w:rPr>
          <w:sz w:val="20"/>
        </w:rPr>
        <w:sectPr>
          <w:pgSz w:w="16840" w:h="11910" w:orient="landscape"/>
          <w:pgMar w:header="0" w:footer="998" w:top="1100" w:bottom="1180" w:left="640" w:right="640"/>
        </w:sectPr>
      </w:pPr>
    </w:p>
    <w:p>
      <w:pPr>
        <w:pStyle w:val="BodyText"/>
        <w:spacing w:before="1" w:after="1"/>
        <w:rPr>
          <w:sz w:val="2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1"/>
        <w:gridCol w:w="1481"/>
        <w:gridCol w:w="2132"/>
        <w:gridCol w:w="1839"/>
        <w:gridCol w:w="3123"/>
        <w:gridCol w:w="2136"/>
        <w:gridCol w:w="2405"/>
      </w:tblGrid>
      <w:tr>
        <w:trPr>
          <w:trHeight w:val="540" w:hRule="atLeast"/>
        </w:trPr>
        <w:tc>
          <w:tcPr>
            <w:tcW w:w="2201" w:type="dxa"/>
            <w:vMerge w:val="restart"/>
          </w:tcPr>
          <w:p>
            <w:pPr>
              <w:pStyle w:val="TableParagraph"/>
              <w:ind w:left="477" w:right="454" w:firstLine="105"/>
              <w:rPr>
                <w:b/>
                <w:sz w:val="24"/>
              </w:rPr>
            </w:pPr>
            <w:r>
              <w:rPr>
                <w:b/>
                <w:color w:val="00AF50"/>
                <w:sz w:val="24"/>
              </w:rPr>
              <w:t>Inhibition glutaminase</w:t>
            </w:r>
          </w:p>
        </w:tc>
        <w:tc>
          <w:tcPr>
            <w:tcW w:w="1481" w:type="dxa"/>
          </w:tcPr>
          <w:p>
            <w:pPr>
              <w:pStyle w:val="TableParagraph"/>
              <w:spacing w:line="276" w:lineRule="exact"/>
              <w:ind w:left="554" w:right="243" w:hanging="293"/>
              <w:rPr>
                <w:b/>
                <w:sz w:val="24"/>
              </w:rPr>
            </w:pPr>
            <w:r>
              <w:rPr>
                <w:b/>
                <w:sz w:val="24"/>
              </w:rPr>
              <w:t>Composé 968</w:t>
            </w:r>
          </w:p>
        </w:tc>
        <w:tc>
          <w:tcPr>
            <w:tcW w:w="2132" w:type="dxa"/>
          </w:tcPr>
          <w:p>
            <w:pPr>
              <w:pStyle w:val="TableParagraph"/>
              <w:spacing w:line="268" w:lineRule="exact"/>
              <w:ind w:left="396" w:hanging="49"/>
              <w:rPr>
                <w:sz w:val="24"/>
              </w:rPr>
            </w:pPr>
            <w:r>
              <w:rPr>
                <w:sz w:val="24"/>
              </w:rPr>
              <w:t>Cancer du sein</w:t>
            </w:r>
          </w:p>
          <w:p>
            <w:pPr>
              <w:pStyle w:val="TableParagraph"/>
              <w:spacing w:line="264" w:lineRule="exact"/>
              <w:ind w:left="396"/>
              <w:rPr>
                <w:sz w:val="24"/>
              </w:rPr>
            </w:pPr>
            <w:r>
              <w:rPr>
                <w:sz w:val="24"/>
              </w:rPr>
              <w:t>Lymphome B</w:t>
            </w:r>
          </w:p>
        </w:tc>
        <w:tc>
          <w:tcPr>
            <w:tcW w:w="1839" w:type="dxa"/>
            <w:shd w:val="clear" w:color="auto" w:fill="D9D9D9"/>
          </w:tcPr>
          <w:p>
            <w:pPr>
              <w:pStyle w:val="TableParagraph"/>
              <w:rPr>
                <w:sz w:val="22"/>
              </w:rPr>
            </w:pPr>
          </w:p>
        </w:tc>
        <w:tc>
          <w:tcPr>
            <w:tcW w:w="3123" w:type="dxa"/>
          </w:tcPr>
          <w:p>
            <w:pPr>
              <w:pStyle w:val="TableParagraph"/>
              <w:spacing w:line="268" w:lineRule="exact"/>
              <w:ind w:left="92" w:right="92"/>
              <w:jc w:val="center"/>
              <w:rPr>
                <w:i/>
                <w:sz w:val="24"/>
              </w:rPr>
            </w:pPr>
            <w:r>
              <w:rPr>
                <w:sz w:val="24"/>
              </w:rPr>
              <w:t>Cancer du poumon : </w:t>
            </w:r>
            <w:r>
              <w:rPr>
                <w:i/>
                <w:sz w:val="24"/>
              </w:rPr>
              <w:t>erlotinib</w:t>
            </w:r>
          </w:p>
        </w:tc>
        <w:tc>
          <w:tcPr>
            <w:tcW w:w="2136" w:type="dxa"/>
            <w:shd w:val="clear" w:color="auto" w:fill="D9D9D9"/>
          </w:tcPr>
          <w:p>
            <w:pPr>
              <w:pStyle w:val="TableParagraph"/>
              <w:rPr>
                <w:sz w:val="22"/>
              </w:rPr>
            </w:pPr>
          </w:p>
        </w:tc>
        <w:tc>
          <w:tcPr>
            <w:tcW w:w="2405" w:type="dxa"/>
          </w:tcPr>
          <w:p>
            <w:pPr>
              <w:pStyle w:val="TableParagraph"/>
              <w:ind w:left="585" w:right="467" w:hanging="94"/>
              <w:rPr>
                <w:sz w:val="20"/>
              </w:rPr>
            </w:pPr>
            <w:r>
              <w:rPr>
                <w:sz w:val="20"/>
              </w:rPr>
              <w:t>Wang et al., 2010 Xie et al., 2016</w:t>
            </w:r>
          </w:p>
        </w:tc>
      </w:tr>
      <w:tr>
        <w:trPr>
          <w:trHeight w:val="540" w:hRule="atLeast"/>
        </w:trPr>
        <w:tc>
          <w:tcPr>
            <w:tcW w:w="2201" w:type="dxa"/>
            <w:vMerge/>
            <w:tcBorders>
              <w:top w:val="nil"/>
            </w:tcBorders>
          </w:tcPr>
          <w:p>
            <w:pPr>
              <w:rPr>
                <w:sz w:val="2"/>
                <w:szCs w:val="2"/>
              </w:rPr>
            </w:pPr>
          </w:p>
        </w:tc>
        <w:tc>
          <w:tcPr>
            <w:tcW w:w="1481" w:type="dxa"/>
          </w:tcPr>
          <w:p>
            <w:pPr>
              <w:pStyle w:val="TableParagraph"/>
              <w:spacing w:line="273" w:lineRule="exact"/>
              <w:ind w:left="94" w:right="94"/>
              <w:jc w:val="center"/>
              <w:rPr>
                <w:b/>
                <w:sz w:val="24"/>
              </w:rPr>
            </w:pPr>
            <w:r>
              <w:rPr>
                <w:b/>
                <w:sz w:val="24"/>
              </w:rPr>
              <w:t>Composé</w:t>
            </w:r>
          </w:p>
          <w:p>
            <w:pPr>
              <w:pStyle w:val="TableParagraph"/>
              <w:spacing w:line="259" w:lineRule="exact"/>
              <w:ind w:left="94" w:right="94"/>
              <w:jc w:val="center"/>
              <w:rPr>
                <w:b/>
                <w:sz w:val="24"/>
              </w:rPr>
            </w:pPr>
            <w:r>
              <w:rPr>
                <w:b/>
                <w:sz w:val="24"/>
              </w:rPr>
              <w:t>839</w:t>
            </w:r>
          </w:p>
        </w:tc>
        <w:tc>
          <w:tcPr>
            <w:tcW w:w="2132" w:type="dxa"/>
            <w:tcBorders>
              <w:right w:val="nil"/>
            </w:tcBorders>
          </w:tcPr>
          <w:p>
            <w:pPr>
              <w:pStyle w:val="TableParagraph"/>
              <w:spacing w:line="268" w:lineRule="exact"/>
              <w:ind w:right="1"/>
              <w:jc w:val="right"/>
              <w:rPr>
                <w:sz w:val="24"/>
              </w:rPr>
            </w:pPr>
            <w:r>
              <w:rPr>
                <w:sz w:val="24"/>
              </w:rPr>
              <w:t>Cancer d</w:t>
            </w:r>
          </w:p>
        </w:tc>
        <w:tc>
          <w:tcPr>
            <w:tcW w:w="1839" w:type="dxa"/>
            <w:tcBorders>
              <w:left w:val="nil"/>
            </w:tcBorders>
          </w:tcPr>
          <w:p>
            <w:pPr>
              <w:pStyle w:val="TableParagraph"/>
              <w:spacing w:line="268" w:lineRule="exact"/>
              <w:ind w:left="-2"/>
              <w:rPr>
                <w:sz w:val="24"/>
              </w:rPr>
            </w:pPr>
            <w:r>
              <w:rPr>
                <w:sz w:val="24"/>
              </w:rPr>
              <w:t>u sein</w:t>
            </w:r>
          </w:p>
        </w:tc>
        <w:tc>
          <w:tcPr>
            <w:tcW w:w="3123" w:type="dxa"/>
          </w:tcPr>
          <w:p>
            <w:pPr>
              <w:pStyle w:val="TableParagraph"/>
              <w:spacing w:line="268" w:lineRule="exact"/>
              <w:ind w:left="91" w:right="93"/>
              <w:jc w:val="center"/>
              <w:rPr>
                <w:i/>
                <w:sz w:val="24"/>
              </w:rPr>
            </w:pPr>
            <w:r>
              <w:rPr>
                <w:sz w:val="24"/>
              </w:rPr>
              <w:t>Cancer du sein : </w:t>
            </w:r>
            <w:r>
              <w:rPr>
                <w:i/>
                <w:sz w:val="24"/>
              </w:rPr>
              <w:t>paclitaxel</w:t>
            </w:r>
          </w:p>
        </w:tc>
        <w:tc>
          <w:tcPr>
            <w:tcW w:w="2136" w:type="dxa"/>
            <w:shd w:val="clear" w:color="auto" w:fill="D9D9D9"/>
          </w:tcPr>
          <w:p>
            <w:pPr>
              <w:pStyle w:val="TableParagraph"/>
              <w:rPr>
                <w:sz w:val="22"/>
              </w:rPr>
            </w:pPr>
          </w:p>
        </w:tc>
        <w:tc>
          <w:tcPr>
            <w:tcW w:w="2405" w:type="dxa"/>
          </w:tcPr>
          <w:p>
            <w:pPr>
              <w:pStyle w:val="TableParagraph"/>
              <w:spacing w:line="223" w:lineRule="exact"/>
              <w:ind w:left="210" w:right="207"/>
              <w:jc w:val="center"/>
              <w:rPr>
                <w:sz w:val="20"/>
              </w:rPr>
            </w:pPr>
            <w:r>
              <w:rPr>
                <w:sz w:val="20"/>
              </w:rPr>
              <w:t>Gross et al., 2014</w:t>
            </w:r>
          </w:p>
        </w:tc>
      </w:tr>
      <w:tr>
        <w:trPr>
          <w:trHeight w:val="280" w:hRule="atLeast"/>
        </w:trPr>
        <w:tc>
          <w:tcPr>
            <w:tcW w:w="2201" w:type="dxa"/>
            <w:vMerge/>
            <w:tcBorders>
              <w:top w:val="nil"/>
            </w:tcBorders>
          </w:tcPr>
          <w:p>
            <w:pPr>
              <w:rPr>
                <w:sz w:val="2"/>
                <w:szCs w:val="2"/>
              </w:rPr>
            </w:pPr>
          </w:p>
        </w:tc>
        <w:tc>
          <w:tcPr>
            <w:tcW w:w="1481" w:type="dxa"/>
          </w:tcPr>
          <w:p>
            <w:pPr>
              <w:pStyle w:val="TableParagraph"/>
              <w:spacing w:line="273" w:lineRule="exact"/>
              <w:ind w:left="94" w:right="95"/>
              <w:jc w:val="center"/>
              <w:rPr>
                <w:b/>
                <w:sz w:val="24"/>
              </w:rPr>
            </w:pPr>
            <w:r>
              <w:rPr>
                <w:b/>
                <w:sz w:val="24"/>
              </w:rPr>
              <w:t>DON</w:t>
            </w:r>
          </w:p>
        </w:tc>
        <w:tc>
          <w:tcPr>
            <w:tcW w:w="2132" w:type="dxa"/>
            <w:tcBorders>
              <w:right w:val="nil"/>
            </w:tcBorders>
          </w:tcPr>
          <w:p>
            <w:pPr>
              <w:pStyle w:val="TableParagraph"/>
              <w:spacing w:line="268" w:lineRule="exact"/>
              <w:ind w:right="24"/>
              <w:jc w:val="right"/>
              <w:rPr>
                <w:sz w:val="24"/>
              </w:rPr>
            </w:pPr>
            <w:r>
              <w:rPr>
                <w:sz w:val="24"/>
              </w:rPr>
              <w:t>Cancer mét</w:t>
            </w:r>
          </w:p>
        </w:tc>
        <w:tc>
          <w:tcPr>
            <w:tcW w:w="1839" w:type="dxa"/>
            <w:tcBorders>
              <w:left w:val="nil"/>
            </w:tcBorders>
          </w:tcPr>
          <w:p>
            <w:pPr>
              <w:pStyle w:val="TableParagraph"/>
              <w:spacing w:line="268" w:lineRule="exact"/>
              <w:ind w:left="-25"/>
              <w:rPr>
                <w:sz w:val="24"/>
              </w:rPr>
            </w:pPr>
            <w:r>
              <w:rPr>
                <w:sz w:val="24"/>
              </w:rPr>
              <w:t>astatique</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08" w:right="207"/>
              <w:jc w:val="center"/>
              <w:rPr>
                <w:sz w:val="20"/>
              </w:rPr>
            </w:pPr>
            <w:r>
              <w:rPr>
                <w:sz w:val="20"/>
              </w:rPr>
              <w:t>Shelton et al. 2010</w:t>
            </w:r>
          </w:p>
        </w:tc>
      </w:tr>
      <w:tr>
        <w:trPr>
          <w:trHeight w:val="260" w:hRule="atLeast"/>
        </w:trPr>
        <w:tc>
          <w:tcPr>
            <w:tcW w:w="2201" w:type="dxa"/>
            <w:vMerge w:val="restart"/>
          </w:tcPr>
          <w:p>
            <w:pPr>
              <w:pStyle w:val="TableParagraph"/>
              <w:ind w:left="283" w:right="279" w:firstLine="1"/>
              <w:jc w:val="center"/>
              <w:rPr>
                <w:b/>
                <w:sz w:val="24"/>
              </w:rPr>
            </w:pPr>
            <w:r>
              <w:rPr>
                <w:b/>
                <w:color w:val="00AF50"/>
                <w:sz w:val="24"/>
              </w:rPr>
              <w:t>Inhibition glutamate</w:t>
            </w:r>
          </w:p>
          <w:p>
            <w:pPr>
              <w:pStyle w:val="TableParagraph"/>
              <w:spacing w:line="271" w:lineRule="exact" w:before="3"/>
              <w:ind w:left="172" w:right="171"/>
              <w:jc w:val="center"/>
              <w:rPr>
                <w:b/>
                <w:sz w:val="24"/>
              </w:rPr>
            </w:pPr>
            <w:r>
              <w:rPr>
                <w:b/>
                <w:color w:val="00AF50"/>
                <w:sz w:val="24"/>
              </w:rPr>
              <w:t>déshydrogénase</w:t>
            </w:r>
          </w:p>
        </w:tc>
        <w:tc>
          <w:tcPr>
            <w:tcW w:w="1481" w:type="dxa"/>
          </w:tcPr>
          <w:p>
            <w:pPr>
              <w:pStyle w:val="TableParagraph"/>
              <w:spacing w:line="257" w:lineRule="exact"/>
              <w:ind w:left="94" w:right="94"/>
              <w:jc w:val="center"/>
              <w:rPr>
                <w:b/>
                <w:sz w:val="24"/>
              </w:rPr>
            </w:pPr>
            <w:r>
              <w:rPr>
                <w:b/>
                <w:sz w:val="24"/>
              </w:rPr>
              <w:t>siARN</w:t>
            </w:r>
          </w:p>
        </w:tc>
        <w:tc>
          <w:tcPr>
            <w:tcW w:w="2132" w:type="dxa"/>
          </w:tcPr>
          <w:p>
            <w:pPr>
              <w:pStyle w:val="TableParagraph"/>
              <w:spacing w:line="257" w:lineRule="exact"/>
              <w:ind w:left="413"/>
              <w:rPr>
                <w:sz w:val="24"/>
              </w:rPr>
            </w:pPr>
            <w:r>
              <w:rPr>
                <w:sz w:val="24"/>
              </w:rPr>
              <w:t>Glioblastome</w:t>
            </w: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4" w:right="207"/>
              <w:jc w:val="center"/>
              <w:rPr>
                <w:sz w:val="20"/>
              </w:rPr>
            </w:pPr>
            <w:r>
              <w:rPr>
                <w:sz w:val="20"/>
              </w:rPr>
              <w:t>Yang et al., 2009</w:t>
            </w:r>
          </w:p>
        </w:tc>
      </w:tr>
      <w:tr>
        <w:trPr>
          <w:trHeight w:val="540" w:hRule="atLeast"/>
        </w:trPr>
        <w:tc>
          <w:tcPr>
            <w:tcW w:w="2201" w:type="dxa"/>
            <w:vMerge/>
            <w:tcBorders>
              <w:top w:val="nil"/>
            </w:tcBorders>
          </w:tcPr>
          <w:p>
            <w:pPr>
              <w:rPr>
                <w:sz w:val="2"/>
                <w:szCs w:val="2"/>
              </w:rPr>
            </w:pPr>
          </w:p>
        </w:tc>
        <w:tc>
          <w:tcPr>
            <w:tcW w:w="1481" w:type="dxa"/>
          </w:tcPr>
          <w:p>
            <w:pPr>
              <w:pStyle w:val="TableParagraph"/>
              <w:spacing w:line="274" w:lineRule="exact"/>
              <w:ind w:left="94" w:right="95"/>
              <w:jc w:val="center"/>
              <w:rPr>
                <w:b/>
                <w:sz w:val="24"/>
              </w:rPr>
            </w:pPr>
            <w:r>
              <w:rPr>
                <w:b/>
                <w:sz w:val="24"/>
              </w:rPr>
              <w:t>R162</w:t>
            </w:r>
          </w:p>
        </w:tc>
        <w:tc>
          <w:tcPr>
            <w:tcW w:w="2132" w:type="dxa"/>
          </w:tcPr>
          <w:p>
            <w:pPr>
              <w:pStyle w:val="TableParagraph"/>
              <w:spacing w:line="269" w:lineRule="exact"/>
              <w:ind w:left="87" w:right="91"/>
              <w:jc w:val="center"/>
              <w:rPr>
                <w:sz w:val="24"/>
              </w:rPr>
            </w:pPr>
            <w:r>
              <w:rPr>
                <w:sz w:val="24"/>
              </w:rPr>
              <w:t>Cancer du poumon</w:t>
            </w:r>
          </w:p>
          <w:p>
            <w:pPr>
              <w:pStyle w:val="TableParagraph"/>
              <w:spacing w:line="264" w:lineRule="exact"/>
              <w:ind w:left="90" w:right="91"/>
              <w:jc w:val="center"/>
              <w:rPr>
                <w:sz w:val="24"/>
              </w:rPr>
            </w:pPr>
            <w:r>
              <w:rPr>
                <w:sz w:val="24"/>
              </w:rPr>
              <w:t>Cancer du sein</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4" w:lineRule="exact"/>
              <w:ind w:left="212" w:right="207"/>
              <w:jc w:val="center"/>
              <w:rPr>
                <w:sz w:val="20"/>
              </w:rPr>
            </w:pPr>
            <w:r>
              <w:rPr>
                <w:sz w:val="20"/>
              </w:rPr>
              <w:t>Jin et al., 2015</w:t>
            </w:r>
          </w:p>
        </w:tc>
      </w:tr>
      <w:tr>
        <w:trPr>
          <w:trHeight w:val="540" w:hRule="atLeast"/>
        </w:trPr>
        <w:tc>
          <w:tcPr>
            <w:tcW w:w="2201" w:type="dxa"/>
          </w:tcPr>
          <w:p>
            <w:pPr>
              <w:pStyle w:val="TableParagraph"/>
              <w:spacing w:line="276" w:lineRule="exact"/>
              <w:ind w:left="410" w:right="130" w:hanging="257"/>
              <w:rPr>
                <w:b/>
                <w:sz w:val="24"/>
              </w:rPr>
            </w:pPr>
            <w:r>
              <w:rPr>
                <w:b/>
                <w:color w:val="00AF50"/>
                <w:sz w:val="24"/>
              </w:rPr>
              <w:t>Inhibition Alanine transaminase</w:t>
            </w:r>
          </w:p>
        </w:tc>
        <w:tc>
          <w:tcPr>
            <w:tcW w:w="1481" w:type="dxa"/>
          </w:tcPr>
          <w:p>
            <w:pPr>
              <w:pStyle w:val="TableParagraph"/>
              <w:spacing w:line="273" w:lineRule="exact"/>
              <w:ind w:left="94" w:right="95"/>
              <w:jc w:val="center"/>
              <w:rPr>
                <w:b/>
                <w:sz w:val="24"/>
              </w:rPr>
            </w:pPr>
            <w:r>
              <w:rPr>
                <w:b/>
                <w:sz w:val="24"/>
              </w:rPr>
              <w:t>L-</w:t>
            </w:r>
          </w:p>
          <w:p>
            <w:pPr>
              <w:pStyle w:val="TableParagraph"/>
              <w:spacing w:line="259" w:lineRule="exact"/>
              <w:ind w:left="93" w:right="95"/>
              <w:jc w:val="center"/>
              <w:rPr>
                <w:b/>
                <w:sz w:val="24"/>
              </w:rPr>
            </w:pPr>
            <w:r>
              <w:rPr>
                <w:b/>
                <w:sz w:val="24"/>
              </w:rPr>
              <w:t>cycloserine</w:t>
            </w:r>
          </w:p>
        </w:tc>
        <w:tc>
          <w:tcPr>
            <w:tcW w:w="2132" w:type="dxa"/>
            <w:shd w:val="clear" w:color="auto" w:fill="D9D9D9"/>
          </w:tcPr>
          <w:p>
            <w:pPr>
              <w:pStyle w:val="TableParagraph"/>
              <w:rPr>
                <w:sz w:val="22"/>
              </w:rPr>
            </w:pP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4" w:lineRule="exact"/>
              <w:ind w:left="214" w:right="207"/>
              <w:jc w:val="center"/>
              <w:rPr>
                <w:sz w:val="20"/>
              </w:rPr>
            </w:pPr>
            <w:r>
              <w:rPr>
                <w:sz w:val="20"/>
              </w:rPr>
              <w:t>Beuster et al., 2011</w:t>
            </w:r>
          </w:p>
        </w:tc>
      </w:tr>
      <w:tr>
        <w:trPr>
          <w:trHeight w:val="819" w:hRule="atLeast"/>
        </w:trPr>
        <w:tc>
          <w:tcPr>
            <w:tcW w:w="2201" w:type="dxa"/>
          </w:tcPr>
          <w:p>
            <w:pPr>
              <w:pStyle w:val="TableParagraph"/>
              <w:spacing w:line="272" w:lineRule="exact"/>
              <w:ind w:left="172" w:right="171"/>
              <w:jc w:val="center"/>
              <w:rPr>
                <w:b/>
                <w:sz w:val="24"/>
              </w:rPr>
            </w:pPr>
            <w:r>
              <w:rPr>
                <w:b/>
                <w:color w:val="00AF50"/>
                <w:sz w:val="24"/>
              </w:rPr>
              <w:t>Inhibition</w:t>
            </w:r>
          </w:p>
          <w:p>
            <w:pPr>
              <w:pStyle w:val="TableParagraph"/>
              <w:spacing w:line="270" w:lineRule="atLeast"/>
              <w:ind w:left="410" w:right="406" w:firstLine="4"/>
              <w:jc w:val="center"/>
              <w:rPr>
                <w:b/>
                <w:sz w:val="24"/>
              </w:rPr>
            </w:pPr>
            <w:r>
              <w:rPr>
                <w:b/>
                <w:color w:val="00AF50"/>
                <w:sz w:val="24"/>
              </w:rPr>
              <w:t>Aspartate transaminase</w:t>
            </w:r>
          </w:p>
        </w:tc>
        <w:tc>
          <w:tcPr>
            <w:tcW w:w="1481" w:type="dxa"/>
          </w:tcPr>
          <w:p>
            <w:pPr>
              <w:pStyle w:val="TableParagraph"/>
              <w:ind w:left="160" w:right="144" w:firstLine="228"/>
              <w:rPr>
                <w:b/>
                <w:sz w:val="24"/>
              </w:rPr>
            </w:pPr>
            <w:r>
              <w:rPr>
                <w:b/>
                <w:sz w:val="24"/>
              </w:rPr>
              <w:t>Amino Oxyacetate</w:t>
            </w:r>
          </w:p>
        </w:tc>
        <w:tc>
          <w:tcPr>
            <w:tcW w:w="2132" w:type="dxa"/>
            <w:shd w:val="clear" w:color="auto" w:fill="D9D9D9"/>
          </w:tcPr>
          <w:p>
            <w:pPr>
              <w:pStyle w:val="TableParagraph"/>
              <w:rPr>
                <w:sz w:val="22"/>
              </w:rPr>
            </w:pP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4" w:right="207"/>
              <w:jc w:val="center"/>
              <w:rPr>
                <w:sz w:val="20"/>
              </w:rPr>
            </w:pPr>
            <w:r>
              <w:rPr>
                <w:sz w:val="20"/>
              </w:rPr>
              <w:t>Thornburg et al., 2008</w:t>
            </w:r>
          </w:p>
        </w:tc>
      </w:tr>
      <w:tr>
        <w:trPr>
          <w:trHeight w:val="480" w:hRule="atLeast"/>
        </w:trPr>
        <w:tc>
          <w:tcPr>
            <w:tcW w:w="15317" w:type="dxa"/>
            <w:gridSpan w:val="7"/>
          </w:tcPr>
          <w:p>
            <w:pPr>
              <w:pStyle w:val="TableParagraph"/>
              <w:spacing w:line="317" w:lineRule="exact"/>
              <w:ind w:left="5161" w:right="5227"/>
              <w:jc w:val="center"/>
              <w:rPr>
                <w:b/>
                <w:sz w:val="28"/>
              </w:rPr>
            </w:pPr>
            <w:r>
              <w:rPr>
                <w:b/>
                <w:color w:val="6F2F9F"/>
                <w:sz w:val="28"/>
              </w:rPr>
              <w:t>Cibler</w:t>
            </w:r>
            <w:r>
              <w:rPr>
                <w:b/>
                <w:color w:val="6F2F9F"/>
                <w:spacing w:val="-4"/>
                <w:sz w:val="28"/>
              </w:rPr>
              <w:t> </w:t>
            </w:r>
            <w:r>
              <w:rPr>
                <w:b/>
                <w:color w:val="6F2F9F"/>
                <w:sz w:val="28"/>
              </w:rPr>
              <w:t>HIF-1</w:t>
            </w:r>
          </w:p>
        </w:tc>
      </w:tr>
      <w:tr>
        <w:trPr>
          <w:trHeight w:val="260" w:hRule="atLeast"/>
        </w:trPr>
        <w:tc>
          <w:tcPr>
            <w:tcW w:w="2201" w:type="dxa"/>
            <w:vMerge w:val="restart"/>
          </w:tcPr>
          <w:p>
            <w:pPr>
              <w:pStyle w:val="TableParagraph"/>
              <w:ind w:left="410" w:right="153" w:hanging="252"/>
              <w:rPr>
                <w:b/>
                <w:sz w:val="24"/>
              </w:rPr>
            </w:pPr>
            <w:r>
              <w:rPr>
                <w:b/>
                <w:color w:val="00AF50"/>
                <w:sz w:val="24"/>
              </w:rPr>
              <w:t>Cibler l’ARNm de HIF-1-</w:t>
            </w:r>
            <w:r>
              <w:rPr>
                <w:rFonts w:ascii="Symbol" w:hAnsi="Symbol"/>
                <w:b/>
                <w:color w:val="00AF50"/>
                <w:sz w:val="24"/>
              </w:rPr>
              <w:t></w:t>
            </w:r>
            <w:r>
              <w:rPr>
                <w:b/>
                <w:color w:val="00AF50"/>
                <w:sz w:val="24"/>
              </w:rPr>
              <w:t> </w:t>
            </w:r>
            <w:r>
              <w:rPr>
                <w:b/>
                <w:color w:val="00AF50"/>
                <w:sz w:val="24"/>
              </w:rPr>
              <w:t>et sa transcription</w:t>
            </w:r>
          </w:p>
        </w:tc>
        <w:tc>
          <w:tcPr>
            <w:tcW w:w="1481" w:type="dxa"/>
          </w:tcPr>
          <w:p>
            <w:pPr>
              <w:pStyle w:val="TableParagraph"/>
              <w:spacing w:line="256" w:lineRule="exact"/>
              <w:ind w:left="94" w:right="95"/>
              <w:jc w:val="center"/>
              <w:rPr>
                <w:b/>
                <w:sz w:val="24"/>
              </w:rPr>
            </w:pPr>
            <w:r>
              <w:rPr>
                <w:b/>
                <w:sz w:val="24"/>
              </w:rPr>
              <w:t>Irinotecan</w:t>
            </w:r>
          </w:p>
        </w:tc>
        <w:tc>
          <w:tcPr>
            <w:tcW w:w="2132" w:type="dxa"/>
            <w:shd w:val="clear" w:color="auto" w:fill="D9D9D9"/>
          </w:tcPr>
          <w:p>
            <w:pPr>
              <w:pStyle w:val="TableParagraph"/>
              <w:rPr>
                <w:sz w:val="20"/>
              </w:rPr>
            </w:pPr>
          </w:p>
        </w:tc>
        <w:tc>
          <w:tcPr>
            <w:tcW w:w="1839" w:type="dxa"/>
            <w:shd w:val="clear" w:color="auto" w:fill="D9D9D9"/>
          </w:tcPr>
          <w:p>
            <w:pPr>
              <w:pStyle w:val="TableParagraph"/>
              <w:rPr>
                <w:sz w:val="20"/>
              </w:rPr>
            </w:pPr>
          </w:p>
        </w:tc>
        <w:tc>
          <w:tcPr>
            <w:tcW w:w="3123" w:type="dxa"/>
          </w:tcPr>
          <w:p>
            <w:pPr>
              <w:pStyle w:val="TableParagraph"/>
              <w:spacing w:line="256" w:lineRule="exact"/>
              <w:ind w:left="92" w:right="93"/>
              <w:jc w:val="center"/>
              <w:rPr>
                <w:i/>
                <w:sz w:val="24"/>
              </w:rPr>
            </w:pPr>
            <w:r>
              <w:rPr>
                <w:sz w:val="24"/>
              </w:rPr>
              <w:t>Cancer du pancréas : </w:t>
            </w:r>
            <w:r>
              <w:rPr>
                <w:i/>
                <w:sz w:val="24"/>
              </w:rPr>
              <w:t>axitinib</w:t>
            </w:r>
          </w:p>
        </w:tc>
        <w:tc>
          <w:tcPr>
            <w:tcW w:w="2136" w:type="dxa"/>
            <w:shd w:val="clear" w:color="auto" w:fill="D9D9D9"/>
          </w:tcPr>
          <w:p>
            <w:pPr>
              <w:pStyle w:val="TableParagraph"/>
              <w:rPr>
                <w:sz w:val="20"/>
              </w:rPr>
            </w:pPr>
          </w:p>
        </w:tc>
        <w:tc>
          <w:tcPr>
            <w:tcW w:w="2405" w:type="dxa"/>
          </w:tcPr>
          <w:p>
            <w:pPr>
              <w:pStyle w:val="TableParagraph"/>
              <w:spacing w:line="223" w:lineRule="exact"/>
              <w:ind w:left="208" w:right="207"/>
              <w:jc w:val="center"/>
              <w:rPr>
                <w:sz w:val="20"/>
              </w:rPr>
            </w:pPr>
            <w:r>
              <w:rPr>
                <w:sz w:val="20"/>
              </w:rPr>
              <w:t>Canu et al., 2011</w:t>
            </w:r>
          </w:p>
        </w:tc>
      </w:tr>
      <w:tr>
        <w:trPr>
          <w:trHeight w:val="460" w:hRule="atLeast"/>
        </w:trPr>
        <w:tc>
          <w:tcPr>
            <w:tcW w:w="2201" w:type="dxa"/>
            <w:vMerge/>
            <w:tcBorders>
              <w:top w:val="nil"/>
            </w:tcBorders>
          </w:tcPr>
          <w:p>
            <w:pPr>
              <w:rPr>
                <w:sz w:val="2"/>
                <w:szCs w:val="2"/>
              </w:rPr>
            </w:pPr>
          </w:p>
        </w:tc>
        <w:tc>
          <w:tcPr>
            <w:tcW w:w="1481" w:type="dxa"/>
          </w:tcPr>
          <w:p>
            <w:pPr>
              <w:pStyle w:val="TableParagraph"/>
              <w:spacing w:line="273" w:lineRule="exact"/>
              <w:ind w:left="94" w:right="94"/>
              <w:jc w:val="center"/>
              <w:rPr>
                <w:b/>
                <w:sz w:val="24"/>
              </w:rPr>
            </w:pPr>
            <w:r>
              <w:rPr>
                <w:b/>
                <w:sz w:val="24"/>
              </w:rPr>
              <w:t>SN-38</w:t>
            </w:r>
          </w:p>
        </w:tc>
        <w:tc>
          <w:tcPr>
            <w:tcW w:w="2132" w:type="dxa"/>
            <w:tcBorders>
              <w:right w:val="nil"/>
            </w:tcBorders>
          </w:tcPr>
          <w:p>
            <w:pPr>
              <w:pStyle w:val="TableParagraph"/>
              <w:spacing w:line="268" w:lineRule="exact"/>
              <w:ind w:right="81"/>
              <w:jc w:val="right"/>
              <w:rPr>
                <w:sz w:val="24"/>
              </w:rPr>
            </w:pPr>
            <w:r>
              <w:rPr>
                <w:sz w:val="24"/>
              </w:rPr>
              <w:t>Cancer du</w:t>
            </w:r>
          </w:p>
        </w:tc>
        <w:tc>
          <w:tcPr>
            <w:tcW w:w="1839" w:type="dxa"/>
            <w:tcBorders>
              <w:left w:val="nil"/>
            </w:tcBorders>
          </w:tcPr>
          <w:p>
            <w:pPr>
              <w:pStyle w:val="TableParagraph"/>
              <w:spacing w:line="268" w:lineRule="exact"/>
              <w:ind w:left="-24"/>
              <w:rPr>
                <w:sz w:val="24"/>
              </w:rPr>
            </w:pPr>
            <w:r>
              <w:rPr>
                <w:sz w:val="24"/>
              </w:rPr>
              <w:t>poumon</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07" w:right="207"/>
              <w:jc w:val="center"/>
              <w:rPr>
                <w:sz w:val="20"/>
              </w:rPr>
            </w:pPr>
            <w:r>
              <w:rPr>
                <w:sz w:val="20"/>
              </w:rPr>
              <w:t>Kamiyama et al., 2005</w:t>
            </w:r>
          </w:p>
          <w:p>
            <w:pPr>
              <w:pStyle w:val="TableParagraph"/>
              <w:spacing w:line="217" w:lineRule="exact"/>
              <w:ind w:left="214" w:right="207"/>
              <w:jc w:val="center"/>
              <w:rPr>
                <w:sz w:val="20"/>
              </w:rPr>
            </w:pPr>
            <w:r>
              <w:rPr>
                <w:sz w:val="20"/>
              </w:rPr>
              <w:t>Maurya et al., 2011</w:t>
            </w:r>
          </w:p>
        </w:tc>
      </w:tr>
      <w:tr>
        <w:trPr>
          <w:trHeight w:val="820" w:hRule="atLeast"/>
        </w:trPr>
        <w:tc>
          <w:tcPr>
            <w:tcW w:w="2201" w:type="dxa"/>
            <w:vMerge/>
            <w:tcBorders>
              <w:top w:val="nil"/>
            </w:tcBorders>
          </w:tcPr>
          <w:p>
            <w:pPr>
              <w:rPr>
                <w:sz w:val="2"/>
                <w:szCs w:val="2"/>
              </w:rPr>
            </w:pPr>
          </w:p>
        </w:tc>
        <w:tc>
          <w:tcPr>
            <w:tcW w:w="1481" w:type="dxa"/>
          </w:tcPr>
          <w:p>
            <w:pPr>
              <w:pStyle w:val="TableParagraph"/>
              <w:spacing w:line="273" w:lineRule="exact"/>
              <w:ind w:left="94" w:right="94"/>
              <w:jc w:val="center"/>
              <w:rPr>
                <w:b/>
                <w:sz w:val="24"/>
              </w:rPr>
            </w:pPr>
            <w:r>
              <w:rPr>
                <w:b/>
                <w:sz w:val="24"/>
              </w:rPr>
              <w:t>EZN-2968</w:t>
            </w:r>
          </w:p>
        </w:tc>
        <w:tc>
          <w:tcPr>
            <w:tcW w:w="2132" w:type="dxa"/>
          </w:tcPr>
          <w:p>
            <w:pPr>
              <w:pStyle w:val="TableParagraph"/>
              <w:ind w:left="413" w:right="412" w:hanging="1"/>
              <w:jc w:val="center"/>
              <w:rPr>
                <w:sz w:val="24"/>
              </w:rPr>
            </w:pPr>
            <w:r>
              <w:rPr>
                <w:sz w:val="24"/>
              </w:rPr>
              <w:t>Cancer de la prostate</w:t>
            </w:r>
          </w:p>
          <w:p>
            <w:pPr>
              <w:pStyle w:val="TableParagraph"/>
              <w:spacing w:line="264" w:lineRule="exact" w:before="8"/>
              <w:ind w:left="90" w:right="91"/>
              <w:jc w:val="center"/>
              <w:rPr>
                <w:sz w:val="24"/>
              </w:rPr>
            </w:pPr>
            <w:r>
              <w:rPr>
                <w:sz w:val="24"/>
              </w:rPr>
              <w:t>Glioblastome</w:t>
            </w:r>
          </w:p>
        </w:tc>
        <w:tc>
          <w:tcPr>
            <w:tcW w:w="1839" w:type="dxa"/>
          </w:tcPr>
          <w:p>
            <w:pPr>
              <w:pStyle w:val="TableParagraph"/>
              <w:ind w:left="532" w:right="296" w:hanging="219"/>
              <w:rPr>
                <w:sz w:val="24"/>
              </w:rPr>
            </w:pPr>
            <w:r>
              <w:rPr>
                <w:sz w:val="24"/>
              </w:rPr>
              <w:t>Cancer de la prostate</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110" w:right="108"/>
              <w:jc w:val="center"/>
              <w:rPr>
                <w:sz w:val="20"/>
              </w:rPr>
            </w:pPr>
            <w:r>
              <w:rPr>
                <w:sz w:val="20"/>
              </w:rPr>
              <w:t>Greenberger et al., 2008</w:t>
            </w:r>
          </w:p>
        </w:tc>
      </w:tr>
      <w:tr>
        <w:trPr>
          <w:trHeight w:val="540" w:hRule="atLeast"/>
        </w:trPr>
        <w:tc>
          <w:tcPr>
            <w:tcW w:w="2201" w:type="dxa"/>
            <w:vMerge/>
            <w:tcBorders>
              <w:top w:val="nil"/>
            </w:tcBorders>
          </w:tcPr>
          <w:p>
            <w:pPr>
              <w:rPr>
                <w:sz w:val="2"/>
                <w:szCs w:val="2"/>
              </w:rPr>
            </w:pPr>
          </w:p>
        </w:tc>
        <w:tc>
          <w:tcPr>
            <w:tcW w:w="1481" w:type="dxa"/>
          </w:tcPr>
          <w:p>
            <w:pPr>
              <w:pStyle w:val="TableParagraph"/>
              <w:spacing w:line="273" w:lineRule="exact"/>
              <w:ind w:left="94" w:right="94"/>
              <w:jc w:val="center"/>
              <w:rPr>
                <w:b/>
                <w:sz w:val="24"/>
              </w:rPr>
            </w:pPr>
            <w:r>
              <w:rPr>
                <w:b/>
                <w:sz w:val="24"/>
              </w:rPr>
              <w:t>EZN-2208</w:t>
            </w:r>
          </w:p>
        </w:tc>
        <w:tc>
          <w:tcPr>
            <w:tcW w:w="2132" w:type="dxa"/>
            <w:tcBorders>
              <w:right w:val="nil"/>
            </w:tcBorders>
          </w:tcPr>
          <w:p>
            <w:pPr>
              <w:pStyle w:val="TableParagraph"/>
              <w:spacing w:line="268" w:lineRule="exact"/>
              <w:ind w:right="-17"/>
              <w:jc w:val="right"/>
              <w:rPr>
                <w:sz w:val="24"/>
              </w:rPr>
            </w:pPr>
            <w:r>
              <w:rPr>
                <w:sz w:val="24"/>
              </w:rPr>
              <w:t>Lymphome non</w:t>
            </w:r>
          </w:p>
          <w:p>
            <w:pPr>
              <w:pStyle w:val="TableParagraph"/>
              <w:spacing w:line="264" w:lineRule="exact"/>
              <w:ind w:right="77"/>
              <w:jc w:val="right"/>
              <w:rPr>
                <w:sz w:val="24"/>
              </w:rPr>
            </w:pPr>
            <w:r>
              <w:rPr>
                <w:sz w:val="24"/>
              </w:rPr>
              <w:t>Glio</w:t>
            </w:r>
          </w:p>
        </w:tc>
        <w:tc>
          <w:tcPr>
            <w:tcW w:w="1839" w:type="dxa"/>
            <w:tcBorders>
              <w:left w:val="nil"/>
            </w:tcBorders>
          </w:tcPr>
          <w:p>
            <w:pPr>
              <w:pStyle w:val="TableParagraph"/>
              <w:spacing w:line="268" w:lineRule="exact"/>
              <w:ind w:left="76"/>
              <w:rPr>
                <w:sz w:val="24"/>
              </w:rPr>
            </w:pPr>
            <w:r>
              <w:rPr>
                <w:sz w:val="24"/>
              </w:rPr>
              <w:t>Hodgkinien</w:t>
            </w:r>
          </w:p>
          <w:p>
            <w:pPr>
              <w:pStyle w:val="TableParagraph"/>
              <w:spacing w:line="264" w:lineRule="exact"/>
              <w:ind w:left="-80"/>
              <w:rPr>
                <w:sz w:val="24"/>
              </w:rPr>
            </w:pPr>
            <w:r>
              <w:rPr>
                <w:sz w:val="24"/>
              </w:rPr>
              <w:t>me</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07" w:right="207"/>
              <w:jc w:val="center"/>
              <w:rPr>
                <w:sz w:val="20"/>
              </w:rPr>
            </w:pPr>
            <w:r>
              <w:rPr>
                <w:sz w:val="20"/>
              </w:rPr>
              <w:t>Sapra et al., 2009, 2011</w:t>
            </w:r>
          </w:p>
        </w:tc>
      </w:tr>
      <w:tr>
        <w:trPr>
          <w:trHeight w:val="540" w:hRule="atLeast"/>
        </w:trPr>
        <w:tc>
          <w:tcPr>
            <w:tcW w:w="2201" w:type="dxa"/>
            <w:vMerge w:val="restart"/>
          </w:tcPr>
          <w:p>
            <w:pPr>
              <w:pStyle w:val="TableParagraph"/>
              <w:ind w:left="119" w:right="114" w:firstLine="1"/>
              <w:jc w:val="center"/>
              <w:rPr>
                <w:b/>
                <w:sz w:val="24"/>
              </w:rPr>
            </w:pPr>
            <w:r>
              <w:rPr>
                <w:b/>
                <w:color w:val="00AF50"/>
                <w:sz w:val="24"/>
              </w:rPr>
              <w:t>Inhibition des modifications post- transcriptionnelles et la traduction protéique de HIF-</w:t>
            </w:r>
          </w:p>
          <w:p>
            <w:pPr>
              <w:pStyle w:val="TableParagraph"/>
              <w:spacing w:line="276" w:lineRule="exact" w:before="5"/>
              <w:ind w:left="172" w:right="169"/>
              <w:jc w:val="center"/>
              <w:rPr>
                <w:rFonts w:ascii="Symbol" w:hAnsi="Symbol"/>
                <w:b/>
                <w:sz w:val="24"/>
              </w:rPr>
            </w:pPr>
            <w:r>
              <w:rPr>
                <w:b/>
                <w:color w:val="00AF50"/>
                <w:sz w:val="24"/>
              </w:rPr>
              <w:t>1-</w:t>
            </w:r>
            <w:r>
              <w:rPr>
                <w:rFonts w:ascii="Symbol" w:hAnsi="Symbol"/>
                <w:b/>
                <w:color w:val="00AF50"/>
                <w:sz w:val="24"/>
              </w:rPr>
              <w:t></w:t>
            </w:r>
          </w:p>
        </w:tc>
        <w:tc>
          <w:tcPr>
            <w:tcW w:w="1481" w:type="dxa"/>
          </w:tcPr>
          <w:p>
            <w:pPr>
              <w:pStyle w:val="TableParagraph"/>
              <w:spacing w:line="273" w:lineRule="exact"/>
              <w:ind w:left="92" w:right="95"/>
              <w:jc w:val="center"/>
              <w:rPr>
                <w:b/>
                <w:sz w:val="24"/>
              </w:rPr>
            </w:pPr>
            <w:r>
              <w:rPr>
                <w:b/>
                <w:sz w:val="24"/>
              </w:rPr>
              <w:t>EF24</w:t>
            </w:r>
          </w:p>
        </w:tc>
        <w:tc>
          <w:tcPr>
            <w:tcW w:w="2132" w:type="dxa"/>
          </w:tcPr>
          <w:p>
            <w:pPr>
              <w:pStyle w:val="TableParagraph"/>
              <w:spacing w:line="268" w:lineRule="exact"/>
              <w:ind w:left="90" w:right="91"/>
              <w:jc w:val="center"/>
              <w:rPr>
                <w:sz w:val="24"/>
              </w:rPr>
            </w:pPr>
            <w:r>
              <w:rPr>
                <w:sz w:val="24"/>
              </w:rPr>
              <w:t>Cancer du sein et</w:t>
            </w:r>
          </w:p>
          <w:p>
            <w:pPr>
              <w:pStyle w:val="TableParagraph"/>
              <w:spacing w:line="264" w:lineRule="exact"/>
              <w:ind w:left="90" w:right="91"/>
              <w:jc w:val="center"/>
              <w:rPr>
                <w:sz w:val="24"/>
              </w:rPr>
            </w:pPr>
            <w:r>
              <w:rPr>
                <w:sz w:val="24"/>
              </w:rPr>
              <w:t>de la prostate</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1" w:right="207"/>
              <w:jc w:val="center"/>
              <w:rPr>
                <w:sz w:val="20"/>
              </w:rPr>
            </w:pPr>
            <w:r>
              <w:rPr>
                <w:sz w:val="20"/>
              </w:rPr>
              <w:t>Thomas et al., 2008</w:t>
            </w:r>
          </w:p>
        </w:tc>
      </w:tr>
      <w:tr>
        <w:trPr>
          <w:trHeight w:val="540" w:hRule="atLeast"/>
        </w:trPr>
        <w:tc>
          <w:tcPr>
            <w:tcW w:w="2201" w:type="dxa"/>
            <w:vMerge/>
            <w:tcBorders>
              <w:top w:val="nil"/>
            </w:tcBorders>
          </w:tcPr>
          <w:p>
            <w:pPr>
              <w:rPr>
                <w:sz w:val="2"/>
                <w:szCs w:val="2"/>
              </w:rPr>
            </w:pPr>
          </w:p>
        </w:tc>
        <w:tc>
          <w:tcPr>
            <w:tcW w:w="1481" w:type="dxa"/>
          </w:tcPr>
          <w:p>
            <w:pPr>
              <w:pStyle w:val="TableParagraph"/>
              <w:spacing w:line="273" w:lineRule="exact"/>
              <w:ind w:left="94" w:right="95"/>
              <w:jc w:val="center"/>
              <w:rPr>
                <w:b/>
                <w:sz w:val="24"/>
              </w:rPr>
            </w:pPr>
            <w:r>
              <w:rPr>
                <w:b/>
                <w:sz w:val="24"/>
              </w:rPr>
              <w:t>Digoxine</w:t>
            </w:r>
          </w:p>
        </w:tc>
        <w:tc>
          <w:tcPr>
            <w:tcW w:w="2132" w:type="dxa"/>
          </w:tcPr>
          <w:p>
            <w:pPr>
              <w:pStyle w:val="TableParagraph"/>
              <w:spacing w:line="268" w:lineRule="exact"/>
              <w:ind w:left="90" w:right="91"/>
              <w:jc w:val="center"/>
              <w:rPr>
                <w:sz w:val="24"/>
              </w:rPr>
            </w:pPr>
            <w:r>
              <w:rPr>
                <w:sz w:val="24"/>
              </w:rPr>
              <w:t>Cancer de la</w:t>
            </w:r>
          </w:p>
          <w:p>
            <w:pPr>
              <w:pStyle w:val="TableParagraph"/>
              <w:spacing w:line="264" w:lineRule="exact"/>
              <w:ind w:left="90" w:right="91"/>
              <w:jc w:val="center"/>
              <w:rPr>
                <w:sz w:val="24"/>
              </w:rPr>
            </w:pPr>
            <w:r>
              <w:rPr>
                <w:sz w:val="24"/>
              </w:rPr>
              <w:t>prostate</w:t>
            </w:r>
          </w:p>
        </w:tc>
        <w:tc>
          <w:tcPr>
            <w:tcW w:w="1839" w:type="dxa"/>
          </w:tcPr>
          <w:p>
            <w:pPr>
              <w:pStyle w:val="TableParagraph"/>
              <w:spacing w:line="268" w:lineRule="exact"/>
              <w:ind w:left="359"/>
              <w:rPr>
                <w:sz w:val="24"/>
              </w:rPr>
            </w:pPr>
            <w:r>
              <w:rPr>
                <w:sz w:val="24"/>
              </w:rPr>
              <w:t>Lymphome</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ind w:left="474" w:right="451" w:firstLine="55"/>
              <w:rPr>
                <w:sz w:val="20"/>
              </w:rPr>
            </w:pPr>
            <w:r>
              <w:rPr>
                <w:sz w:val="20"/>
              </w:rPr>
              <w:t>Platz et al., 2011 Zhang et al., 2008</w:t>
            </w:r>
          </w:p>
        </w:tc>
      </w:tr>
      <w:tr>
        <w:trPr>
          <w:trHeight w:val="540" w:hRule="atLeast"/>
        </w:trPr>
        <w:tc>
          <w:tcPr>
            <w:tcW w:w="2201" w:type="dxa"/>
            <w:vMerge/>
            <w:tcBorders>
              <w:top w:val="nil"/>
            </w:tcBorders>
          </w:tcPr>
          <w:p>
            <w:pPr>
              <w:rPr>
                <w:sz w:val="2"/>
                <w:szCs w:val="2"/>
              </w:rPr>
            </w:pPr>
          </w:p>
        </w:tc>
        <w:tc>
          <w:tcPr>
            <w:tcW w:w="1481" w:type="dxa"/>
          </w:tcPr>
          <w:p>
            <w:pPr>
              <w:pStyle w:val="TableParagraph"/>
              <w:spacing w:line="276" w:lineRule="exact"/>
              <w:ind w:left="94" w:right="95"/>
              <w:jc w:val="center"/>
              <w:rPr>
                <w:b/>
                <w:sz w:val="24"/>
              </w:rPr>
            </w:pPr>
            <w:r>
              <w:rPr>
                <w:b/>
                <w:sz w:val="24"/>
              </w:rPr>
              <w:t>Topotecan</w:t>
            </w:r>
          </w:p>
        </w:tc>
        <w:tc>
          <w:tcPr>
            <w:tcW w:w="2132" w:type="dxa"/>
          </w:tcPr>
          <w:p>
            <w:pPr>
              <w:pStyle w:val="TableParagraph"/>
              <w:spacing w:line="271" w:lineRule="exact"/>
              <w:ind w:left="347"/>
              <w:rPr>
                <w:sz w:val="24"/>
              </w:rPr>
            </w:pPr>
            <w:r>
              <w:rPr>
                <w:sz w:val="24"/>
              </w:rPr>
              <w:t>Cancer du sein</w:t>
            </w:r>
          </w:p>
        </w:tc>
        <w:tc>
          <w:tcPr>
            <w:tcW w:w="1839" w:type="dxa"/>
            <w:shd w:val="clear" w:color="auto" w:fill="D9D9D9"/>
          </w:tcPr>
          <w:p>
            <w:pPr>
              <w:pStyle w:val="TableParagraph"/>
              <w:rPr>
                <w:sz w:val="22"/>
              </w:rPr>
            </w:pPr>
          </w:p>
        </w:tc>
        <w:tc>
          <w:tcPr>
            <w:tcW w:w="3123" w:type="dxa"/>
          </w:tcPr>
          <w:p>
            <w:pPr>
              <w:pStyle w:val="TableParagraph"/>
              <w:spacing w:line="271" w:lineRule="exact"/>
              <w:ind w:left="92" w:right="93"/>
              <w:jc w:val="center"/>
              <w:rPr>
                <w:i/>
                <w:sz w:val="24"/>
              </w:rPr>
            </w:pPr>
            <w:r>
              <w:rPr>
                <w:sz w:val="24"/>
              </w:rPr>
              <w:t>Cancer du sein : </w:t>
            </w:r>
            <w:r>
              <w:rPr>
                <w:i/>
                <w:sz w:val="24"/>
              </w:rPr>
              <w:t>pazopanib</w:t>
            </w:r>
          </w:p>
        </w:tc>
        <w:tc>
          <w:tcPr>
            <w:tcW w:w="2136" w:type="dxa"/>
            <w:shd w:val="clear" w:color="auto" w:fill="D9D9D9"/>
          </w:tcPr>
          <w:p>
            <w:pPr>
              <w:pStyle w:val="TableParagraph"/>
              <w:rPr>
                <w:sz w:val="22"/>
              </w:rPr>
            </w:pPr>
          </w:p>
        </w:tc>
        <w:tc>
          <w:tcPr>
            <w:tcW w:w="2405" w:type="dxa"/>
          </w:tcPr>
          <w:p>
            <w:pPr>
              <w:pStyle w:val="TableParagraph"/>
              <w:spacing w:line="226" w:lineRule="exact"/>
              <w:ind w:left="210" w:right="207"/>
              <w:jc w:val="center"/>
              <w:rPr>
                <w:sz w:val="20"/>
              </w:rPr>
            </w:pPr>
            <w:r>
              <w:rPr>
                <w:sz w:val="20"/>
              </w:rPr>
              <w:t>Di Desidero et al., 2015</w:t>
            </w:r>
          </w:p>
        </w:tc>
      </w:tr>
      <w:tr>
        <w:trPr>
          <w:trHeight w:val="260" w:hRule="atLeast"/>
        </w:trPr>
        <w:tc>
          <w:tcPr>
            <w:tcW w:w="2201" w:type="dxa"/>
            <w:vMerge w:val="restart"/>
          </w:tcPr>
          <w:p>
            <w:pPr>
              <w:pStyle w:val="TableParagraph"/>
              <w:spacing w:line="276" w:lineRule="exact"/>
              <w:ind w:left="107" w:right="84" w:firstLine="278"/>
              <w:rPr>
                <w:b/>
                <w:sz w:val="24"/>
              </w:rPr>
            </w:pPr>
            <w:r>
              <w:rPr>
                <w:b/>
                <w:color w:val="00AF50"/>
                <w:sz w:val="24"/>
              </w:rPr>
              <w:t>Inhibition des versions protéiques</w:t>
            </w:r>
          </w:p>
        </w:tc>
        <w:tc>
          <w:tcPr>
            <w:tcW w:w="1481" w:type="dxa"/>
          </w:tcPr>
          <w:p>
            <w:pPr>
              <w:pStyle w:val="TableParagraph"/>
              <w:spacing w:line="256" w:lineRule="exact"/>
              <w:ind w:left="94" w:right="94"/>
              <w:jc w:val="center"/>
              <w:rPr>
                <w:b/>
                <w:sz w:val="24"/>
              </w:rPr>
            </w:pPr>
            <w:r>
              <w:rPr>
                <w:b/>
                <w:sz w:val="24"/>
              </w:rPr>
              <w:t>PX-478</w:t>
            </w:r>
          </w:p>
        </w:tc>
        <w:tc>
          <w:tcPr>
            <w:tcW w:w="3971" w:type="dxa"/>
            <w:gridSpan w:val="2"/>
          </w:tcPr>
          <w:p>
            <w:pPr>
              <w:pStyle w:val="TableParagraph"/>
              <w:spacing w:line="256" w:lineRule="exact"/>
              <w:ind w:left="1193"/>
              <w:rPr>
                <w:sz w:val="24"/>
              </w:rPr>
            </w:pPr>
            <w:r>
              <w:rPr>
                <w:sz w:val="24"/>
              </w:rPr>
              <w:t>Cancer du côlon</w:t>
            </w: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4" w:right="207"/>
              <w:jc w:val="center"/>
              <w:rPr>
                <w:sz w:val="20"/>
              </w:rPr>
            </w:pPr>
            <w:r>
              <w:rPr>
                <w:sz w:val="20"/>
              </w:rPr>
              <w:t>Welsh et al., 2004</w:t>
            </w:r>
          </w:p>
        </w:tc>
      </w:tr>
      <w:tr>
        <w:trPr>
          <w:trHeight w:val="260" w:hRule="atLeast"/>
        </w:trPr>
        <w:tc>
          <w:tcPr>
            <w:tcW w:w="2201" w:type="dxa"/>
            <w:vMerge/>
            <w:tcBorders>
              <w:top w:val="nil"/>
            </w:tcBorders>
          </w:tcPr>
          <w:p>
            <w:pPr>
              <w:rPr>
                <w:sz w:val="2"/>
                <w:szCs w:val="2"/>
              </w:rPr>
            </w:pPr>
          </w:p>
        </w:tc>
        <w:tc>
          <w:tcPr>
            <w:tcW w:w="1481" w:type="dxa"/>
          </w:tcPr>
          <w:p>
            <w:pPr>
              <w:pStyle w:val="TableParagraph"/>
              <w:spacing w:line="256" w:lineRule="exact"/>
              <w:ind w:left="94" w:right="94"/>
              <w:jc w:val="center"/>
              <w:rPr>
                <w:b/>
                <w:sz w:val="24"/>
              </w:rPr>
            </w:pPr>
            <w:r>
              <w:rPr>
                <w:b/>
                <w:sz w:val="24"/>
              </w:rPr>
              <w:t>siAR</w:t>
            </w:r>
          </w:p>
        </w:tc>
        <w:tc>
          <w:tcPr>
            <w:tcW w:w="2132" w:type="dxa"/>
          </w:tcPr>
          <w:p>
            <w:pPr>
              <w:pStyle w:val="TableParagraph"/>
              <w:spacing w:line="256" w:lineRule="exact"/>
              <w:ind w:left="244"/>
              <w:rPr>
                <w:sz w:val="24"/>
              </w:rPr>
            </w:pPr>
            <w:r>
              <w:rPr>
                <w:sz w:val="24"/>
              </w:rPr>
              <w:t>Mélanome malin</w:t>
            </w: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1" w:right="207"/>
              <w:jc w:val="center"/>
              <w:rPr>
                <w:sz w:val="20"/>
              </w:rPr>
            </w:pPr>
            <w:r>
              <w:rPr>
                <w:sz w:val="20"/>
              </w:rPr>
              <w:t>Chen et al., 2016</w:t>
            </w:r>
          </w:p>
        </w:tc>
      </w:tr>
    </w:tbl>
    <w:p>
      <w:pPr>
        <w:spacing w:after="0" w:line="223" w:lineRule="exact"/>
        <w:jc w:val="center"/>
        <w:rPr>
          <w:sz w:val="20"/>
        </w:rPr>
        <w:sectPr>
          <w:pgSz w:w="16840" w:h="11910" w:orient="landscape"/>
          <w:pgMar w:header="0" w:footer="998" w:top="1100" w:bottom="1180" w:left="640" w:right="640"/>
        </w:sectPr>
      </w:pPr>
    </w:p>
    <w:p>
      <w:pPr>
        <w:pStyle w:val="BodyText"/>
        <w:spacing w:before="1" w:after="1"/>
        <w:rPr>
          <w:sz w:val="2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1"/>
        <w:gridCol w:w="1481"/>
        <w:gridCol w:w="2132"/>
        <w:gridCol w:w="1839"/>
        <w:gridCol w:w="3123"/>
        <w:gridCol w:w="2136"/>
        <w:gridCol w:w="2405"/>
      </w:tblGrid>
      <w:tr>
        <w:trPr>
          <w:trHeight w:val="840" w:hRule="atLeast"/>
        </w:trPr>
        <w:tc>
          <w:tcPr>
            <w:tcW w:w="2201" w:type="dxa"/>
          </w:tcPr>
          <w:p>
            <w:pPr>
              <w:pStyle w:val="TableParagraph"/>
              <w:ind w:left="1037" w:right="88" w:hanging="925"/>
              <w:rPr>
                <w:b/>
                <w:sz w:val="24"/>
              </w:rPr>
            </w:pPr>
            <w:r>
              <w:rPr>
                <w:b/>
                <w:color w:val="00AF50"/>
                <w:sz w:val="24"/>
              </w:rPr>
              <w:t>de HIF-1-</w:t>
            </w:r>
            <w:r>
              <w:rPr>
                <w:rFonts w:ascii="Symbol" w:hAnsi="Symbol"/>
                <w:b/>
                <w:color w:val="00AF50"/>
                <w:sz w:val="24"/>
              </w:rPr>
              <w:t></w:t>
            </w:r>
            <w:r>
              <w:rPr>
                <w:b/>
                <w:color w:val="00AF50"/>
                <w:sz w:val="24"/>
              </w:rPr>
              <w:t> </w:t>
            </w:r>
            <w:r>
              <w:rPr>
                <w:b/>
                <w:color w:val="00AF50"/>
                <w:sz w:val="24"/>
              </w:rPr>
              <w:t>et HIF- 1</w:t>
            </w:r>
          </w:p>
        </w:tc>
        <w:tc>
          <w:tcPr>
            <w:tcW w:w="1481" w:type="dxa"/>
          </w:tcPr>
          <w:p>
            <w:pPr>
              <w:pStyle w:val="TableParagraph"/>
              <w:rPr>
                <w:sz w:val="22"/>
              </w:rPr>
            </w:pPr>
          </w:p>
        </w:tc>
        <w:tc>
          <w:tcPr>
            <w:tcW w:w="2132" w:type="dxa"/>
          </w:tcPr>
          <w:p>
            <w:pPr>
              <w:pStyle w:val="TableParagraph"/>
              <w:rPr>
                <w:sz w:val="22"/>
              </w:rPr>
            </w:pP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rPr>
                <w:sz w:val="22"/>
              </w:rPr>
            </w:pPr>
          </w:p>
        </w:tc>
      </w:tr>
      <w:tr>
        <w:trPr>
          <w:trHeight w:val="480" w:hRule="atLeast"/>
        </w:trPr>
        <w:tc>
          <w:tcPr>
            <w:tcW w:w="15317" w:type="dxa"/>
            <w:gridSpan w:val="7"/>
          </w:tcPr>
          <w:p>
            <w:pPr>
              <w:pStyle w:val="TableParagraph"/>
              <w:spacing w:line="320" w:lineRule="exact"/>
              <w:ind w:left="5231" w:right="5227"/>
              <w:jc w:val="center"/>
              <w:rPr>
                <w:b/>
                <w:sz w:val="28"/>
              </w:rPr>
            </w:pPr>
            <w:r>
              <w:rPr>
                <w:b/>
                <w:color w:val="6F2F9F"/>
                <w:sz w:val="28"/>
              </w:rPr>
              <w:t>Cibler la voie AMPK – m TOR</w:t>
            </w:r>
          </w:p>
        </w:tc>
      </w:tr>
      <w:tr>
        <w:trPr>
          <w:trHeight w:val="2200" w:hRule="atLeast"/>
        </w:trPr>
        <w:tc>
          <w:tcPr>
            <w:tcW w:w="2201" w:type="dxa"/>
          </w:tcPr>
          <w:p>
            <w:pPr>
              <w:pStyle w:val="TableParagraph"/>
              <w:spacing w:line="275" w:lineRule="exact"/>
              <w:ind w:left="167"/>
              <w:rPr>
                <w:b/>
                <w:sz w:val="24"/>
              </w:rPr>
            </w:pPr>
            <w:r>
              <w:rPr>
                <w:b/>
                <w:color w:val="00AF50"/>
                <w:sz w:val="24"/>
              </w:rPr>
              <w:t>Activation AMPK</w:t>
            </w:r>
          </w:p>
        </w:tc>
        <w:tc>
          <w:tcPr>
            <w:tcW w:w="1481" w:type="dxa"/>
          </w:tcPr>
          <w:p>
            <w:pPr>
              <w:pStyle w:val="TableParagraph"/>
              <w:spacing w:line="275" w:lineRule="exact"/>
              <w:ind w:left="94" w:right="94"/>
              <w:jc w:val="center"/>
              <w:rPr>
                <w:b/>
                <w:sz w:val="24"/>
              </w:rPr>
            </w:pPr>
            <w:r>
              <w:rPr>
                <w:b/>
                <w:sz w:val="24"/>
              </w:rPr>
              <w:t>Metformine</w:t>
            </w:r>
          </w:p>
        </w:tc>
        <w:tc>
          <w:tcPr>
            <w:tcW w:w="2132" w:type="dxa"/>
          </w:tcPr>
          <w:p>
            <w:pPr>
              <w:pStyle w:val="TableParagraph"/>
              <w:ind w:left="88" w:right="91"/>
              <w:jc w:val="center"/>
              <w:rPr>
                <w:sz w:val="24"/>
              </w:rPr>
            </w:pPr>
            <w:r>
              <w:rPr>
                <w:sz w:val="24"/>
              </w:rPr>
              <w:t>Cancer de l’ovaire Carcinome adrénocortical</w:t>
            </w:r>
          </w:p>
        </w:tc>
        <w:tc>
          <w:tcPr>
            <w:tcW w:w="1839" w:type="dxa"/>
          </w:tcPr>
          <w:p>
            <w:pPr>
              <w:pStyle w:val="TableParagraph"/>
              <w:ind w:left="227" w:right="229" w:firstLine="1"/>
              <w:jc w:val="center"/>
              <w:rPr>
                <w:sz w:val="24"/>
              </w:rPr>
            </w:pPr>
            <w:r>
              <w:rPr>
                <w:sz w:val="24"/>
              </w:rPr>
              <w:t>Cancer du pancréas Cancer de la vessie Carcinome adrénocortical</w:t>
            </w:r>
          </w:p>
        </w:tc>
        <w:tc>
          <w:tcPr>
            <w:tcW w:w="3123" w:type="dxa"/>
          </w:tcPr>
          <w:p>
            <w:pPr>
              <w:pStyle w:val="TableParagraph"/>
              <w:ind w:left="91" w:right="93"/>
              <w:jc w:val="center"/>
              <w:rPr>
                <w:i/>
                <w:sz w:val="24"/>
              </w:rPr>
            </w:pPr>
            <w:r>
              <w:rPr>
                <w:sz w:val="24"/>
              </w:rPr>
              <w:t>Cancer de l’ovaire : </w:t>
            </w:r>
            <w:r>
              <w:rPr>
                <w:i/>
                <w:sz w:val="24"/>
              </w:rPr>
              <w:t>paclitaxel </w:t>
            </w:r>
            <w:r>
              <w:rPr>
                <w:sz w:val="24"/>
              </w:rPr>
              <w:t>Cancer du pancréas : </w:t>
            </w:r>
            <w:r>
              <w:rPr>
                <w:i/>
                <w:sz w:val="24"/>
              </w:rPr>
              <w:t>gemcitabine</w:t>
            </w:r>
          </w:p>
          <w:p>
            <w:pPr>
              <w:pStyle w:val="TableParagraph"/>
              <w:spacing w:before="6"/>
              <w:ind w:left="292" w:right="290"/>
              <w:jc w:val="center"/>
              <w:rPr>
                <w:i/>
                <w:sz w:val="24"/>
              </w:rPr>
            </w:pPr>
            <w:r>
              <w:rPr>
                <w:sz w:val="24"/>
              </w:rPr>
              <w:t>Différentes lignées : </w:t>
            </w:r>
            <w:r>
              <w:rPr>
                <w:i/>
                <w:sz w:val="24"/>
              </w:rPr>
              <w:t>5-FU </w:t>
            </w:r>
            <w:r>
              <w:rPr>
                <w:sz w:val="24"/>
              </w:rPr>
              <w:t>Cancer de la vessie : </w:t>
            </w:r>
            <w:r>
              <w:rPr>
                <w:i/>
                <w:sz w:val="24"/>
              </w:rPr>
              <w:t>cisplatine</w:t>
            </w:r>
          </w:p>
          <w:p>
            <w:pPr>
              <w:pStyle w:val="TableParagraph"/>
              <w:ind w:left="92" w:right="93"/>
              <w:jc w:val="center"/>
              <w:rPr>
                <w:sz w:val="24"/>
              </w:rPr>
            </w:pPr>
            <w:r>
              <w:rPr>
                <w:sz w:val="24"/>
              </w:rPr>
              <w:t>Cellules souches :</w:t>
            </w:r>
          </w:p>
          <w:p>
            <w:pPr>
              <w:pStyle w:val="TableParagraph"/>
              <w:spacing w:line="264" w:lineRule="exact"/>
              <w:ind w:left="90" w:right="93"/>
              <w:jc w:val="center"/>
              <w:rPr>
                <w:i/>
                <w:sz w:val="24"/>
              </w:rPr>
            </w:pPr>
            <w:r>
              <w:rPr>
                <w:i/>
                <w:sz w:val="24"/>
              </w:rPr>
              <w:t>doxorubicine</w:t>
            </w:r>
          </w:p>
        </w:tc>
        <w:tc>
          <w:tcPr>
            <w:tcW w:w="2136" w:type="dxa"/>
            <w:shd w:val="clear" w:color="auto" w:fill="D9D9D9"/>
          </w:tcPr>
          <w:p>
            <w:pPr>
              <w:pStyle w:val="TableParagraph"/>
              <w:rPr>
                <w:sz w:val="22"/>
              </w:rPr>
            </w:pPr>
          </w:p>
        </w:tc>
        <w:tc>
          <w:tcPr>
            <w:tcW w:w="2405" w:type="dxa"/>
          </w:tcPr>
          <w:p>
            <w:pPr>
              <w:pStyle w:val="TableParagraph"/>
              <w:ind w:left="386" w:right="377"/>
              <w:jc w:val="center"/>
              <w:rPr>
                <w:sz w:val="20"/>
              </w:rPr>
            </w:pPr>
            <w:r>
              <w:rPr>
                <w:sz w:val="20"/>
              </w:rPr>
              <w:t>Lengyel et al., 2015 Shi et al., 2016 Harada et al., 2016 Wang et Wu, 2015 Barbieri et al., 2015 Poli et al., 2016</w:t>
            </w:r>
          </w:p>
        </w:tc>
      </w:tr>
      <w:tr>
        <w:trPr>
          <w:trHeight w:val="540" w:hRule="atLeast"/>
        </w:trPr>
        <w:tc>
          <w:tcPr>
            <w:tcW w:w="2201" w:type="dxa"/>
            <w:vMerge w:val="restart"/>
          </w:tcPr>
          <w:p>
            <w:pPr>
              <w:pStyle w:val="TableParagraph"/>
              <w:spacing w:line="273" w:lineRule="exact"/>
              <w:ind w:left="194"/>
              <w:rPr>
                <w:b/>
                <w:sz w:val="24"/>
              </w:rPr>
            </w:pPr>
            <w:r>
              <w:rPr>
                <w:b/>
                <w:color w:val="00AF50"/>
                <w:sz w:val="24"/>
              </w:rPr>
              <w:t>Inhibition mTOR</w:t>
            </w:r>
          </w:p>
        </w:tc>
        <w:tc>
          <w:tcPr>
            <w:tcW w:w="1481" w:type="dxa"/>
          </w:tcPr>
          <w:p>
            <w:pPr>
              <w:pStyle w:val="TableParagraph"/>
              <w:spacing w:line="273" w:lineRule="exact"/>
              <w:ind w:left="94" w:right="94"/>
              <w:jc w:val="center"/>
              <w:rPr>
                <w:b/>
                <w:sz w:val="24"/>
              </w:rPr>
            </w:pPr>
            <w:r>
              <w:rPr>
                <w:b/>
                <w:sz w:val="24"/>
              </w:rPr>
              <w:t>Sirolimus</w:t>
            </w:r>
          </w:p>
        </w:tc>
        <w:tc>
          <w:tcPr>
            <w:tcW w:w="2132" w:type="dxa"/>
          </w:tcPr>
          <w:p>
            <w:pPr>
              <w:pStyle w:val="TableParagraph"/>
              <w:spacing w:line="268" w:lineRule="exact"/>
              <w:ind w:left="90" w:right="91"/>
              <w:jc w:val="center"/>
              <w:rPr>
                <w:sz w:val="24"/>
              </w:rPr>
            </w:pPr>
            <w:r>
              <w:rPr>
                <w:sz w:val="24"/>
              </w:rPr>
              <w:t>Cancer de la</w:t>
            </w:r>
          </w:p>
          <w:p>
            <w:pPr>
              <w:pStyle w:val="TableParagraph"/>
              <w:spacing w:line="264" w:lineRule="exact"/>
              <w:ind w:left="90" w:right="91"/>
              <w:jc w:val="center"/>
              <w:rPr>
                <w:sz w:val="24"/>
              </w:rPr>
            </w:pPr>
            <w:r>
              <w:rPr>
                <w:sz w:val="24"/>
              </w:rPr>
              <w:t>prostate</w:t>
            </w:r>
          </w:p>
        </w:tc>
        <w:tc>
          <w:tcPr>
            <w:tcW w:w="1839" w:type="dxa"/>
            <w:shd w:val="clear" w:color="auto" w:fill="D9D9D9"/>
          </w:tcPr>
          <w:p>
            <w:pPr>
              <w:pStyle w:val="TableParagraph"/>
              <w:rPr>
                <w:sz w:val="22"/>
              </w:rPr>
            </w:pPr>
          </w:p>
        </w:tc>
        <w:tc>
          <w:tcPr>
            <w:tcW w:w="3123" w:type="dxa"/>
          </w:tcPr>
          <w:p>
            <w:pPr>
              <w:pStyle w:val="TableParagraph"/>
              <w:spacing w:line="268" w:lineRule="exact"/>
              <w:ind w:left="92" w:right="93"/>
              <w:jc w:val="center"/>
              <w:rPr>
                <w:sz w:val="24"/>
              </w:rPr>
            </w:pPr>
            <w:r>
              <w:rPr>
                <w:sz w:val="24"/>
              </w:rPr>
              <w:t>Cancer de la prostate :</w:t>
            </w:r>
          </w:p>
          <w:p>
            <w:pPr>
              <w:pStyle w:val="TableParagraph"/>
              <w:spacing w:line="264" w:lineRule="exact"/>
              <w:ind w:left="92" w:right="92"/>
              <w:jc w:val="center"/>
              <w:rPr>
                <w:i/>
                <w:sz w:val="24"/>
              </w:rPr>
            </w:pPr>
            <w:r>
              <w:rPr>
                <w:i/>
                <w:sz w:val="24"/>
              </w:rPr>
              <w:t>cisplatine</w:t>
            </w:r>
          </w:p>
        </w:tc>
        <w:tc>
          <w:tcPr>
            <w:tcW w:w="2136" w:type="dxa"/>
            <w:shd w:val="clear" w:color="auto" w:fill="D9D9D9"/>
          </w:tcPr>
          <w:p>
            <w:pPr>
              <w:pStyle w:val="TableParagraph"/>
              <w:rPr>
                <w:sz w:val="22"/>
              </w:rPr>
            </w:pPr>
          </w:p>
        </w:tc>
        <w:tc>
          <w:tcPr>
            <w:tcW w:w="2405" w:type="dxa"/>
          </w:tcPr>
          <w:p>
            <w:pPr>
              <w:pStyle w:val="TableParagraph"/>
              <w:spacing w:line="223" w:lineRule="exact"/>
              <w:ind w:left="211" w:right="207"/>
              <w:jc w:val="center"/>
              <w:rPr>
                <w:sz w:val="20"/>
              </w:rPr>
            </w:pPr>
            <w:r>
              <w:rPr>
                <w:sz w:val="20"/>
              </w:rPr>
              <w:t>Imrali et al., 2016</w:t>
            </w:r>
          </w:p>
        </w:tc>
      </w:tr>
      <w:tr>
        <w:trPr>
          <w:trHeight w:val="820" w:hRule="atLeast"/>
        </w:trPr>
        <w:tc>
          <w:tcPr>
            <w:tcW w:w="2201" w:type="dxa"/>
            <w:vMerge/>
            <w:tcBorders>
              <w:top w:val="nil"/>
            </w:tcBorders>
          </w:tcPr>
          <w:p>
            <w:pPr>
              <w:rPr>
                <w:sz w:val="2"/>
                <w:szCs w:val="2"/>
              </w:rPr>
            </w:pPr>
          </w:p>
        </w:tc>
        <w:tc>
          <w:tcPr>
            <w:tcW w:w="1481" w:type="dxa"/>
          </w:tcPr>
          <w:p>
            <w:pPr>
              <w:pStyle w:val="TableParagraph"/>
              <w:ind w:left="220" w:right="217" w:hanging="3"/>
              <w:jc w:val="center"/>
              <w:rPr>
                <w:b/>
                <w:sz w:val="24"/>
              </w:rPr>
            </w:pPr>
            <w:r>
              <w:rPr>
                <w:b/>
                <w:sz w:val="24"/>
              </w:rPr>
              <w:t>Palomid 529 (entre</w:t>
            </w:r>
          </w:p>
          <w:p>
            <w:pPr>
              <w:pStyle w:val="TableParagraph"/>
              <w:spacing w:line="259" w:lineRule="exact" w:before="3"/>
              <w:ind w:left="93" w:right="95"/>
              <w:jc w:val="center"/>
              <w:rPr>
                <w:b/>
                <w:sz w:val="24"/>
              </w:rPr>
            </w:pPr>
            <w:r>
              <w:rPr>
                <w:b/>
                <w:sz w:val="24"/>
              </w:rPr>
              <w:t>autres)</w:t>
            </w:r>
          </w:p>
        </w:tc>
        <w:tc>
          <w:tcPr>
            <w:tcW w:w="2132" w:type="dxa"/>
          </w:tcPr>
          <w:p>
            <w:pPr>
              <w:pStyle w:val="TableParagraph"/>
              <w:spacing w:line="268" w:lineRule="exact"/>
              <w:ind w:left="90" w:right="91"/>
              <w:jc w:val="center"/>
              <w:rPr>
                <w:sz w:val="24"/>
              </w:rPr>
            </w:pPr>
            <w:r>
              <w:rPr>
                <w:sz w:val="24"/>
              </w:rPr>
              <w:t>Cancer du sein</w:t>
            </w:r>
          </w:p>
          <w:p>
            <w:pPr>
              <w:pStyle w:val="TableParagraph"/>
              <w:spacing w:line="270" w:lineRule="atLeast"/>
              <w:ind w:left="180" w:right="181"/>
              <w:jc w:val="center"/>
              <w:rPr>
                <w:sz w:val="24"/>
              </w:rPr>
            </w:pPr>
            <w:r>
              <w:rPr>
                <w:sz w:val="24"/>
              </w:rPr>
              <w:t>(déficient en Brca 1)</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1" w:right="207"/>
              <w:jc w:val="center"/>
              <w:rPr>
                <w:sz w:val="20"/>
              </w:rPr>
            </w:pPr>
            <w:r>
              <w:rPr>
                <w:sz w:val="20"/>
              </w:rPr>
              <w:t>Xiang et al., 2011</w:t>
            </w:r>
          </w:p>
        </w:tc>
      </w:tr>
      <w:tr>
        <w:trPr>
          <w:trHeight w:val="480" w:hRule="atLeast"/>
        </w:trPr>
        <w:tc>
          <w:tcPr>
            <w:tcW w:w="15317" w:type="dxa"/>
            <w:gridSpan w:val="7"/>
          </w:tcPr>
          <w:p>
            <w:pPr>
              <w:pStyle w:val="TableParagraph"/>
              <w:spacing w:line="318" w:lineRule="exact"/>
              <w:ind w:left="5232" w:right="5225"/>
              <w:jc w:val="center"/>
              <w:rPr>
                <w:b/>
                <w:sz w:val="28"/>
              </w:rPr>
            </w:pPr>
            <w:r>
              <w:rPr>
                <w:b/>
                <w:color w:val="6F2F9F"/>
                <w:sz w:val="28"/>
              </w:rPr>
              <w:t>Cibler la formation d’acétyl-CoA</w:t>
            </w:r>
          </w:p>
        </w:tc>
      </w:tr>
      <w:tr>
        <w:trPr>
          <w:trHeight w:val="2060" w:hRule="atLeast"/>
        </w:trPr>
        <w:tc>
          <w:tcPr>
            <w:tcW w:w="2201" w:type="dxa"/>
            <w:vMerge w:val="restart"/>
          </w:tcPr>
          <w:p>
            <w:pPr>
              <w:pStyle w:val="TableParagraph"/>
              <w:spacing w:line="273" w:lineRule="exact"/>
              <w:ind w:left="299"/>
              <w:rPr>
                <w:b/>
                <w:sz w:val="24"/>
              </w:rPr>
            </w:pPr>
            <w:r>
              <w:rPr>
                <w:b/>
                <w:color w:val="00AF50"/>
                <w:sz w:val="24"/>
              </w:rPr>
              <w:t>Inhibition PDH</w:t>
            </w:r>
          </w:p>
        </w:tc>
        <w:tc>
          <w:tcPr>
            <w:tcW w:w="1481" w:type="dxa"/>
            <w:vMerge w:val="restart"/>
          </w:tcPr>
          <w:p>
            <w:pPr>
              <w:pStyle w:val="TableParagraph"/>
              <w:spacing w:line="273" w:lineRule="exact"/>
              <w:ind w:left="474"/>
              <w:rPr>
                <w:b/>
                <w:sz w:val="24"/>
              </w:rPr>
            </w:pPr>
            <w:r>
              <w:rPr>
                <w:b/>
                <w:sz w:val="24"/>
              </w:rPr>
              <w:t>DCA</w:t>
            </w:r>
          </w:p>
        </w:tc>
        <w:tc>
          <w:tcPr>
            <w:tcW w:w="3971" w:type="dxa"/>
            <w:gridSpan w:val="2"/>
          </w:tcPr>
          <w:p>
            <w:pPr>
              <w:pStyle w:val="TableParagraph"/>
              <w:ind w:left="369" w:right="370" w:firstLine="2"/>
              <w:jc w:val="center"/>
              <w:rPr>
                <w:sz w:val="24"/>
              </w:rPr>
            </w:pPr>
            <w:r>
              <w:rPr>
                <w:sz w:val="24"/>
              </w:rPr>
              <w:t>Poumon, glioblastome, Sein Prostate, Endomètre, Pédiatrique, Colorectal</w:t>
            </w:r>
          </w:p>
          <w:p>
            <w:pPr>
              <w:pStyle w:val="TableParagraph"/>
              <w:spacing w:before="8"/>
              <w:ind w:left="403" w:right="403"/>
              <w:jc w:val="center"/>
              <w:rPr>
                <w:sz w:val="24"/>
              </w:rPr>
            </w:pPr>
            <w:r>
              <w:rPr>
                <w:sz w:val="24"/>
              </w:rPr>
              <w:t>Myélome multiple</w:t>
            </w:r>
          </w:p>
        </w:tc>
        <w:tc>
          <w:tcPr>
            <w:tcW w:w="3123" w:type="dxa"/>
          </w:tcPr>
          <w:p>
            <w:pPr>
              <w:pStyle w:val="TableParagraph"/>
              <w:spacing w:line="268" w:lineRule="exact"/>
              <w:ind w:left="92" w:right="93"/>
              <w:jc w:val="center"/>
              <w:rPr>
                <w:sz w:val="24"/>
              </w:rPr>
            </w:pPr>
            <w:r>
              <w:rPr>
                <w:sz w:val="24"/>
              </w:rPr>
              <w:t>Cancer du poumon :</w:t>
            </w:r>
          </w:p>
          <w:p>
            <w:pPr>
              <w:pStyle w:val="TableParagraph"/>
              <w:ind w:left="602" w:right="603" w:hanging="1"/>
              <w:jc w:val="center"/>
              <w:rPr>
                <w:i/>
                <w:sz w:val="24"/>
              </w:rPr>
            </w:pPr>
            <w:r>
              <w:rPr>
                <w:i/>
                <w:sz w:val="24"/>
              </w:rPr>
              <w:t>paclitaxel </w:t>
            </w:r>
            <w:r>
              <w:rPr>
                <w:sz w:val="24"/>
              </w:rPr>
              <w:t>Myélome multiple</w:t>
            </w:r>
            <w:r>
              <w:rPr>
                <w:spacing w:val="-5"/>
                <w:sz w:val="24"/>
              </w:rPr>
              <w:t> </w:t>
            </w:r>
            <w:r>
              <w:rPr>
                <w:sz w:val="24"/>
              </w:rPr>
              <w:t>: </w:t>
            </w:r>
            <w:r>
              <w:rPr>
                <w:i/>
                <w:sz w:val="24"/>
              </w:rPr>
              <w:t>bortézomib</w:t>
            </w:r>
          </w:p>
        </w:tc>
        <w:tc>
          <w:tcPr>
            <w:tcW w:w="2136" w:type="dxa"/>
          </w:tcPr>
          <w:p>
            <w:pPr>
              <w:pStyle w:val="TableParagraph"/>
              <w:ind w:left="681" w:right="444" w:hanging="219"/>
              <w:rPr>
                <w:sz w:val="24"/>
              </w:rPr>
            </w:pPr>
            <w:r>
              <w:rPr>
                <w:sz w:val="24"/>
              </w:rPr>
              <w:t>Cancer de la prostate</w:t>
            </w:r>
          </w:p>
        </w:tc>
        <w:tc>
          <w:tcPr>
            <w:tcW w:w="2405" w:type="dxa"/>
          </w:tcPr>
          <w:p>
            <w:pPr>
              <w:pStyle w:val="TableParagraph"/>
              <w:ind w:left="395" w:right="390" w:firstLine="2"/>
              <w:jc w:val="center"/>
              <w:rPr>
                <w:sz w:val="20"/>
              </w:rPr>
            </w:pPr>
            <w:r>
              <w:rPr>
                <w:sz w:val="20"/>
              </w:rPr>
              <w:t>Bonnet et al., 2007 Duan et al., 2013 Cao et al., 2008 Wong et al., 2008 Heshe et al., 2011 Madhok et al., 2010 Lin et al., 2014a Sanchez et al., 2013</w:t>
            </w:r>
          </w:p>
          <w:p>
            <w:pPr>
              <w:pStyle w:val="TableParagraph"/>
              <w:spacing w:line="216" w:lineRule="exact" w:before="7"/>
              <w:ind w:left="211" w:right="207"/>
              <w:jc w:val="center"/>
              <w:rPr>
                <w:sz w:val="20"/>
              </w:rPr>
            </w:pPr>
            <w:r>
              <w:rPr>
                <w:sz w:val="20"/>
              </w:rPr>
              <w:t>Zhou et al., 2015</w:t>
            </w:r>
          </w:p>
        </w:tc>
      </w:tr>
      <w:tr>
        <w:trPr>
          <w:trHeight w:val="540" w:hRule="atLeast"/>
        </w:trPr>
        <w:tc>
          <w:tcPr>
            <w:tcW w:w="2201" w:type="dxa"/>
            <w:vMerge/>
            <w:tcBorders>
              <w:top w:val="nil"/>
            </w:tcBorders>
          </w:tcPr>
          <w:p>
            <w:pPr>
              <w:rPr>
                <w:sz w:val="2"/>
                <w:szCs w:val="2"/>
              </w:rPr>
            </w:pPr>
          </w:p>
        </w:tc>
        <w:tc>
          <w:tcPr>
            <w:tcW w:w="1481" w:type="dxa"/>
            <w:vMerge/>
            <w:tcBorders>
              <w:top w:val="nil"/>
            </w:tcBorders>
          </w:tcPr>
          <w:p>
            <w:pPr>
              <w:rPr>
                <w:sz w:val="2"/>
                <w:szCs w:val="2"/>
              </w:rPr>
            </w:pPr>
          </w:p>
        </w:tc>
        <w:tc>
          <w:tcPr>
            <w:tcW w:w="2132" w:type="dxa"/>
          </w:tcPr>
          <w:p>
            <w:pPr>
              <w:pStyle w:val="TableParagraph"/>
              <w:spacing w:line="269" w:lineRule="exact"/>
              <w:ind w:left="107" w:firstLine="31"/>
              <w:rPr>
                <w:sz w:val="24"/>
              </w:rPr>
            </w:pPr>
            <w:r>
              <w:rPr>
                <w:sz w:val="24"/>
              </w:rPr>
              <w:t>Tumeur mammaire</w:t>
            </w:r>
          </w:p>
          <w:p>
            <w:pPr>
              <w:pStyle w:val="TableParagraph"/>
              <w:spacing w:line="264" w:lineRule="exact"/>
              <w:ind w:left="107"/>
              <w:rPr>
                <w:sz w:val="24"/>
              </w:rPr>
            </w:pPr>
            <w:r>
              <w:rPr>
                <w:sz w:val="24"/>
              </w:rPr>
              <w:t>(humaine et canine)</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5" w:lineRule="exact"/>
              <w:ind w:left="211" w:right="207"/>
              <w:jc w:val="center"/>
              <w:rPr>
                <w:sz w:val="20"/>
              </w:rPr>
            </w:pPr>
            <w:r>
              <w:rPr>
                <w:sz w:val="20"/>
              </w:rPr>
              <w:t>Dagli et al., 2017</w:t>
            </w:r>
          </w:p>
        </w:tc>
      </w:tr>
      <w:tr>
        <w:trPr>
          <w:trHeight w:val="680" w:hRule="atLeast"/>
        </w:trPr>
        <w:tc>
          <w:tcPr>
            <w:tcW w:w="2201" w:type="dxa"/>
            <w:vMerge/>
            <w:tcBorders>
              <w:top w:val="nil"/>
            </w:tcBorders>
          </w:tcPr>
          <w:p>
            <w:pPr>
              <w:rPr>
                <w:sz w:val="2"/>
                <w:szCs w:val="2"/>
              </w:rPr>
            </w:pPr>
          </w:p>
        </w:tc>
        <w:tc>
          <w:tcPr>
            <w:tcW w:w="1481" w:type="dxa"/>
          </w:tcPr>
          <w:p>
            <w:pPr>
              <w:pStyle w:val="TableParagraph"/>
              <w:spacing w:line="273" w:lineRule="exact"/>
              <w:ind w:left="94" w:right="94"/>
              <w:jc w:val="center"/>
              <w:rPr>
                <w:b/>
                <w:sz w:val="24"/>
              </w:rPr>
            </w:pPr>
            <w:r>
              <w:rPr>
                <w:b/>
                <w:sz w:val="24"/>
              </w:rPr>
              <w:t>ALA</w:t>
            </w:r>
          </w:p>
        </w:tc>
        <w:tc>
          <w:tcPr>
            <w:tcW w:w="2132" w:type="dxa"/>
          </w:tcPr>
          <w:p>
            <w:pPr>
              <w:pStyle w:val="TableParagraph"/>
              <w:ind w:left="273" w:right="256" w:firstLine="74"/>
              <w:rPr>
                <w:sz w:val="24"/>
              </w:rPr>
            </w:pPr>
            <w:r>
              <w:rPr>
                <w:sz w:val="24"/>
              </w:rPr>
              <w:t>Cancer du sein Cancer du côlon</w:t>
            </w:r>
          </w:p>
        </w:tc>
        <w:tc>
          <w:tcPr>
            <w:tcW w:w="1839" w:type="dxa"/>
            <w:shd w:val="clear" w:color="auto" w:fill="D9D9D9"/>
          </w:tcPr>
          <w:p>
            <w:pPr>
              <w:pStyle w:val="TableParagraph"/>
              <w:rPr>
                <w:sz w:val="22"/>
              </w:rPr>
            </w:pPr>
          </w:p>
        </w:tc>
        <w:tc>
          <w:tcPr>
            <w:tcW w:w="3123" w:type="dxa"/>
          </w:tcPr>
          <w:p>
            <w:pPr>
              <w:pStyle w:val="TableParagraph"/>
              <w:spacing w:line="268" w:lineRule="exact"/>
              <w:ind w:left="92" w:right="93"/>
              <w:jc w:val="center"/>
              <w:rPr>
                <w:sz w:val="24"/>
              </w:rPr>
            </w:pPr>
            <w:r>
              <w:rPr>
                <w:sz w:val="24"/>
              </w:rPr>
              <w:t>Cancer du poumon :</w:t>
            </w:r>
          </w:p>
          <w:p>
            <w:pPr>
              <w:pStyle w:val="TableParagraph"/>
              <w:ind w:left="92" w:right="92"/>
              <w:jc w:val="center"/>
              <w:rPr>
                <w:i/>
                <w:sz w:val="24"/>
              </w:rPr>
            </w:pPr>
            <w:r>
              <w:rPr>
                <w:i/>
                <w:sz w:val="24"/>
              </w:rPr>
              <w:t>cisplatine</w:t>
            </w:r>
          </w:p>
        </w:tc>
        <w:tc>
          <w:tcPr>
            <w:tcW w:w="2136" w:type="dxa"/>
            <w:shd w:val="clear" w:color="auto" w:fill="D9D9D9"/>
          </w:tcPr>
          <w:p>
            <w:pPr>
              <w:pStyle w:val="TableParagraph"/>
              <w:rPr>
                <w:sz w:val="22"/>
              </w:rPr>
            </w:pPr>
          </w:p>
        </w:tc>
        <w:tc>
          <w:tcPr>
            <w:tcW w:w="2405" w:type="dxa"/>
          </w:tcPr>
          <w:p>
            <w:pPr>
              <w:pStyle w:val="TableParagraph"/>
              <w:ind w:left="352" w:right="343" w:hanging="2"/>
              <w:jc w:val="center"/>
              <w:rPr>
                <w:sz w:val="20"/>
              </w:rPr>
            </w:pPr>
            <w:r>
              <w:rPr>
                <w:sz w:val="20"/>
              </w:rPr>
              <w:t>Na et al., 2009 Puchsaka et al., 2016</w:t>
            </w:r>
          </w:p>
          <w:p>
            <w:pPr>
              <w:pStyle w:val="TableParagraph"/>
              <w:spacing w:line="215" w:lineRule="exact" w:before="7"/>
              <w:ind w:left="110" w:right="111"/>
              <w:jc w:val="center"/>
              <w:rPr>
                <w:sz w:val="20"/>
              </w:rPr>
            </w:pPr>
            <w:r>
              <w:rPr>
                <w:sz w:val="20"/>
              </w:rPr>
              <w:t>U Wenzel et Nickel., 2005</w:t>
            </w:r>
          </w:p>
        </w:tc>
      </w:tr>
    </w:tbl>
    <w:p>
      <w:pPr>
        <w:spacing w:after="0" w:line="215" w:lineRule="exact"/>
        <w:jc w:val="center"/>
        <w:rPr>
          <w:sz w:val="20"/>
        </w:rPr>
        <w:sectPr>
          <w:pgSz w:w="16840" w:h="11910" w:orient="landscape"/>
          <w:pgMar w:header="0" w:footer="998" w:top="1100" w:bottom="1180" w:left="640" w:right="640"/>
        </w:sectPr>
      </w:pPr>
    </w:p>
    <w:p>
      <w:pPr>
        <w:pStyle w:val="BodyText"/>
        <w:spacing w:before="1" w:after="1"/>
        <w:rPr>
          <w:sz w:val="2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21"/>
        <w:gridCol w:w="1481"/>
        <w:gridCol w:w="2132"/>
        <w:gridCol w:w="1839"/>
        <w:gridCol w:w="3123"/>
        <w:gridCol w:w="2136"/>
        <w:gridCol w:w="2405"/>
      </w:tblGrid>
      <w:tr>
        <w:trPr>
          <w:trHeight w:val="540" w:hRule="atLeast"/>
        </w:trPr>
        <w:tc>
          <w:tcPr>
            <w:tcW w:w="2201" w:type="dxa"/>
            <w:gridSpan w:val="2"/>
            <w:vMerge w:val="restart"/>
          </w:tcPr>
          <w:p>
            <w:pPr>
              <w:pStyle w:val="TableParagraph"/>
              <w:spacing w:line="273" w:lineRule="exact"/>
              <w:ind w:left="213"/>
              <w:rPr>
                <w:b/>
                <w:sz w:val="24"/>
              </w:rPr>
            </w:pPr>
            <w:r>
              <w:rPr>
                <w:b/>
                <w:color w:val="00AF50"/>
                <w:sz w:val="24"/>
              </w:rPr>
              <w:t>Inhibition ACLY</w:t>
            </w:r>
          </w:p>
        </w:tc>
        <w:tc>
          <w:tcPr>
            <w:tcW w:w="1481" w:type="dxa"/>
          </w:tcPr>
          <w:p>
            <w:pPr>
              <w:pStyle w:val="TableParagraph"/>
              <w:spacing w:line="273" w:lineRule="exact"/>
              <w:ind w:left="94" w:right="95"/>
              <w:jc w:val="center"/>
              <w:rPr>
                <w:b/>
                <w:sz w:val="24"/>
              </w:rPr>
            </w:pPr>
            <w:r>
              <w:rPr>
                <w:b/>
                <w:sz w:val="24"/>
              </w:rPr>
              <w:t>HCA</w:t>
            </w:r>
          </w:p>
        </w:tc>
        <w:tc>
          <w:tcPr>
            <w:tcW w:w="3971" w:type="dxa"/>
            <w:gridSpan w:val="2"/>
          </w:tcPr>
          <w:p>
            <w:pPr>
              <w:pStyle w:val="TableParagraph"/>
              <w:spacing w:line="268" w:lineRule="exact"/>
              <w:ind w:left="403" w:right="404"/>
              <w:jc w:val="center"/>
              <w:rPr>
                <w:sz w:val="24"/>
              </w:rPr>
            </w:pPr>
            <w:r>
              <w:rPr>
                <w:sz w:val="24"/>
              </w:rPr>
              <w:t>Cancer du poumon, de la vessie,</w:t>
            </w:r>
          </w:p>
          <w:p>
            <w:pPr>
              <w:pStyle w:val="TableParagraph"/>
              <w:spacing w:line="264" w:lineRule="exact"/>
              <w:ind w:left="402" w:right="404"/>
              <w:jc w:val="center"/>
              <w:rPr>
                <w:sz w:val="24"/>
              </w:rPr>
            </w:pPr>
            <w:r>
              <w:rPr>
                <w:sz w:val="24"/>
              </w:rPr>
              <w:t>mélanome</w:t>
            </w:r>
          </w:p>
        </w:tc>
        <w:tc>
          <w:tcPr>
            <w:tcW w:w="3123" w:type="dxa"/>
          </w:tcPr>
          <w:p>
            <w:pPr>
              <w:pStyle w:val="TableParagraph"/>
              <w:spacing w:line="268" w:lineRule="exact"/>
              <w:ind w:left="92" w:right="93"/>
              <w:jc w:val="center"/>
              <w:rPr>
                <w:sz w:val="24"/>
              </w:rPr>
            </w:pPr>
            <w:r>
              <w:rPr>
                <w:sz w:val="24"/>
              </w:rPr>
              <w:t>Cellules leucémiques :</w:t>
            </w:r>
          </w:p>
          <w:p>
            <w:pPr>
              <w:pStyle w:val="TableParagraph"/>
              <w:spacing w:line="264" w:lineRule="exact"/>
              <w:ind w:left="92" w:right="92"/>
              <w:jc w:val="center"/>
              <w:rPr>
                <w:i/>
                <w:sz w:val="24"/>
              </w:rPr>
            </w:pPr>
            <w:r>
              <w:rPr>
                <w:i/>
                <w:sz w:val="24"/>
              </w:rPr>
              <w:t>daunorubicine</w:t>
            </w:r>
          </w:p>
        </w:tc>
        <w:tc>
          <w:tcPr>
            <w:tcW w:w="2136" w:type="dxa"/>
            <w:shd w:val="clear" w:color="auto" w:fill="D9D9D9"/>
          </w:tcPr>
          <w:p>
            <w:pPr>
              <w:pStyle w:val="TableParagraph"/>
              <w:rPr>
                <w:sz w:val="22"/>
              </w:rPr>
            </w:pPr>
          </w:p>
        </w:tc>
        <w:tc>
          <w:tcPr>
            <w:tcW w:w="2405" w:type="dxa"/>
          </w:tcPr>
          <w:p>
            <w:pPr>
              <w:pStyle w:val="TableParagraph"/>
              <w:ind w:left="357" w:right="335" w:firstLine="211"/>
              <w:rPr>
                <w:sz w:val="20"/>
              </w:rPr>
            </w:pPr>
            <w:r>
              <w:rPr>
                <w:sz w:val="20"/>
              </w:rPr>
              <w:t>Zhu et al., 2015 Schwartz et al., 2010</w:t>
            </w:r>
          </w:p>
        </w:tc>
      </w:tr>
      <w:tr>
        <w:trPr>
          <w:trHeight w:val="540" w:hRule="atLeast"/>
        </w:trPr>
        <w:tc>
          <w:tcPr>
            <w:tcW w:w="2201" w:type="dxa"/>
            <w:gridSpan w:val="2"/>
            <w:vMerge/>
            <w:tcBorders>
              <w:top w:val="nil"/>
            </w:tcBorders>
          </w:tcPr>
          <w:p>
            <w:pPr>
              <w:rPr>
                <w:sz w:val="2"/>
                <w:szCs w:val="2"/>
              </w:rPr>
            </w:pPr>
          </w:p>
        </w:tc>
        <w:tc>
          <w:tcPr>
            <w:tcW w:w="1481" w:type="dxa"/>
          </w:tcPr>
          <w:p>
            <w:pPr>
              <w:pStyle w:val="TableParagraph"/>
              <w:spacing w:line="273" w:lineRule="exact"/>
              <w:ind w:left="94" w:right="94"/>
              <w:jc w:val="center"/>
              <w:rPr>
                <w:b/>
                <w:sz w:val="24"/>
              </w:rPr>
            </w:pPr>
            <w:r>
              <w:rPr>
                <w:b/>
                <w:sz w:val="24"/>
              </w:rPr>
              <w:t>SB-204990</w:t>
            </w:r>
          </w:p>
        </w:tc>
        <w:tc>
          <w:tcPr>
            <w:tcW w:w="2132" w:type="dxa"/>
          </w:tcPr>
          <w:p>
            <w:pPr>
              <w:pStyle w:val="TableParagraph"/>
              <w:spacing w:line="268" w:lineRule="exact"/>
              <w:ind w:left="89" w:right="91"/>
              <w:jc w:val="center"/>
              <w:rPr>
                <w:sz w:val="24"/>
              </w:rPr>
            </w:pPr>
            <w:r>
              <w:rPr>
                <w:sz w:val="24"/>
              </w:rPr>
              <w:t>Différentes lignées</w:t>
            </w:r>
          </w:p>
        </w:tc>
        <w:tc>
          <w:tcPr>
            <w:tcW w:w="1839" w:type="dxa"/>
          </w:tcPr>
          <w:p>
            <w:pPr>
              <w:pStyle w:val="TableParagraph"/>
              <w:spacing w:line="268" w:lineRule="exact"/>
              <w:ind w:left="494" w:hanging="70"/>
              <w:rPr>
                <w:sz w:val="24"/>
              </w:rPr>
            </w:pPr>
            <w:r>
              <w:rPr>
                <w:sz w:val="24"/>
              </w:rPr>
              <w:t>Cancer du</w:t>
            </w:r>
          </w:p>
          <w:p>
            <w:pPr>
              <w:pStyle w:val="TableParagraph"/>
              <w:spacing w:line="264" w:lineRule="exact"/>
              <w:ind w:left="494"/>
              <w:rPr>
                <w:sz w:val="24"/>
              </w:rPr>
            </w:pPr>
            <w:r>
              <w:rPr>
                <w:sz w:val="24"/>
              </w:rPr>
              <w:t>pancréas</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110" w:right="103"/>
              <w:jc w:val="center"/>
              <w:rPr>
                <w:sz w:val="20"/>
              </w:rPr>
            </w:pPr>
            <w:r>
              <w:rPr>
                <w:sz w:val="20"/>
              </w:rPr>
              <w:t>Hatzivassiliou et al., 2005</w:t>
            </w:r>
          </w:p>
        </w:tc>
      </w:tr>
      <w:tr>
        <w:trPr>
          <w:trHeight w:val="260" w:hRule="atLeast"/>
        </w:trPr>
        <w:tc>
          <w:tcPr>
            <w:tcW w:w="2201" w:type="dxa"/>
            <w:gridSpan w:val="2"/>
            <w:vMerge/>
            <w:tcBorders>
              <w:top w:val="nil"/>
            </w:tcBorders>
          </w:tcPr>
          <w:p>
            <w:pPr>
              <w:rPr>
                <w:sz w:val="2"/>
                <w:szCs w:val="2"/>
              </w:rPr>
            </w:pPr>
          </w:p>
        </w:tc>
        <w:tc>
          <w:tcPr>
            <w:tcW w:w="1481" w:type="dxa"/>
          </w:tcPr>
          <w:p>
            <w:pPr>
              <w:pStyle w:val="TableParagraph"/>
              <w:spacing w:line="256" w:lineRule="exact"/>
              <w:ind w:left="94" w:right="94"/>
              <w:jc w:val="center"/>
              <w:rPr>
                <w:b/>
                <w:sz w:val="24"/>
              </w:rPr>
            </w:pPr>
            <w:r>
              <w:rPr>
                <w:b/>
                <w:sz w:val="24"/>
              </w:rPr>
              <w:t>siARN</w:t>
            </w:r>
          </w:p>
        </w:tc>
        <w:tc>
          <w:tcPr>
            <w:tcW w:w="3971" w:type="dxa"/>
            <w:gridSpan w:val="2"/>
          </w:tcPr>
          <w:p>
            <w:pPr>
              <w:pStyle w:val="TableParagraph"/>
              <w:spacing w:line="256" w:lineRule="exact"/>
              <w:ind w:left="1066"/>
              <w:rPr>
                <w:sz w:val="24"/>
              </w:rPr>
            </w:pPr>
            <w:r>
              <w:rPr>
                <w:sz w:val="24"/>
              </w:rPr>
              <w:t>Cancer du poumon</w:t>
            </w: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1" w:right="207"/>
              <w:jc w:val="center"/>
              <w:rPr>
                <w:sz w:val="20"/>
              </w:rPr>
            </w:pPr>
            <w:r>
              <w:rPr>
                <w:sz w:val="20"/>
              </w:rPr>
              <w:t>Migita et al., 2008</w:t>
            </w:r>
          </w:p>
        </w:tc>
      </w:tr>
      <w:tr>
        <w:trPr>
          <w:trHeight w:val="480" w:hRule="atLeast"/>
        </w:trPr>
        <w:tc>
          <w:tcPr>
            <w:tcW w:w="15317" w:type="dxa"/>
            <w:gridSpan w:val="8"/>
          </w:tcPr>
          <w:p>
            <w:pPr>
              <w:pStyle w:val="TableParagraph"/>
              <w:spacing w:line="317" w:lineRule="exact"/>
              <w:ind w:left="5231" w:right="5227"/>
              <w:jc w:val="center"/>
              <w:rPr>
                <w:b/>
                <w:sz w:val="28"/>
              </w:rPr>
            </w:pPr>
            <w:r>
              <w:rPr>
                <w:b/>
                <w:color w:val="6F2F9F"/>
                <w:sz w:val="28"/>
              </w:rPr>
              <w:t>Cibler l’équilibre acido-basique</w:t>
            </w:r>
          </w:p>
        </w:tc>
      </w:tr>
      <w:tr>
        <w:trPr>
          <w:trHeight w:val="540" w:hRule="atLeast"/>
        </w:trPr>
        <w:tc>
          <w:tcPr>
            <w:tcW w:w="1980" w:type="dxa"/>
            <w:vMerge w:val="restart"/>
          </w:tcPr>
          <w:p>
            <w:pPr>
              <w:pStyle w:val="TableParagraph"/>
              <w:spacing w:line="273" w:lineRule="exact"/>
              <w:ind w:left="182"/>
              <w:rPr>
                <w:b/>
                <w:sz w:val="24"/>
              </w:rPr>
            </w:pPr>
            <w:r>
              <w:rPr>
                <w:b/>
                <w:color w:val="00AF50"/>
                <w:sz w:val="24"/>
              </w:rPr>
              <w:t>Inhibition LDH</w:t>
            </w:r>
          </w:p>
        </w:tc>
        <w:tc>
          <w:tcPr>
            <w:tcW w:w="1702" w:type="dxa"/>
            <w:gridSpan w:val="2"/>
          </w:tcPr>
          <w:p>
            <w:pPr>
              <w:pStyle w:val="TableParagraph"/>
              <w:spacing w:line="273" w:lineRule="exact"/>
              <w:ind w:left="103" w:right="101"/>
              <w:jc w:val="center"/>
              <w:rPr>
                <w:b/>
                <w:sz w:val="24"/>
              </w:rPr>
            </w:pPr>
            <w:r>
              <w:rPr>
                <w:b/>
                <w:sz w:val="24"/>
              </w:rPr>
              <w:t>FX11</w:t>
            </w:r>
          </w:p>
        </w:tc>
        <w:tc>
          <w:tcPr>
            <w:tcW w:w="2132" w:type="dxa"/>
          </w:tcPr>
          <w:p>
            <w:pPr>
              <w:pStyle w:val="TableParagraph"/>
              <w:spacing w:line="268" w:lineRule="exact"/>
              <w:ind w:left="89" w:right="91"/>
              <w:jc w:val="center"/>
              <w:rPr>
                <w:sz w:val="24"/>
              </w:rPr>
            </w:pPr>
            <w:r>
              <w:rPr>
                <w:sz w:val="24"/>
              </w:rPr>
              <w:t>Lymphome</w:t>
            </w:r>
          </w:p>
        </w:tc>
        <w:tc>
          <w:tcPr>
            <w:tcW w:w="1839" w:type="dxa"/>
          </w:tcPr>
          <w:p>
            <w:pPr>
              <w:pStyle w:val="TableParagraph"/>
              <w:spacing w:line="268" w:lineRule="exact"/>
              <w:ind w:left="494" w:hanging="70"/>
              <w:rPr>
                <w:sz w:val="24"/>
              </w:rPr>
            </w:pPr>
            <w:r>
              <w:rPr>
                <w:sz w:val="24"/>
              </w:rPr>
              <w:t>Cancer du</w:t>
            </w:r>
          </w:p>
          <w:p>
            <w:pPr>
              <w:pStyle w:val="TableParagraph"/>
              <w:spacing w:line="266" w:lineRule="exact"/>
              <w:ind w:left="494"/>
              <w:rPr>
                <w:sz w:val="24"/>
              </w:rPr>
            </w:pPr>
            <w:r>
              <w:rPr>
                <w:sz w:val="24"/>
              </w:rPr>
              <w:t>pancréas</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1" w:right="207"/>
              <w:jc w:val="center"/>
              <w:rPr>
                <w:sz w:val="20"/>
              </w:rPr>
            </w:pPr>
            <w:r>
              <w:rPr>
                <w:sz w:val="20"/>
              </w:rPr>
              <w:t>Le et al., 2010</w:t>
            </w:r>
          </w:p>
        </w:tc>
      </w:tr>
      <w:tr>
        <w:trPr>
          <w:trHeight w:val="820" w:hRule="atLeast"/>
        </w:trPr>
        <w:tc>
          <w:tcPr>
            <w:tcW w:w="1980" w:type="dxa"/>
            <w:vMerge/>
            <w:tcBorders>
              <w:top w:val="nil"/>
            </w:tcBorders>
          </w:tcPr>
          <w:p>
            <w:pPr>
              <w:rPr>
                <w:sz w:val="2"/>
                <w:szCs w:val="2"/>
              </w:rPr>
            </w:pPr>
          </w:p>
        </w:tc>
        <w:tc>
          <w:tcPr>
            <w:tcW w:w="1702" w:type="dxa"/>
            <w:gridSpan w:val="2"/>
          </w:tcPr>
          <w:p>
            <w:pPr>
              <w:pStyle w:val="TableParagraph"/>
              <w:spacing w:line="274" w:lineRule="exact"/>
              <w:ind w:left="103" w:right="99"/>
              <w:jc w:val="center"/>
              <w:rPr>
                <w:b/>
                <w:sz w:val="24"/>
              </w:rPr>
            </w:pPr>
            <w:r>
              <w:rPr>
                <w:b/>
                <w:sz w:val="24"/>
              </w:rPr>
              <w:t>AB3</w:t>
            </w:r>
          </w:p>
        </w:tc>
        <w:tc>
          <w:tcPr>
            <w:tcW w:w="2132" w:type="dxa"/>
          </w:tcPr>
          <w:p>
            <w:pPr>
              <w:pStyle w:val="TableParagraph"/>
              <w:ind w:left="292" w:right="295" w:firstLine="6"/>
              <w:jc w:val="center"/>
              <w:rPr>
                <w:sz w:val="24"/>
              </w:rPr>
            </w:pPr>
            <w:r>
              <w:rPr>
                <w:sz w:val="24"/>
              </w:rPr>
              <w:t>Carcinome hépatocellulaire</w:t>
            </w:r>
          </w:p>
          <w:p>
            <w:pPr>
              <w:pStyle w:val="TableParagraph"/>
              <w:spacing w:line="264" w:lineRule="exact" w:before="7"/>
              <w:ind w:left="90" w:right="91"/>
              <w:jc w:val="center"/>
              <w:rPr>
                <w:sz w:val="24"/>
              </w:rPr>
            </w:pPr>
            <w:r>
              <w:rPr>
                <w:sz w:val="24"/>
              </w:rPr>
              <w:t>Cancer du sein</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4" w:lineRule="exact"/>
              <w:ind w:left="212" w:right="207"/>
              <w:jc w:val="center"/>
              <w:rPr>
                <w:sz w:val="20"/>
              </w:rPr>
            </w:pPr>
            <w:r>
              <w:rPr>
                <w:sz w:val="20"/>
              </w:rPr>
              <w:t>Billiard et al., 2013</w:t>
            </w:r>
          </w:p>
        </w:tc>
      </w:tr>
      <w:tr>
        <w:trPr>
          <w:trHeight w:val="540" w:hRule="atLeast"/>
        </w:trPr>
        <w:tc>
          <w:tcPr>
            <w:tcW w:w="1980" w:type="dxa"/>
            <w:vMerge/>
            <w:tcBorders>
              <w:top w:val="nil"/>
            </w:tcBorders>
          </w:tcPr>
          <w:p>
            <w:pPr>
              <w:rPr>
                <w:sz w:val="2"/>
                <w:szCs w:val="2"/>
              </w:rPr>
            </w:pPr>
          </w:p>
        </w:tc>
        <w:tc>
          <w:tcPr>
            <w:tcW w:w="1702" w:type="dxa"/>
            <w:gridSpan w:val="2"/>
          </w:tcPr>
          <w:p>
            <w:pPr>
              <w:pStyle w:val="TableParagraph"/>
              <w:spacing w:line="273" w:lineRule="exact"/>
              <w:ind w:left="220"/>
              <w:rPr>
                <w:b/>
                <w:sz w:val="24"/>
              </w:rPr>
            </w:pPr>
            <w:r>
              <w:rPr>
                <w:b/>
                <w:sz w:val="24"/>
              </w:rPr>
              <w:t>Galloflavine</w:t>
            </w:r>
          </w:p>
        </w:tc>
        <w:tc>
          <w:tcPr>
            <w:tcW w:w="2132" w:type="dxa"/>
          </w:tcPr>
          <w:p>
            <w:pPr>
              <w:pStyle w:val="TableParagraph"/>
              <w:spacing w:line="268" w:lineRule="exact"/>
              <w:ind w:left="480" w:firstLine="98"/>
              <w:rPr>
                <w:sz w:val="24"/>
              </w:rPr>
            </w:pPr>
            <w:r>
              <w:rPr>
                <w:sz w:val="24"/>
              </w:rPr>
              <w:t>Cancer de</w:t>
            </w:r>
          </w:p>
          <w:p>
            <w:pPr>
              <w:pStyle w:val="TableParagraph"/>
              <w:spacing w:line="264" w:lineRule="exact"/>
              <w:ind w:left="480"/>
              <w:rPr>
                <w:sz w:val="24"/>
              </w:rPr>
            </w:pPr>
            <w:r>
              <w:rPr>
                <w:sz w:val="24"/>
              </w:rPr>
              <w:t>l’endomètre</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4" w:right="207"/>
              <w:jc w:val="center"/>
              <w:rPr>
                <w:sz w:val="20"/>
              </w:rPr>
            </w:pPr>
            <w:r>
              <w:rPr>
                <w:sz w:val="20"/>
              </w:rPr>
              <w:t>Han et al., 2015</w:t>
            </w:r>
          </w:p>
        </w:tc>
      </w:tr>
      <w:tr>
        <w:trPr>
          <w:trHeight w:val="680" w:hRule="atLeast"/>
        </w:trPr>
        <w:tc>
          <w:tcPr>
            <w:tcW w:w="1980" w:type="dxa"/>
            <w:vMerge/>
            <w:tcBorders>
              <w:top w:val="nil"/>
            </w:tcBorders>
          </w:tcPr>
          <w:p>
            <w:pPr>
              <w:rPr>
                <w:sz w:val="2"/>
                <w:szCs w:val="2"/>
              </w:rPr>
            </w:pPr>
          </w:p>
        </w:tc>
        <w:tc>
          <w:tcPr>
            <w:tcW w:w="1702" w:type="dxa"/>
            <w:gridSpan w:val="2"/>
          </w:tcPr>
          <w:p>
            <w:pPr>
              <w:pStyle w:val="TableParagraph"/>
              <w:spacing w:line="273" w:lineRule="exact"/>
              <w:ind w:left="381"/>
              <w:rPr>
                <w:b/>
                <w:sz w:val="24"/>
              </w:rPr>
            </w:pPr>
            <w:r>
              <w:rPr>
                <w:b/>
                <w:sz w:val="24"/>
              </w:rPr>
              <w:t>Oxamate</w:t>
            </w:r>
          </w:p>
        </w:tc>
        <w:tc>
          <w:tcPr>
            <w:tcW w:w="2132" w:type="dxa"/>
          </w:tcPr>
          <w:p>
            <w:pPr>
              <w:pStyle w:val="TableParagraph"/>
              <w:ind w:left="593" w:right="557" w:hanging="15"/>
              <w:rPr>
                <w:sz w:val="24"/>
              </w:rPr>
            </w:pPr>
            <w:r>
              <w:rPr>
                <w:sz w:val="24"/>
              </w:rPr>
              <w:t>Cancer de l’estomac</w:t>
            </w:r>
          </w:p>
        </w:tc>
        <w:tc>
          <w:tcPr>
            <w:tcW w:w="1839" w:type="dxa"/>
            <w:shd w:val="clear" w:color="auto" w:fill="D9D9D9"/>
          </w:tcPr>
          <w:p>
            <w:pPr>
              <w:pStyle w:val="TableParagraph"/>
              <w:rPr>
                <w:sz w:val="22"/>
              </w:rPr>
            </w:pPr>
          </w:p>
        </w:tc>
        <w:tc>
          <w:tcPr>
            <w:tcW w:w="3123" w:type="dxa"/>
          </w:tcPr>
          <w:p>
            <w:pPr>
              <w:pStyle w:val="TableParagraph"/>
              <w:ind w:left="1082" w:right="107" w:hanging="956"/>
              <w:rPr>
                <w:i/>
                <w:sz w:val="24"/>
              </w:rPr>
            </w:pPr>
            <w:r>
              <w:rPr>
                <w:sz w:val="24"/>
              </w:rPr>
              <w:t>Cancer du sein : </w:t>
            </w:r>
            <w:r>
              <w:rPr>
                <w:i/>
                <w:sz w:val="24"/>
              </w:rPr>
              <w:t>trastuzumab, </w:t>
            </w:r>
            <w:r>
              <w:rPr>
                <w:i/>
                <w:sz w:val="24"/>
              </w:rPr>
              <w:t>paclitaxel</w:t>
            </w:r>
          </w:p>
        </w:tc>
        <w:tc>
          <w:tcPr>
            <w:tcW w:w="2136" w:type="dxa"/>
            <w:shd w:val="clear" w:color="auto" w:fill="D9D9D9"/>
          </w:tcPr>
          <w:p>
            <w:pPr>
              <w:pStyle w:val="TableParagraph"/>
              <w:rPr>
                <w:sz w:val="22"/>
              </w:rPr>
            </w:pPr>
          </w:p>
        </w:tc>
        <w:tc>
          <w:tcPr>
            <w:tcW w:w="2405" w:type="dxa"/>
          </w:tcPr>
          <w:p>
            <w:pPr>
              <w:pStyle w:val="TableParagraph"/>
              <w:spacing w:line="223" w:lineRule="exact"/>
              <w:ind w:left="479" w:firstLine="67"/>
              <w:rPr>
                <w:sz w:val="20"/>
              </w:rPr>
            </w:pPr>
            <w:r>
              <w:rPr>
                <w:sz w:val="20"/>
              </w:rPr>
              <w:t>Liu et al., 2015a</w:t>
            </w:r>
          </w:p>
          <w:p>
            <w:pPr>
              <w:pStyle w:val="TableParagraph"/>
              <w:spacing w:line="230" w:lineRule="atLeast"/>
              <w:ind w:left="518" w:right="457" w:hanging="39"/>
              <w:rPr>
                <w:sz w:val="20"/>
              </w:rPr>
            </w:pPr>
            <w:r>
              <w:rPr>
                <w:sz w:val="20"/>
              </w:rPr>
              <w:t>Zhao et al., 2011a Zhou et al., 2010</w:t>
            </w:r>
          </w:p>
        </w:tc>
      </w:tr>
      <w:tr>
        <w:trPr>
          <w:trHeight w:val="540" w:hRule="atLeast"/>
        </w:trPr>
        <w:tc>
          <w:tcPr>
            <w:tcW w:w="1980" w:type="dxa"/>
            <w:vMerge/>
            <w:tcBorders>
              <w:top w:val="nil"/>
            </w:tcBorders>
          </w:tcPr>
          <w:p>
            <w:pPr>
              <w:rPr>
                <w:sz w:val="2"/>
                <w:szCs w:val="2"/>
              </w:rPr>
            </w:pPr>
          </w:p>
        </w:tc>
        <w:tc>
          <w:tcPr>
            <w:tcW w:w="1702" w:type="dxa"/>
            <w:gridSpan w:val="2"/>
          </w:tcPr>
          <w:p>
            <w:pPr>
              <w:pStyle w:val="TableParagraph"/>
              <w:spacing w:line="274" w:lineRule="exact"/>
              <w:ind w:left="134"/>
              <w:rPr>
                <w:b/>
                <w:sz w:val="24"/>
              </w:rPr>
            </w:pPr>
            <w:r>
              <w:rPr>
                <w:b/>
                <w:sz w:val="24"/>
              </w:rPr>
              <w:t>NHI-1, NHI-2</w:t>
            </w:r>
          </w:p>
        </w:tc>
        <w:tc>
          <w:tcPr>
            <w:tcW w:w="2132" w:type="dxa"/>
          </w:tcPr>
          <w:p>
            <w:pPr>
              <w:pStyle w:val="TableParagraph"/>
              <w:spacing w:line="269" w:lineRule="exact"/>
              <w:ind w:left="90" w:right="91"/>
              <w:jc w:val="center"/>
              <w:rPr>
                <w:sz w:val="24"/>
              </w:rPr>
            </w:pPr>
            <w:r>
              <w:rPr>
                <w:sz w:val="24"/>
              </w:rPr>
              <w:t>Cellules souches</w:t>
            </w:r>
          </w:p>
          <w:p>
            <w:pPr>
              <w:pStyle w:val="TableParagraph"/>
              <w:spacing w:line="263" w:lineRule="exact"/>
              <w:ind w:left="90" w:right="91"/>
              <w:jc w:val="center"/>
              <w:rPr>
                <w:sz w:val="24"/>
              </w:rPr>
            </w:pPr>
            <w:r>
              <w:rPr>
                <w:sz w:val="24"/>
              </w:rPr>
              <w:t>glioblastome</w:t>
            </w:r>
          </w:p>
        </w:tc>
        <w:tc>
          <w:tcPr>
            <w:tcW w:w="1839" w:type="dxa"/>
            <w:shd w:val="clear" w:color="auto" w:fill="D9D9D9"/>
          </w:tcPr>
          <w:p>
            <w:pPr>
              <w:pStyle w:val="TableParagraph"/>
              <w:rPr>
                <w:sz w:val="22"/>
              </w:rPr>
            </w:pP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4" w:lineRule="exact"/>
              <w:ind w:left="214" w:right="207"/>
              <w:jc w:val="center"/>
              <w:rPr>
                <w:sz w:val="20"/>
              </w:rPr>
            </w:pPr>
            <w:r>
              <w:rPr>
                <w:sz w:val="20"/>
              </w:rPr>
              <w:t>Daniele et al., 2015</w:t>
            </w:r>
          </w:p>
        </w:tc>
      </w:tr>
      <w:tr>
        <w:trPr>
          <w:trHeight w:val="260" w:hRule="atLeast"/>
        </w:trPr>
        <w:tc>
          <w:tcPr>
            <w:tcW w:w="1980" w:type="dxa"/>
            <w:vMerge w:val="restart"/>
          </w:tcPr>
          <w:p>
            <w:pPr>
              <w:pStyle w:val="TableParagraph"/>
              <w:ind w:left="926" w:right="102" w:hanging="805"/>
              <w:rPr>
                <w:b/>
                <w:sz w:val="24"/>
              </w:rPr>
            </w:pPr>
            <w:r>
              <w:rPr>
                <w:b/>
                <w:color w:val="00AF50"/>
                <w:sz w:val="24"/>
              </w:rPr>
              <w:t>Inhibition MCT- 1</w:t>
            </w:r>
          </w:p>
        </w:tc>
        <w:tc>
          <w:tcPr>
            <w:tcW w:w="1702" w:type="dxa"/>
            <w:gridSpan w:val="2"/>
          </w:tcPr>
          <w:p>
            <w:pPr>
              <w:pStyle w:val="TableParagraph"/>
              <w:spacing w:line="257" w:lineRule="exact"/>
              <w:ind w:left="103" w:right="101"/>
              <w:jc w:val="center"/>
              <w:rPr>
                <w:b/>
                <w:sz w:val="24"/>
              </w:rPr>
            </w:pPr>
            <w:r>
              <w:rPr>
                <w:b/>
                <w:sz w:val="24"/>
              </w:rPr>
              <w:t>CHC</w:t>
            </w:r>
          </w:p>
        </w:tc>
        <w:tc>
          <w:tcPr>
            <w:tcW w:w="2132" w:type="dxa"/>
          </w:tcPr>
          <w:p>
            <w:pPr>
              <w:pStyle w:val="TableParagraph"/>
              <w:spacing w:line="257" w:lineRule="exact"/>
              <w:ind w:left="91" w:right="91"/>
              <w:jc w:val="center"/>
              <w:rPr>
                <w:sz w:val="24"/>
              </w:rPr>
            </w:pPr>
            <w:r>
              <w:rPr>
                <w:sz w:val="24"/>
              </w:rPr>
              <w:t>Oui</w:t>
            </w: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tcPr>
          <w:p>
            <w:pPr>
              <w:pStyle w:val="TableParagraph"/>
              <w:spacing w:line="257" w:lineRule="exact"/>
              <w:ind w:left="143" w:right="143"/>
              <w:jc w:val="center"/>
              <w:rPr>
                <w:sz w:val="24"/>
              </w:rPr>
            </w:pPr>
            <w:r>
              <w:rPr>
                <w:sz w:val="24"/>
              </w:rPr>
              <w:t>Oui</w:t>
            </w:r>
          </w:p>
        </w:tc>
        <w:tc>
          <w:tcPr>
            <w:tcW w:w="2405" w:type="dxa"/>
          </w:tcPr>
          <w:p>
            <w:pPr>
              <w:pStyle w:val="TableParagraph"/>
              <w:spacing w:line="224" w:lineRule="exact"/>
              <w:ind w:left="214" w:right="207"/>
              <w:jc w:val="center"/>
              <w:rPr>
                <w:sz w:val="20"/>
              </w:rPr>
            </w:pPr>
            <w:r>
              <w:rPr>
                <w:sz w:val="20"/>
              </w:rPr>
              <w:t>Sonveaux et al., 2008</w:t>
            </w:r>
          </w:p>
        </w:tc>
      </w:tr>
      <w:tr>
        <w:trPr>
          <w:trHeight w:val="260" w:hRule="atLeast"/>
        </w:trPr>
        <w:tc>
          <w:tcPr>
            <w:tcW w:w="1980" w:type="dxa"/>
            <w:vMerge/>
            <w:tcBorders>
              <w:top w:val="nil"/>
            </w:tcBorders>
          </w:tcPr>
          <w:p>
            <w:pPr>
              <w:rPr>
                <w:sz w:val="2"/>
                <w:szCs w:val="2"/>
              </w:rPr>
            </w:pPr>
          </w:p>
        </w:tc>
        <w:tc>
          <w:tcPr>
            <w:tcW w:w="1702" w:type="dxa"/>
            <w:gridSpan w:val="2"/>
          </w:tcPr>
          <w:p>
            <w:pPr>
              <w:pStyle w:val="TableParagraph"/>
              <w:spacing w:line="256" w:lineRule="exact"/>
              <w:ind w:left="527"/>
              <w:rPr>
                <w:b/>
                <w:sz w:val="24"/>
              </w:rPr>
            </w:pPr>
            <w:r>
              <w:rPr>
                <w:b/>
                <w:sz w:val="24"/>
              </w:rPr>
              <w:t>7ACC</w:t>
            </w:r>
          </w:p>
        </w:tc>
        <w:tc>
          <w:tcPr>
            <w:tcW w:w="2132" w:type="dxa"/>
          </w:tcPr>
          <w:p>
            <w:pPr>
              <w:pStyle w:val="TableParagraph"/>
              <w:spacing w:line="256" w:lineRule="exact"/>
              <w:ind w:left="89" w:right="91"/>
              <w:jc w:val="center"/>
              <w:rPr>
                <w:sz w:val="24"/>
              </w:rPr>
            </w:pPr>
            <w:r>
              <w:rPr>
                <w:sz w:val="24"/>
              </w:rPr>
              <w:t>Différentes lignées</w:t>
            </w: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1" w:right="207"/>
              <w:jc w:val="center"/>
              <w:rPr>
                <w:sz w:val="20"/>
              </w:rPr>
            </w:pPr>
            <w:r>
              <w:rPr>
                <w:sz w:val="20"/>
              </w:rPr>
              <w:t>Draoui et al., 2014</w:t>
            </w:r>
          </w:p>
        </w:tc>
      </w:tr>
      <w:tr>
        <w:trPr>
          <w:trHeight w:val="260" w:hRule="atLeast"/>
        </w:trPr>
        <w:tc>
          <w:tcPr>
            <w:tcW w:w="1980" w:type="dxa"/>
            <w:vMerge/>
            <w:tcBorders>
              <w:top w:val="nil"/>
            </w:tcBorders>
          </w:tcPr>
          <w:p>
            <w:pPr>
              <w:rPr>
                <w:sz w:val="2"/>
                <w:szCs w:val="2"/>
              </w:rPr>
            </w:pPr>
          </w:p>
        </w:tc>
        <w:tc>
          <w:tcPr>
            <w:tcW w:w="1702" w:type="dxa"/>
            <w:gridSpan w:val="2"/>
          </w:tcPr>
          <w:p>
            <w:pPr>
              <w:pStyle w:val="TableParagraph"/>
              <w:spacing w:line="256" w:lineRule="exact"/>
              <w:ind w:left="355"/>
              <w:rPr>
                <w:b/>
                <w:sz w:val="24"/>
              </w:rPr>
            </w:pPr>
            <w:r>
              <w:rPr>
                <w:b/>
                <w:sz w:val="24"/>
              </w:rPr>
              <w:t>AZD3965</w:t>
            </w:r>
          </w:p>
        </w:tc>
        <w:tc>
          <w:tcPr>
            <w:tcW w:w="3971" w:type="dxa"/>
            <w:gridSpan w:val="2"/>
          </w:tcPr>
          <w:p>
            <w:pPr>
              <w:pStyle w:val="TableParagraph"/>
              <w:spacing w:line="256" w:lineRule="exact"/>
              <w:ind w:left="1066"/>
              <w:rPr>
                <w:sz w:val="24"/>
              </w:rPr>
            </w:pPr>
            <w:r>
              <w:rPr>
                <w:sz w:val="24"/>
              </w:rPr>
              <w:t>Cancer du poumon</w:t>
            </w: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tcPr>
          <w:p>
            <w:pPr>
              <w:pStyle w:val="TableParagraph"/>
              <w:spacing w:line="223" w:lineRule="exact"/>
              <w:ind w:left="210" w:right="207"/>
              <w:jc w:val="center"/>
              <w:rPr>
                <w:sz w:val="20"/>
              </w:rPr>
            </w:pPr>
            <w:r>
              <w:rPr>
                <w:sz w:val="20"/>
              </w:rPr>
              <w:t>Polanski et al., 2014</w:t>
            </w:r>
          </w:p>
        </w:tc>
      </w:tr>
      <w:tr>
        <w:trPr>
          <w:trHeight w:val="1640" w:hRule="atLeast"/>
        </w:trPr>
        <w:tc>
          <w:tcPr>
            <w:tcW w:w="1980" w:type="dxa"/>
            <w:vMerge w:val="restart"/>
          </w:tcPr>
          <w:p>
            <w:pPr>
              <w:pStyle w:val="TableParagraph"/>
              <w:ind w:left="275" w:right="269"/>
              <w:jc w:val="center"/>
              <w:rPr>
                <w:b/>
                <w:sz w:val="24"/>
              </w:rPr>
            </w:pPr>
            <w:r>
              <w:rPr>
                <w:b/>
                <w:color w:val="00AF50"/>
                <w:sz w:val="24"/>
              </w:rPr>
              <w:t>Inhibition des pompes à protons</w:t>
            </w:r>
          </w:p>
        </w:tc>
        <w:tc>
          <w:tcPr>
            <w:tcW w:w="1702" w:type="dxa"/>
            <w:gridSpan w:val="2"/>
          </w:tcPr>
          <w:p>
            <w:pPr>
              <w:pStyle w:val="TableParagraph"/>
              <w:spacing w:line="273" w:lineRule="exact"/>
              <w:ind w:left="220"/>
              <w:rPr>
                <w:b/>
                <w:sz w:val="24"/>
              </w:rPr>
            </w:pPr>
            <w:r>
              <w:rPr>
                <w:b/>
                <w:sz w:val="24"/>
              </w:rPr>
              <w:t>Oméprazole</w:t>
            </w:r>
          </w:p>
        </w:tc>
        <w:tc>
          <w:tcPr>
            <w:tcW w:w="3971" w:type="dxa"/>
            <w:gridSpan w:val="2"/>
          </w:tcPr>
          <w:p>
            <w:pPr>
              <w:pStyle w:val="TableParagraph"/>
              <w:spacing w:line="268" w:lineRule="exact"/>
              <w:ind w:left="403" w:right="404"/>
              <w:jc w:val="center"/>
              <w:rPr>
                <w:sz w:val="24"/>
              </w:rPr>
            </w:pPr>
            <w:r>
              <w:rPr>
                <w:sz w:val="24"/>
              </w:rPr>
              <w:t>Leucémie</w:t>
            </w:r>
          </w:p>
        </w:tc>
        <w:tc>
          <w:tcPr>
            <w:tcW w:w="3123" w:type="dxa"/>
          </w:tcPr>
          <w:p>
            <w:pPr>
              <w:pStyle w:val="TableParagraph"/>
              <w:ind w:left="134" w:right="132" w:hanging="4"/>
              <w:jc w:val="center"/>
              <w:rPr>
                <w:i/>
                <w:sz w:val="24"/>
              </w:rPr>
            </w:pPr>
            <w:r>
              <w:rPr>
                <w:sz w:val="24"/>
              </w:rPr>
              <w:t>Mélanome, adénocarcinome, lymphome : </w:t>
            </w:r>
            <w:r>
              <w:rPr>
                <w:i/>
                <w:sz w:val="24"/>
              </w:rPr>
              <w:t>cisplatine, 5-FU, </w:t>
            </w:r>
            <w:r>
              <w:rPr>
                <w:i/>
                <w:sz w:val="24"/>
              </w:rPr>
              <w:t>vinblastine</w:t>
            </w:r>
          </w:p>
          <w:p>
            <w:pPr>
              <w:pStyle w:val="TableParagraph"/>
              <w:spacing w:line="270" w:lineRule="atLeast" w:before="8"/>
              <w:ind w:left="91" w:right="93"/>
              <w:jc w:val="center"/>
              <w:rPr>
                <w:i/>
                <w:sz w:val="24"/>
              </w:rPr>
            </w:pPr>
            <w:r>
              <w:rPr>
                <w:sz w:val="24"/>
              </w:rPr>
              <w:t>Leucémie : </w:t>
            </w:r>
            <w:r>
              <w:rPr>
                <w:i/>
                <w:sz w:val="24"/>
              </w:rPr>
              <w:t>vinblastine </w:t>
            </w:r>
            <w:r>
              <w:rPr>
                <w:sz w:val="24"/>
              </w:rPr>
              <w:t>Carcinome de l’ovaire : </w:t>
            </w:r>
            <w:r>
              <w:rPr>
                <w:i/>
                <w:sz w:val="24"/>
              </w:rPr>
              <w:t>paclitaxel</w:t>
            </w:r>
          </w:p>
        </w:tc>
        <w:tc>
          <w:tcPr>
            <w:tcW w:w="2136" w:type="dxa"/>
            <w:shd w:val="clear" w:color="auto" w:fill="D9D9D9"/>
          </w:tcPr>
          <w:p>
            <w:pPr>
              <w:pStyle w:val="TableParagraph"/>
              <w:rPr>
                <w:sz w:val="22"/>
              </w:rPr>
            </w:pPr>
          </w:p>
        </w:tc>
        <w:tc>
          <w:tcPr>
            <w:tcW w:w="2405" w:type="dxa"/>
          </w:tcPr>
          <w:p>
            <w:pPr>
              <w:pStyle w:val="TableParagraph"/>
              <w:ind w:left="386" w:right="377"/>
              <w:jc w:val="center"/>
              <w:rPr>
                <w:sz w:val="20"/>
              </w:rPr>
            </w:pPr>
            <w:r>
              <w:rPr>
                <w:sz w:val="20"/>
              </w:rPr>
              <w:t>Luciani et al., 2004 Lee et al., 2015</w:t>
            </w:r>
          </w:p>
          <w:p>
            <w:pPr>
              <w:pStyle w:val="TableParagraph"/>
              <w:spacing w:before="7"/>
              <w:ind w:left="215" w:right="207"/>
              <w:jc w:val="center"/>
              <w:rPr>
                <w:sz w:val="20"/>
              </w:rPr>
            </w:pPr>
            <w:r>
              <w:rPr>
                <w:sz w:val="20"/>
              </w:rPr>
              <w:t>De Milito et al., 2007 Spugnini et al., 2015</w:t>
            </w:r>
          </w:p>
        </w:tc>
      </w:tr>
      <w:tr>
        <w:trPr>
          <w:trHeight w:val="460" w:hRule="atLeast"/>
        </w:trPr>
        <w:tc>
          <w:tcPr>
            <w:tcW w:w="1980" w:type="dxa"/>
            <w:vMerge/>
            <w:tcBorders>
              <w:top w:val="nil"/>
            </w:tcBorders>
          </w:tcPr>
          <w:p>
            <w:pPr>
              <w:rPr>
                <w:sz w:val="2"/>
                <w:szCs w:val="2"/>
              </w:rPr>
            </w:pPr>
          </w:p>
        </w:tc>
        <w:tc>
          <w:tcPr>
            <w:tcW w:w="1702" w:type="dxa"/>
            <w:gridSpan w:val="2"/>
          </w:tcPr>
          <w:p>
            <w:pPr>
              <w:pStyle w:val="TableParagraph"/>
              <w:spacing w:line="273" w:lineRule="exact"/>
              <w:ind w:left="126"/>
              <w:rPr>
                <w:b/>
                <w:sz w:val="24"/>
              </w:rPr>
            </w:pPr>
            <w:r>
              <w:rPr>
                <w:b/>
                <w:sz w:val="24"/>
              </w:rPr>
              <w:t>Esoméprazole</w:t>
            </w:r>
          </w:p>
        </w:tc>
        <w:tc>
          <w:tcPr>
            <w:tcW w:w="3971" w:type="dxa"/>
            <w:gridSpan w:val="2"/>
          </w:tcPr>
          <w:p>
            <w:pPr>
              <w:pStyle w:val="TableParagraph"/>
              <w:spacing w:line="268" w:lineRule="exact"/>
              <w:ind w:left="830"/>
              <w:rPr>
                <w:sz w:val="24"/>
              </w:rPr>
            </w:pPr>
            <w:r>
              <w:rPr>
                <w:sz w:val="24"/>
              </w:rPr>
              <w:t>Mélanome métastatique</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spacing w:line="223" w:lineRule="exact"/>
              <w:ind w:left="214" w:right="207"/>
              <w:jc w:val="center"/>
              <w:rPr>
                <w:sz w:val="20"/>
              </w:rPr>
            </w:pPr>
            <w:r>
              <w:rPr>
                <w:sz w:val="20"/>
              </w:rPr>
              <w:t>De Milito et al., 2010</w:t>
            </w:r>
          </w:p>
        </w:tc>
      </w:tr>
      <w:tr>
        <w:trPr>
          <w:trHeight w:val="820" w:hRule="atLeast"/>
        </w:trPr>
        <w:tc>
          <w:tcPr>
            <w:tcW w:w="1980" w:type="dxa"/>
            <w:vMerge/>
            <w:tcBorders>
              <w:top w:val="nil"/>
            </w:tcBorders>
          </w:tcPr>
          <w:p>
            <w:pPr>
              <w:rPr>
                <w:sz w:val="2"/>
                <w:szCs w:val="2"/>
              </w:rPr>
            </w:pPr>
          </w:p>
        </w:tc>
        <w:tc>
          <w:tcPr>
            <w:tcW w:w="1702" w:type="dxa"/>
            <w:gridSpan w:val="2"/>
          </w:tcPr>
          <w:p>
            <w:pPr>
              <w:pStyle w:val="TableParagraph"/>
              <w:spacing w:line="273" w:lineRule="exact"/>
              <w:ind w:left="153"/>
              <w:rPr>
                <w:b/>
                <w:sz w:val="24"/>
              </w:rPr>
            </w:pPr>
            <w:r>
              <w:rPr>
                <w:b/>
                <w:sz w:val="24"/>
              </w:rPr>
              <w:t>Lansoprazole</w:t>
            </w:r>
          </w:p>
        </w:tc>
        <w:tc>
          <w:tcPr>
            <w:tcW w:w="3971" w:type="dxa"/>
            <w:gridSpan w:val="2"/>
          </w:tcPr>
          <w:p>
            <w:pPr>
              <w:pStyle w:val="TableParagraph"/>
              <w:spacing w:line="268" w:lineRule="exact"/>
              <w:ind w:left="830"/>
              <w:rPr>
                <w:sz w:val="24"/>
              </w:rPr>
            </w:pPr>
            <w:r>
              <w:rPr>
                <w:sz w:val="24"/>
              </w:rPr>
              <w:t>Mélanome métastatique</w:t>
            </w:r>
          </w:p>
        </w:tc>
        <w:tc>
          <w:tcPr>
            <w:tcW w:w="3123" w:type="dxa"/>
          </w:tcPr>
          <w:p>
            <w:pPr>
              <w:pStyle w:val="TableParagraph"/>
              <w:ind w:left="134" w:right="137" w:firstLine="1"/>
              <w:jc w:val="center"/>
              <w:rPr>
                <w:i/>
                <w:sz w:val="24"/>
              </w:rPr>
            </w:pPr>
            <w:r>
              <w:rPr>
                <w:sz w:val="24"/>
              </w:rPr>
              <w:t>Mélanome, adénocarcinome, lymphome : </w:t>
            </w:r>
            <w:r>
              <w:rPr>
                <w:i/>
                <w:sz w:val="24"/>
              </w:rPr>
              <w:t>Cisplatine, 5-FU</w:t>
            </w:r>
          </w:p>
          <w:p>
            <w:pPr>
              <w:pStyle w:val="TableParagraph"/>
              <w:spacing w:line="264" w:lineRule="exact" w:before="8"/>
              <w:ind w:left="92" w:right="92"/>
              <w:jc w:val="center"/>
              <w:rPr>
                <w:i/>
                <w:sz w:val="24"/>
              </w:rPr>
            </w:pPr>
            <w:r>
              <w:rPr>
                <w:i/>
                <w:sz w:val="24"/>
              </w:rPr>
              <w:t>Vinblastine</w:t>
            </w:r>
          </w:p>
        </w:tc>
        <w:tc>
          <w:tcPr>
            <w:tcW w:w="2136" w:type="dxa"/>
            <w:shd w:val="clear" w:color="auto" w:fill="D9D9D9"/>
          </w:tcPr>
          <w:p>
            <w:pPr>
              <w:pStyle w:val="TableParagraph"/>
              <w:rPr>
                <w:sz w:val="22"/>
              </w:rPr>
            </w:pPr>
          </w:p>
        </w:tc>
        <w:tc>
          <w:tcPr>
            <w:tcW w:w="2405" w:type="dxa"/>
          </w:tcPr>
          <w:p>
            <w:pPr>
              <w:pStyle w:val="TableParagraph"/>
              <w:ind w:left="606" w:right="363" w:hanging="221"/>
              <w:rPr>
                <w:sz w:val="20"/>
              </w:rPr>
            </w:pPr>
            <w:r>
              <w:rPr>
                <w:sz w:val="20"/>
              </w:rPr>
              <w:t>Azzarito et al., 2015 Yu et al., 2015</w:t>
            </w:r>
          </w:p>
        </w:tc>
      </w:tr>
    </w:tbl>
    <w:p>
      <w:pPr>
        <w:spacing w:after="0"/>
        <w:rPr>
          <w:sz w:val="20"/>
        </w:rPr>
        <w:sectPr>
          <w:pgSz w:w="16840" w:h="11910" w:orient="landscape"/>
          <w:pgMar w:header="0" w:footer="998" w:top="1100" w:bottom="1180" w:left="640" w:right="640"/>
        </w:sectPr>
      </w:pPr>
    </w:p>
    <w:p>
      <w:pPr>
        <w:pStyle w:val="BodyText"/>
        <w:spacing w:before="1" w:after="1"/>
        <w:rPr>
          <w:sz w:val="2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702"/>
        <w:gridCol w:w="2132"/>
        <w:gridCol w:w="1839"/>
        <w:gridCol w:w="3123"/>
        <w:gridCol w:w="2136"/>
        <w:gridCol w:w="2405"/>
      </w:tblGrid>
      <w:tr>
        <w:trPr>
          <w:trHeight w:val="1100" w:hRule="atLeast"/>
        </w:trPr>
        <w:tc>
          <w:tcPr>
            <w:tcW w:w="1980" w:type="dxa"/>
          </w:tcPr>
          <w:p>
            <w:pPr>
              <w:pStyle w:val="TableParagraph"/>
              <w:rPr>
                <w:sz w:val="22"/>
              </w:rPr>
            </w:pPr>
          </w:p>
        </w:tc>
        <w:tc>
          <w:tcPr>
            <w:tcW w:w="1702" w:type="dxa"/>
          </w:tcPr>
          <w:p>
            <w:pPr>
              <w:pStyle w:val="TableParagraph"/>
              <w:rPr>
                <w:sz w:val="22"/>
              </w:rPr>
            </w:pPr>
          </w:p>
        </w:tc>
        <w:tc>
          <w:tcPr>
            <w:tcW w:w="3971" w:type="dxa"/>
            <w:gridSpan w:val="2"/>
          </w:tcPr>
          <w:p>
            <w:pPr>
              <w:pStyle w:val="TableParagraph"/>
              <w:rPr>
                <w:sz w:val="22"/>
              </w:rPr>
            </w:pPr>
          </w:p>
        </w:tc>
        <w:tc>
          <w:tcPr>
            <w:tcW w:w="3123" w:type="dxa"/>
          </w:tcPr>
          <w:p>
            <w:pPr>
              <w:pStyle w:val="TableParagraph"/>
              <w:spacing w:line="268" w:lineRule="exact"/>
              <w:ind w:left="92" w:right="93"/>
              <w:jc w:val="center"/>
              <w:rPr>
                <w:sz w:val="24"/>
              </w:rPr>
            </w:pPr>
            <w:r>
              <w:rPr>
                <w:sz w:val="24"/>
              </w:rPr>
              <w:t>Mélanome métastatique :</w:t>
            </w:r>
          </w:p>
          <w:p>
            <w:pPr>
              <w:pStyle w:val="TableParagraph"/>
              <w:spacing w:line="270" w:lineRule="atLeast"/>
              <w:ind w:left="702" w:right="702" w:hanging="1"/>
              <w:jc w:val="center"/>
              <w:rPr>
                <w:i/>
                <w:sz w:val="24"/>
              </w:rPr>
            </w:pPr>
            <w:r>
              <w:rPr>
                <w:i/>
                <w:sz w:val="24"/>
              </w:rPr>
              <w:t>Paclitaxel </w:t>
            </w:r>
            <w:r>
              <w:rPr>
                <w:sz w:val="24"/>
              </w:rPr>
              <w:t>Tumeurs solides : </w:t>
            </w:r>
            <w:r>
              <w:rPr>
                <w:i/>
                <w:sz w:val="24"/>
              </w:rPr>
              <w:t>doxorubicine</w:t>
            </w:r>
          </w:p>
        </w:tc>
        <w:tc>
          <w:tcPr>
            <w:tcW w:w="2136" w:type="dxa"/>
            <w:shd w:val="clear" w:color="auto" w:fill="D9D9D9"/>
          </w:tcPr>
          <w:p>
            <w:pPr>
              <w:pStyle w:val="TableParagraph"/>
              <w:rPr>
                <w:sz w:val="22"/>
              </w:rPr>
            </w:pPr>
          </w:p>
        </w:tc>
        <w:tc>
          <w:tcPr>
            <w:tcW w:w="2405" w:type="dxa"/>
          </w:tcPr>
          <w:p>
            <w:pPr>
              <w:pStyle w:val="TableParagraph"/>
              <w:rPr>
                <w:sz w:val="22"/>
              </w:rPr>
            </w:pPr>
          </w:p>
        </w:tc>
      </w:tr>
      <w:tr>
        <w:trPr>
          <w:trHeight w:val="1100" w:hRule="atLeast"/>
        </w:trPr>
        <w:tc>
          <w:tcPr>
            <w:tcW w:w="1980" w:type="dxa"/>
            <w:vMerge w:val="restart"/>
          </w:tcPr>
          <w:p>
            <w:pPr>
              <w:pStyle w:val="TableParagraph"/>
              <w:ind w:left="926" w:right="120" w:hanging="783"/>
              <w:rPr>
                <w:b/>
                <w:sz w:val="24"/>
              </w:rPr>
            </w:pPr>
            <w:r>
              <w:rPr>
                <w:b/>
                <w:color w:val="00AF50"/>
                <w:sz w:val="24"/>
              </w:rPr>
              <w:t>Inhibition NHE- 1</w:t>
            </w:r>
          </w:p>
        </w:tc>
        <w:tc>
          <w:tcPr>
            <w:tcW w:w="1702" w:type="dxa"/>
          </w:tcPr>
          <w:p>
            <w:pPr>
              <w:pStyle w:val="TableParagraph"/>
              <w:spacing w:line="273" w:lineRule="exact"/>
              <w:ind w:left="103" w:right="99"/>
              <w:jc w:val="center"/>
              <w:rPr>
                <w:b/>
                <w:sz w:val="24"/>
              </w:rPr>
            </w:pPr>
            <w:r>
              <w:rPr>
                <w:b/>
                <w:sz w:val="24"/>
              </w:rPr>
              <w:t>Amiloride</w:t>
            </w:r>
          </w:p>
        </w:tc>
        <w:tc>
          <w:tcPr>
            <w:tcW w:w="2132" w:type="dxa"/>
          </w:tcPr>
          <w:p>
            <w:pPr>
              <w:pStyle w:val="TableParagraph"/>
              <w:ind w:left="381" w:right="382" w:firstLine="3"/>
              <w:jc w:val="center"/>
              <w:rPr>
                <w:sz w:val="24"/>
              </w:rPr>
            </w:pPr>
            <w:r>
              <w:rPr>
                <w:sz w:val="24"/>
              </w:rPr>
              <w:t>Cancer de l’œsophage </w:t>
            </w:r>
            <w:r>
              <w:rPr>
                <w:spacing w:val="-1"/>
                <w:sz w:val="24"/>
              </w:rPr>
              <w:t>Ostéosarcome</w:t>
            </w:r>
          </w:p>
          <w:p>
            <w:pPr>
              <w:pStyle w:val="TableParagraph"/>
              <w:spacing w:line="264" w:lineRule="exact" w:before="8"/>
              <w:ind w:left="89" w:right="91"/>
              <w:jc w:val="center"/>
              <w:rPr>
                <w:sz w:val="24"/>
              </w:rPr>
            </w:pPr>
            <w:r>
              <w:rPr>
                <w:sz w:val="24"/>
              </w:rPr>
              <w:t>canin</w:t>
            </w:r>
          </w:p>
        </w:tc>
        <w:tc>
          <w:tcPr>
            <w:tcW w:w="1839" w:type="dxa"/>
          </w:tcPr>
          <w:p>
            <w:pPr>
              <w:pStyle w:val="TableParagraph"/>
              <w:ind w:left="306" w:right="289" w:firstLine="268"/>
              <w:rPr>
                <w:sz w:val="24"/>
              </w:rPr>
            </w:pPr>
            <w:r>
              <w:rPr>
                <w:sz w:val="24"/>
              </w:rPr>
              <w:t>Cancer métastatique</w:t>
            </w:r>
          </w:p>
        </w:tc>
        <w:tc>
          <w:tcPr>
            <w:tcW w:w="3123" w:type="dxa"/>
          </w:tcPr>
          <w:p>
            <w:pPr>
              <w:pStyle w:val="TableParagraph"/>
              <w:spacing w:line="268" w:lineRule="exact"/>
              <w:ind w:left="92" w:right="93"/>
              <w:jc w:val="center"/>
              <w:rPr>
                <w:sz w:val="24"/>
              </w:rPr>
            </w:pPr>
            <w:r>
              <w:rPr>
                <w:sz w:val="24"/>
              </w:rPr>
              <w:t>Ostéosarcome canin :</w:t>
            </w:r>
          </w:p>
          <w:p>
            <w:pPr>
              <w:pStyle w:val="TableParagraph"/>
              <w:ind w:left="92" w:right="92"/>
              <w:jc w:val="center"/>
              <w:rPr>
                <w:i/>
                <w:sz w:val="24"/>
              </w:rPr>
            </w:pPr>
            <w:r>
              <w:rPr>
                <w:i/>
                <w:sz w:val="24"/>
              </w:rPr>
              <w:t>doxorubicine, cisplatine</w:t>
            </w:r>
          </w:p>
        </w:tc>
        <w:tc>
          <w:tcPr>
            <w:tcW w:w="2136" w:type="dxa"/>
            <w:shd w:val="clear" w:color="auto" w:fill="D9D9D9"/>
          </w:tcPr>
          <w:p>
            <w:pPr>
              <w:pStyle w:val="TableParagraph"/>
              <w:rPr>
                <w:sz w:val="22"/>
              </w:rPr>
            </w:pPr>
          </w:p>
        </w:tc>
        <w:tc>
          <w:tcPr>
            <w:tcW w:w="2405" w:type="dxa"/>
          </w:tcPr>
          <w:p>
            <w:pPr>
              <w:pStyle w:val="TableParagraph"/>
              <w:ind w:left="256" w:right="236" w:firstLine="218"/>
              <w:rPr>
                <w:sz w:val="20"/>
              </w:rPr>
            </w:pPr>
            <w:r>
              <w:rPr>
                <w:sz w:val="20"/>
              </w:rPr>
              <w:t>Walsh et al., 2015 Harguindey et al., 2013</w:t>
            </w:r>
          </w:p>
        </w:tc>
      </w:tr>
      <w:tr>
        <w:trPr>
          <w:trHeight w:val="260" w:hRule="atLeast"/>
        </w:trPr>
        <w:tc>
          <w:tcPr>
            <w:tcW w:w="1980" w:type="dxa"/>
            <w:vMerge/>
            <w:tcBorders>
              <w:top w:val="nil"/>
            </w:tcBorders>
          </w:tcPr>
          <w:p>
            <w:pPr>
              <w:rPr>
                <w:sz w:val="2"/>
                <w:szCs w:val="2"/>
              </w:rPr>
            </w:pPr>
          </w:p>
        </w:tc>
        <w:tc>
          <w:tcPr>
            <w:tcW w:w="1702" w:type="dxa"/>
          </w:tcPr>
          <w:p>
            <w:pPr>
              <w:pStyle w:val="TableParagraph"/>
              <w:spacing w:line="256" w:lineRule="exact"/>
              <w:ind w:left="103" w:right="101"/>
              <w:jc w:val="center"/>
              <w:rPr>
                <w:b/>
                <w:sz w:val="24"/>
              </w:rPr>
            </w:pPr>
            <w:r>
              <w:rPr>
                <w:b/>
                <w:sz w:val="24"/>
              </w:rPr>
              <w:t>Cariporide</w:t>
            </w:r>
          </w:p>
        </w:tc>
        <w:tc>
          <w:tcPr>
            <w:tcW w:w="2132" w:type="dxa"/>
            <w:shd w:val="clear" w:color="auto" w:fill="D9D9D9"/>
          </w:tcPr>
          <w:p>
            <w:pPr>
              <w:pStyle w:val="TableParagraph"/>
              <w:rPr>
                <w:sz w:val="20"/>
              </w:rPr>
            </w:pP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vMerge w:val="restart"/>
          </w:tcPr>
          <w:p>
            <w:pPr>
              <w:pStyle w:val="TableParagraph"/>
              <w:spacing w:line="223" w:lineRule="exact"/>
              <w:ind w:left="362"/>
              <w:rPr>
                <w:sz w:val="20"/>
              </w:rPr>
            </w:pPr>
            <w:r>
              <w:rPr>
                <w:sz w:val="20"/>
              </w:rPr>
              <w:t>Masereel et al., 2003</w:t>
            </w:r>
          </w:p>
        </w:tc>
      </w:tr>
      <w:tr>
        <w:trPr>
          <w:trHeight w:val="260" w:hRule="atLeast"/>
        </w:trPr>
        <w:tc>
          <w:tcPr>
            <w:tcW w:w="1980" w:type="dxa"/>
            <w:vMerge/>
            <w:tcBorders>
              <w:top w:val="nil"/>
            </w:tcBorders>
          </w:tcPr>
          <w:p>
            <w:pPr>
              <w:rPr>
                <w:sz w:val="2"/>
                <w:szCs w:val="2"/>
              </w:rPr>
            </w:pPr>
          </w:p>
        </w:tc>
        <w:tc>
          <w:tcPr>
            <w:tcW w:w="1702" w:type="dxa"/>
          </w:tcPr>
          <w:p>
            <w:pPr>
              <w:pStyle w:val="TableParagraph"/>
              <w:spacing w:line="257" w:lineRule="exact"/>
              <w:ind w:left="103" w:right="101"/>
              <w:jc w:val="center"/>
              <w:rPr>
                <w:b/>
                <w:sz w:val="24"/>
              </w:rPr>
            </w:pPr>
            <w:r>
              <w:rPr>
                <w:b/>
                <w:sz w:val="24"/>
              </w:rPr>
              <w:t>Composé 9t</w:t>
            </w:r>
          </w:p>
        </w:tc>
        <w:tc>
          <w:tcPr>
            <w:tcW w:w="2132" w:type="dxa"/>
            <w:shd w:val="clear" w:color="auto" w:fill="D9D9D9"/>
          </w:tcPr>
          <w:p>
            <w:pPr>
              <w:pStyle w:val="TableParagraph"/>
              <w:rPr>
                <w:sz w:val="20"/>
              </w:rPr>
            </w:pP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vMerge/>
            <w:tcBorders>
              <w:top w:val="nil"/>
            </w:tcBorders>
          </w:tcPr>
          <w:p>
            <w:pPr>
              <w:rPr>
                <w:sz w:val="2"/>
                <w:szCs w:val="2"/>
              </w:rPr>
            </w:pPr>
          </w:p>
        </w:tc>
      </w:tr>
      <w:tr>
        <w:trPr>
          <w:trHeight w:val="260" w:hRule="atLeast"/>
        </w:trPr>
        <w:tc>
          <w:tcPr>
            <w:tcW w:w="1980" w:type="dxa"/>
            <w:vMerge/>
            <w:tcBorders>
              <w:top w:val="nil"/>
            </w:tcBorders>
          </w:tcPr>
          <w:p>
            <w:pPr>
              <w:rPr>
                <w:sz w:val="2"/>
                <w:szCs w:val="2"/>
              </w:rPr>
            </w:pPr>
          </w:p>
        </w:tc>
        <w:tc>
          <w:tcPr>
            <w:tcW w:w="1702" w:type="dxa"/>
          </w:tcPr>
          <w:p>
            <w:pPr>
              <w:pStyle w:val="TableParagraph"/>
              <w:spacing w:line="257" w:lineRule="exact"/>
              <w:ind w:left="103" w:right="103"/>
              <w:jc w:val="center"/>
              <w:rPr>
                <w:b/>
                <w:sz w:val="24"/>
              </w:rPr>
            </w:pPr>
            <w:r>
              <w:rPr>
                <w:b/>
                <w:sz w:val="24"/>
              </w:rPr>
              <w:t>Phx-3</w:t>
            </w:r>
          </w:p>
        </w:tc>
        <w:tc>
          <w:tcPr>
            <w:tcW w:w="2132" w:type="dxa"/>
            <w:shd w:val="clear" w:color="auto" w:fill="D9D9D9"/>
          </w:tcPr>
          <w:p>
            <w:pPr>
              <w:pStyle w:val="TableParagraph"/>
              <w:rPr>
                <w:sz w:val="20"/>
              </w:rPr>
            </w:pPr>
          </w:p>
        </w:tc>
        <w:tc>
          <w:tcPr>
            <w:tcW w:w="1839" w:type="dxa"/>
            <w:shd w:val="clear" w:color="auto" w:fill="D9D9D9"/>
          </w:tcPr>
          <w:p>
            <w:pPr>
              <w:pStyle w:val="TableParagraph"/>
              <w:rPr>
                <w:sz w:val="20"/>
              </w:rPr>
            </w:pPr>
          </w:p>
        </w:tc>
        <w:tc>
          <w:tcPr>
            <w:tcW w:w="3123" w:type="dxa"/>
            <w:shd w:val="clear" w:color="auto" w:fill="D9D9D9"/>
          </w:tcPr>
          <w:p>
            <w:pPr>
              <w:pStyle w:val="TableParagraph"/>
              <w:rPr>
                <w:sz w:val="20"/>
              </w:rPr>
            </w:pPr>
          </w:p>
        </w:tc>
        <w:tc>
          <w:tcPr>
            <w:tcW w:w="2136" w:type="dxa"/>
            <w:shd w:val="clear" w:color="auto" w:fill="D9D9D9"/>
          </w:tcPr>
          <w:p>
            <w:pPr>
              <w:pStyle w:val="TableParagraph"/>
              <w:rPr>
                <w:sz w:val="20"/>
              </w:rPr>
            </w:pPr>
          </w:p>
        </w:tc>
        <w:tc>
          <w:tcPr>
            <w:tcW w:w="2405" w:type="dxa"/>
            <w:vMerge/>
            <w:tcBorders>
              <w:top w:val="nil"/>
            </w:tcBorders>
          </w:tcPr>
          <w:p>
            <w:pPr>
              <w:rPr>
                <w:sz w:val="2"/>
                <w:szCs w:val="2"/>
              </w:rPr>
            </w:pPr>
          </w:p>
        </w:tc>
      </w:tr>
      <w:tr>
        <w:trPr>
          <w:trHeight w:val="540" w:hRule="atLeast"/>
        </w:trPr>
        <w:tc>
          <w:tcPr>
            <w:tcW w:w="1980" w:type="dxa"/>
            <w:vMerge w:val="restart"/>
          </w:tcPr>
          <w:p>
            <w:pPr>
              <w:pStyle w:val="TableParagraph"/>
              <w:spacing w:line="273" w:lineRule="exact"/>
              <w:ind w:left="136"/>
              <w:rPr>
                <w:b/>
                <w:sz w:val="24"/>
              </w:rPr>
            </w:pPr>
            <w:r>
              <w:rPr>
                <w:b/>
                <w:color w:val="00AF50"/>
                <w:sz w:val="24"/>
              </w:rPr>
              <w:t>Inhibition CAIX</w:t>
            </w:r>
          </w:p>
        </w:tc>
        <w:tc>
          <w:tcPr>
            <w:tcW w:w="1702" w:type="dxa"/>
          </w:tcPr>
          <w:p>
            <w:pPr>
              <w:pStyle w:val="TableParagraph"/>
              <w:spacing w:line="273" w:lineRule="exact"/>
              <w:ind w:left="103" w:right="102"/>
              <w:jc w:val="center"/>
              <w:rPr>
                <w:b/>
                <w:sz w:val="24"/>
              </w:rPr>
            </w:pPr>
            <w:r>
              <w:rPr>
                <w:b/>
                <w:sz w:val="24"/>
              </w:rPr>
              <w:t>Anticorps</w:t>
            </w:r>
          </w:p>
          <w:p>
            <w:pPr>
              <w:pStyle w:val="TableParagraph"/>
              <w:spacing w:line="259" w:lineRule="exact"/>
              <w:ind w:left="103" w:right="102"/>
              <w:jc w:val="center"/>
              <w:rPr>
                <w:b/>
                <w:sz w:val="24"/>
              </w:rPr>
            </w:pPr>
            <w:r>
              <w:rPr>
                <w:b/>
                <w:sz w:val="24"/>
              </w:rPr>
              <w:t>VII/20</w:t>
            </w:r>
          </w:p>
        </w:tc>
        <w:tc>
          <w:tcPr>
            <w:tcW w:w="2132" w:type="dxa"/>
            <w:shd w:val="clear" w:color="auto" w:fill="D9D9D9"/>
          </w:tcPr>
          <w:p>
            <w:pPr>
              <w:pStyle w:val="TableParagraph"/>
              <w:rPr>
                <w:sz w:val="22"/>
              </w:rPr>
            </w:pPr>
          </w:p>
        </w:tc>
        <w:tc>
          <w:tcPr>
            <w:tcW w:w="1839" w:type="dxa"/>
          </w:tcPr>
          <w:p>
            <w:pPr>
              <w:pStyle w:val="TableParagraph"/>
              <w:spacing w:line="268" w:lineRule="exact"/>
              <w:ind w:left="441" w:hanging="53"/>
              <w:rPr>
                <w:sz w:val="24"/>
              </w:rPr>
            </w:pPr>
            <w:r>
              <w:rPr>
                <w:sz w:val="24"/>
              </w:rPr>
              <w:t>Carcinome</w:t>
            </w:r>
          </w:p>
          <w:p>
            <w:pPr>
              <w:pStyle w:val="TableParagraph"/>
              <w:spacing w:line="264" w:lineRule="exact"/>
              <w:ind w:left="441"/>
              <w:rPr>
                <w:sz w:val="24"/>
              </w:rPr>
            </w:pPr>
            <w:r>
              <w:rPr>
                <w:sz w:val="24"/>
              </w:rPr>
              <w:t>colorectal</w:t>
            </w:r>
          </w:p>
        </w:tc>
        <w:tc>
          <w:tcPr>
            <w:tcW w:w="3123" w:type="dxa"/>
            <w:shd w:val="clear" w:color="auto" w:fill="D9D9D9"/>
          </w:tcPr>
          <w:p>
            <w:pPr>
              <w:pStyle w:val="TableParagraph"/>
              <w:rPr>
                <w:sz w:val="22"/>
              </w:rPr>
            </w:pPr>
          </w:p>
        </w:tc>
        <w:tc>
          <w:tcPr>
            <w:tcW w:w="2136" w:type="dxa"/>
            <w:shd w:val="clear" w:color="auto" w:fill="D9D9D9"/>
          </w:tcPr>
          <w:p>
            <w:pPr>
              <w:pStyle w:val="TableParagraph"/>
              <w:rPr>
                <w:sz w:val="22"/>
              </w:rPr>
            </w:pPr>
          </w:p>
        </w:tc>
        <w:tc>
          <w:tcPr>
            <w:tcW w:w="2405" w:type="dxa"/>
          </w:tcPr>
          <w:p>
            <w:pPr>
              <w:pStyle w:val="TableParagraph"/>
              <w:ind w:left="369" w:right="256" w:hanging="89"/>
              <w:rPr>
                <w:sz w:val="20"/>
              </w:rPr>
            </w:pPr>
            <w:r>
              <w:rPr>
                <w:sz w:val="20"/>
              </w:rPr>
              <w:t>Zatovicova et al., 2010 Spugnini et al., 2015</w:t>
            </w:r>
          </w:p>
        </w:tc>
      </w:tr>
      <w:tr>
        <w:trPr>
          <w:trHeight w:val="540" w:hRule="atLeast"/>
        </w:trPr>
        <w:tc>
          <w:tcPr>
            <w:tcW w:w="1980" w:type="dxa"/>
            <w:vMerge/>
            <w:tcBorders>
              <w:top w:val="nil"/>
            </w:tcBorders>
          </w:tcPr>
          <w:p>
            <w:pPr>
              <w:rPr>
                <w:sz w:val="2"/>
                <w:szCs w:val="2"/>
              </w:rPr>
            </w:pPr>
          </w:p>
        </w:tc>
        <w:tc>
          <w:tcPr>
            <w:tcW w:w="1702" w:type="dxa"/>
          </w:tcPr>
          <w:p>
            <w:pPr>
              <w:pStyle w:val="TableParagraph"/>
              <w:spacing w:line="273" w:lineRule="exact"/>
              <w:ind w:left="103" w:right="102"/>
              <w:jc w:val="center"/>
              <w:rPr>
                <w:b/>
                <w:sz w:val="24"/>
              </w:rPr>
            </w:pPr>
            <w:r>
              <w:rPr>
                <w:b/>
                <w:sz w:val="24"/>
              </w:rPr>
              <w:t>Indisulam</w:t>
            </w:r>
          </w:p>
        </w:tc>
        <w:tc>
          <w:tcPr>
            <w:tcW w:w="2132" w:type="dxa"/>
            <w:tcBorders>
              <w:right w:val="nil"/>
            </w:tcBorders>
          </w:tcPr>
          <w:p>
            <w:pPr>
              <w:pStyle w:val="TableParagraph"/>
              <w:spacing w:line="268" w:lineRule="exact"/>
              <w:ind w:left="1066"/>
              <w:rPr>
                <w:sz w:val="24"/>
              </w:rPr>
            </w:pPr>
            <w:r>
              <w:rPr>
                <w:sz w:val="24"/>
              </w:rPr>
              <w:t>Cancer du</w:t>
            </w:r>
          </w:p>
        </w:tc>
        <w:tc>
          <w:tcPr>
            <w:tcW w:w="1839" w:type="dxa"/>
            <w:tcBorders>
              <w:left w:val="nil"/>
            </w:tcBorders>
          </w:tcPr>
          <w:p>
            <w:pPr>
              <w:pStyle w:val="TableParagraph"/>
              <w:spacing w:line="268" w:lineRule="exact"/>
              <w:ind w:left="-24"/>
              <w:rPr>
                <w:sz w:val="24"/>
              </w:rPr>
            </w:pPr>
            <w:r>
              <w:rPr>
                <w:sz w:val="24"/>
              </w:rPr>
              <w:t>poumon</w:t>
            </w:r>
          </w:p>
        </w:tc>
        <w:tc>
          <w:tcPr>
            <w:tcW w:w="3123" w:type="dxa"/>
          </w:tcPr>
          <w:p>
            <w:pPr>
              <w:pStyle w:val="TableParagraph"/>
              <w:spacing w:line="268" w:lineRule="exact"/>
              <w:ind w:left="92" w:right="93"/>
              <w:jc w:val="center"/>
              <w:rPr>
                <w:i/>
                <w:sz w:val="24"/>
              </w:rPr>
            </w:pPr>
            <w:r>
              <w:rPr>
                <w:sz w:val="24"/>
              </w:rPr>
              <w:t>Cancer du poumo : </w:t>
            </w:r>
            <w:r>
              <w:rPr>
                <w:i/>
                <w:sz w:val="24"/>
              </w:rPr>
              <w:t>cisplatine,</w:t>
            </w:r>
          </w:p>
          <w:p>
            <w:pPr>
              <w:pStyle w:val="TableParagraph"/>
              <w:spacing w:line="264" w:lineRule="exact"/>
              <w:ind w:left="92" w:right="92"/>
              <w:jc w:val="center"/>
              <w:rPr>
                <w:i/>
                <w:sz w:val="24"/>
              </w:rPr>
            </w:pPr>
            <w:r>
              <w:rPr>
                <w:i/>
                <w:sz w:val="24"/>
              </w:rPr>
              <w:t>oxaliplatine, 5-FU</w:t>
            </w:r>
          </w:p>
        </w:tc>
        <w:tc>
          <w:tcPr>
            <w:tcW w:w="2136" w:type="dxa"/>
            <w:shd w:val="clear" w:color="auto" w:fill="D9D9D9"/>
          </w:tcPr>
          <w:p>
            <w:pPr>
              <w:pStyle w:val="TableParagraph"/>
              <w:rPr>
                <w:sz w:val="22"/>
              </w:rPr>
            </w:pPr>
          </w:p>
        </w:tc>
        <w:tc>
          <w:tcPr>
            <w:tcW w:w="2405" w:type="dxa"/>
          </w:tcPr>
          <w:p>
            <w:pPr>
              <w:pStyle w:val="TableParagraph"/>
              <w:spacing w:line="223" w:lineRule="exact"/>
              <w:ind w:left="453"/>
              <w:rPr>
                <w:sz w:val="20"/>
              </w:rPr>
            </w:pPr>
            <w:r>
              <w:rPr>
                <w:sz w:val="20"/>
              </w:rPr>
              <w:t>Ozawa et al., 2004</w:t>
            </w:r>
          </w:p>
        </w:tc>
      </w:tr>
    </w:tbl>
    <w:p>
      <w:pPr>
        <w:spacing w:after="0" w:line="223" w:lineRule="exact"/>
        <w:rPr>
          <w:sz w:val="20"/>
        </w:rPr>
        <w:sectPr>
          <w:pgSz w:w="16840" w:h="11910" w:orient="landscape"/>
          <w:pgMar w:header="0" w:footer="998" w:top="1100" w:bottom="1180" w:left="640" w:right="640"/>
        </w:sectPr>
      </w:pPr>
    </w:p>
    <w:p>
      <w:pPr>
        <w:pStyle w:val="BodyText"/>
        <w:spacing w:before="4"/>
        <w:rPr>
          <w:sz w:val="17"/>
        </w:rPr>
      </w:pPr>
    </w:p>
    <w:p>
      <w:pPr>
        <w:spacing w:after="0"/>
        <w:rPr>
          <w:sz w:val="17"/>
        </w:rPr>
        <w:sectPr>
          <w:footerReference w:type="even" r:id="rId40"/>
          <w:footerReference w:type="default" r:id="rId41"/>
          <w:pgSz w:w="11910" w:h="16840"/>
          <w:pgMar w:footer="998" w:header="0" w:top="1580" w:bottom="1180" w:left="1680" w:right="1680"/>
          <w:pgNumType w:start="8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Heading1"/>
        <w:spacing w:line="276" w:lineRule="auto" w:before="84"/>
        <w:ind w:left="112" w:right="110"/>
        <w:rPr>
          <w:u w:val="none"/>
        </w:rPr>
      </w:pPr>
      <w:bookmarkStart w:name="_bookmark132" w:id="220"/>
      <w:bookmarkEnd w:id="220"/>
      <w:r>
        <w:rPr>
          <w:b w:val="0"/>
          <w:u w:val="none"/>
        </w:rPr>
      </w:r>
      <w:r>
        <w:rPr>
          <w:u w:val="thick"/>
        </w:rPr>
        <w:t>Partie 2 : Utilisation clinique des molécules ciblant le</w:t>
      </w:r>
      <w:r>
        <w:rPr>
          <w:u w:val="none"/>
        </w:rPr>
        <w:t> </w:t>
      </w:r>
      <w:r>
        <w:rPr>
          <w:u w:val="thick"/>
        </w:rPr>
        <w:t>métabolisme énergétique modifié des cellules</w:t>
      </w:r>
      <w:r>
        <w:rPr>
          <w:u w:val="none"/>
        </w:rPr>
        <w:t> </w:t>
      </w:r>
      <w:r>
        <w:rPr>
          <w:u w:val="thick"/>
        </w:rPr>
        <w:t>tumorales</w:t>
      </w:r>
    </w:p>
    <w:p>
      <w:pPr>
        <w:spacing w:after="0" w:line="276" w:lineRule="auto"/>
        <w:sectPr>
          <w:pgSz w:w="11910" w:h="16840"/>
          <w:pgMar w:header="0" w:footer="1058" w:top="1580" w:bottom="1240" w:left="1340" w:right="1340"/>
        </w:sectPr>
      </w:pPr>
    </w:p>
    <w:p>
      <w:pPr>
        <w:pStyle w:val="BodyText"/>
        <w:spacing w:before="4"/>
        <w:rPr>
          <w:sz w:val="17"/>
        </w:rPr>
      </w:pPr>
    </w:p>
    <w:p>
      <w:pPr>
        <w:spacing w:after="0"/>
        <w:rPr>
          <w:sz w:val="17"/>
        </w:rPr>
        <w:sectPr>
          <w:pgSz w:w="11910" w:h="16840"/>
          <w:pgMar w:header="0" w:footer="998" w:top="1580" w:bottom="1180" w:left="1680" w:right="1680"/>
        </w:sectPr>
      </w:pPr>
    </w:p>
    <w:p>
      <w:pPr>
        <w:pStyle w:val="Heading2"/>
        <w:numPr>
          <w:ilvl w:val="0"/>
          <w:numId w:val="21"/>
        </w:numPr>
        <w:tabs>
          <w:tab w:pos="1198" w:val="left" w:leader="none"/>
          <w:tab w:pos="1199" w:val="left" w:leader="none"/>
        </w:tabs>
        <w:spacing w:line="240" w:lineRule="auto" w:before="57" w:after="0"/>
        <w:ind w:left="1198" w:right="0" w:hanging="720"/>
        <w:jc w:val="left"/>
        <w:rPr>
          <w:u w:val="none"/>
        </w:rPr>
      </w:pPr>
      <w:bookmarkStart w:name="_bookmark133" w:id="221"/>
      <w:bookmarkEnd w:id="221"/>
      <w:r>
        <w:rPr>
          <w:b w:val="0"/>
          <w:u w:val="none"/>
        </w:rPr>
      </w:r>
      <w:bookmarkStart w:name="_bookmark133" w:id="222"/>
      <w:bookmarkEnd w:id="222"/>
      <w:r>
        <w:rPr>
          <w:u w:val="thick"/>
        </w:rPr>
        <w:t>Préal</w:t>
      </w:r>
      <w:r>
        <w:rPr>
          <w:u w:val="thick"/>
        </w:rPr>
        <w:t>able à</w:t>
      </w:r>
      <w:r>
        <w:rPr>
          <w:spacing w:val="-7"/>
          <w:u w:val="thick"/>
        </w:rPr>
        <w:t> </w:t>
      </w:r>
      <w:r>
        <w:rPr>
          <w:u w:val="thick"/>
        </w:rPr>
        <w:t>l’étude</w:t>
      </w:r>
    </w:p>
    <w:p>
      <w:pPr>
        <w:pStyle w:val="BodyText"/>
        <w:rPr>
          <w:b/>
          <w:sz w:val="20"/>
        </w:rPr>
      </w:pPr>
    </w:p>
    <w:p>
      <w:pPr>
        <w:pStyle w:val="BodyText"/>
        <w:spacing w:before="1"/>
        <w:rPr>
          <w:b/>
          <w:sz w:val="22"/>
        </w:rPr>
      </w:pPr>
    </w:p>
    <w:p>
      <w:pPr>
        <w:pStyle w:val="BodyText"/>
        <w:spacing w:line="259" w:lineRule="auto"/>
        <w:ind w:left="118" w:right="116" w:firstLine="707"/>
        <w:jc w:val="both"/>
      </w:pPr>
      <w:r>
        <w:rPr/>
        <w:t>Nous avons vu l’ampleur de la diversité des molécules ciblant les différentes voies du métabolisme</w:t>
      </w:r>
      <w:r>
        <w:rPr>
          <w:spacing w:val="-10"/>
        </w:rPr>
        <w:t> </w:t>
      </w:r>
      <w:r>
        <w:rPr/>
        <w:t>(du</w:t>
      </w:r>
      <w:r>
        <w:rPr>
          <w:spacing w:val="-10"/>
        </w:rPr>
        <w:t> </w:t>
      </w:r>
      <w:r>
        <w:rPr/>
        <w:t>glucose,</w:t>
      </w:r>
      <w:r>
        <w:rPr>
          <w:spacing w:val="-8"/>
        </w:rPr>
        <w:t> </w:t>
      </w:r>
      <w:r>
        <w:rPr/>
        <w:t>de</w:t>
      </w:r>
      <w:r>
        <w:rPr>
          <w:spacing w:val="-11"/>
        </w:rPr>
        <w:t> </w:t>
      </w:r>
      <w:r>
        <w:rPr/>
        <w:t>la</w:t>
      </w:r>
      <w:r>
        <w:rPr>
          <w:spacing w:val="-8"/>
        </w:rPr>
        <w:t> </w:t>
      </w:r>
      <w:r>
        <w:rPr/>
        <w:t>glutamine)</w:t>
      </w:r>
      <w:r>
        <w:rPr>
          <w:spacing w:val="-10"/>
        </w:rPr>
        <w:t> </w:t>
      </w:r>
      <w:r>
        <w:rPr/>
        <w:t>et</w:t>
      </w:r>
      <w:r>
        <w:rPr>
          <w:spacing w:val="-9"/>
        </w:rPr>
        <w:t> </w:t>
      </w:r>
      <w:r>
        <w:rPr/>
        <w:t>l’équilibre</w:t>
      </w:r>
      <w:r>
        <w:rPr>
          <w:spacing w:val="-11"/>
        </w:rPr>
        <w:t> </w:t>
      </w:r>
      <w:r>
        <w:rPr/>
        <w:t>acido-basique</w:t>
      </w:r>
      <w:r>
        <w:rPr>
          <w:spacing w:val="-10"/>
        </w:rPr>
        <w:t> </w:t>
      </w:r>
      <w:r>
        <w:rPr/>
        <w:t>de</w:t>
      </w:r>
      <w:r>
        <w:rPr>
          <w:spacing w:val="-11"/>
        </w:rPr>
        <w:t> </w:t>
      </w:r>
      <w:r>
        <w:rPr/>
        <w:t>la</w:t>
      </w:r>
      <w:r>
        <w:rPr>
          <w:spacing w:val="-8"/>
        </w:rPr>
        <w:t> </w:t>
      </w:r>
      <w:r>
        <w:rPr/>
        <w:t>cellule</w:t>
      </w:r>
      <w:r>
        <w:rPr>
          <w:spacing w:val="-10"/>
        </w:rPr>
        <w:t> </w:t>
      </w:r>
      <w:r>
        <w:rPr/>
        <w:t>cancéreuse. Ciblons maintenant notre étude sur celles qui tout d’abord ont déjà été utilisées en pratique et qui</w:t>
      </w:r>
      <w:r>
        <w:rPr>
          <w:spacing w:val="-17"/>
        </w:rPr>
        <w:t> </w:t>
      </w:r>
      <w:r>
        <w:rPr/>
        <w:t>seraient</w:t>
      </w:r>
      <w:r>
        <w:rPr>
          <w:spacing w:val="-15"/>
        </w:rPr>
        <w:t> </w:t>
      </w:r>
      <w:r>
        <w:rPr/>
        <w:t>ensuite</w:t>
      </w:r>
      <w:r>
        <w:rPr>
          <w:spacing w:val="-16"/>
        </w:rPr>
        <w:t> </w:t>
      </w:r>
      <w:r>
        <w:rPr/>
        <w:t>facilement</w:t>
      </w:r>
      <w:r>
        <w:rPr>
          <w:spacing w:val="-18"/>
        </w:rPr>
        <w:t> </w:t>
      </w:r>
      <w:r>
        <w:rPr/>
        <w:t>utilisables</w:t>
      </w:r>
      <w:r>
        <w:rPr>
          <w:spacing w:val="-18"/>
        </w:rPr>
        <w:t> </w:t>
      </w:r>
      <w:r>
        <w:rPr/>
        <w:t>et</w:t>
      </w:r>
      <w:r>
        <w:rPr>
          <w:spacing w:val="-15"/>
        </w:rPr>
        <w:t> </w:t>
      </w:r>
      <w:r>
        <w:rPr/>
        <w:t>abordables</w:t>
      </w:r>
      <w:r>
        <w:rPr>
          <w:spacing w:val="-18"/>
        </w:rPr>
        <w:t> </w:t>
      </w:r>
      <w:r>
        <w:rPr/>
        <w:t>financièrement</w:t>
      </w:r>
      <w:r>
        <w:rPr>
          <w:spacing w:val="-12"/>
        </w:rPr>
        <w:t> </w:t>
      </w:r>
      <w:r>
        <w:rPr/>
        <w:t>en</w:t>
      </w:r>
      <w:r>
        <w:rPr>
          <w:spacing w:val="-16"/>
        </w:rPr>
        <w:t> </w:t>
      </w:r>
      <w:r>
        <w:rPr/>
        <w:t>médecine</w:t>
      </w:r>
      <w:r>
        <w:rPr>
          <w:spacing w:val="-16"/>
        </w:rPr>
        <w:t> </w:t>
      </w:r>
      <w:r>
        <w:rPr/>
        <w:t>vétérinaire.</w:t>
      </w:r>
    </w:p>
    <w:p>
      <w:pPr>
        <w:pStyle w:val="BodyText"/>
        <w:rPr>
          <w:sz w:val="26"/>
        </w:rPr>
      </w:pPr>
    </w:p>
    <w:p>
      <w:pPr>
        <w:pStyle w:val="BodyText"/>
        <w:spacing w:before="1"/>
        <w:rPr>
          <w:sz w:val="28"/>
        </w:rPr>
      </w:pPr>
    </w:p>
    <w:p>
      <w:pPr>
        <w:pStyle w:val="Heading3"/>
        <w:numPr>
          <w:ilvl w:val="1"/>
          <w:numId w:val="21"/>
        </w:numPr>
        <w:tabs>
          <w:tab w:pos="1538" w:val="left" w:leader="none"/>
        </w:tabs>
        <w:spacing w:line="240" w:lineRule="auto" w:before="0" w:after="0"/>
        <w:ind w:left="1537" w:right="0" w:hanging="360"/>
        <w:jc w:val="left"/>
      </w:pPr>
      <w:bookmarkStart w:name="_bookmark134" w:id="223"/>
      <w:bookmarkEnd w:id="223"/>
      <w:r>
        <w:rPr>
          <w:b w:val="0"/>
        </w:rPr>
      </w:r>
      <w:bookmarkStart w:name="_bookmark134" w:id="224"/>
      <w:bookmarkEnd w:id="224"/>
      <w:r>
        <w:rPr/>
        <w:t>C</w:t>
      </w:r>
      <w:r>
        <w:rPr/>
        <w:t>ontexte en médecine</w:t>
      </w:r>
      <w:r>
        <w:rPr>
          <w:spacing w:val="-8"/>
        </w:rPr>
        <w:t> </w:t>
      </w:r>
      <w:r>
        <w:rPr/>
        <w:t>humaine</w:t>
      </w:r>
    </w:p>
    <w:p>
      <w:pPr>
        <w:pStyle w:val="BodyText"/>
        <w:spacing w:before="9"/>
        <w:rPr>
          <w:b/>
          <w:sz w:val="41"/>
        </w:rPr>
      </w:pPr>
    </w:p>
    <w:p>
      <w:pPr>
        <w:pStyle w:val="ListParagraph"/>
        <w:numPr>
          <w:ilvl w:val="0"/>
          <w:numId w:val="22"/>
        </w:numPr>
        <w:tabs>
          <w:tab w:pos="1113" w:val="left" w:leader="none"/>
        </w:tabs>
        <w:spacing w:line="240" w:lineRule="auto" w:before="0" w:after="0"/>
        <w:ind w:left="1112" w:right="0" w:hanging="360"/>
        <w:jc w:val="left"/>
        <w:rPr>
          <w:sz w:val="24"/>
        </w:rPr>
      </w:pPr>
      <w:bookmarkStart w:name="_bookmark135" w:id="225"/>
      <w:bookmarkEnd w:id="225"/>
      <w:r>
        <w:rPr/>
      </w:r>
      <w:bookmarkStart w:name="_bookmark135" w:id="226"/>
      <w:bookmarkEnd w:id="226"/>
      <w:r>
        <w:rPr>
          <w:sz w:val="24"/>
          <w:u w:val="single"/>
        </w:rPr>
        <w:t>M</w:t>
      </w:r>
      <w:r>
        <w:rPr>
          <w:sz w:val="24"/>
          <w:u w:val="single"/>
        </w:rPr>
        <w:t>éthodologie</w:t>
      </w:r>
    </w:p>
    <w:p>
      <w:pPr>
        <w:pStyle w:val="BodyText"/>
        <w:rPr>
          <w:sz w:val="20"/>
        </w:rPr>
      </w:pPr>
    </w:p>
    <w:p>
      <w:pPr>
        <w:pStyle w:val="BodyText"/>
        <w:spacing w:before="8"/>
        <w:rPr>
          <w:sz w:val="21"/>
        </w:rPr>
      </w:pPr>
    </w:p>
    <w:p>
      <w:pPr>
        <w:pStyle w:val="BodyText"/>
        <w:spacing w:line="259" w:lineRule="auto"/>
        <w:ind w:left="118" w:right="118" w:firstLine="707"/>
        <w:jc w:val="both"/>
      </w:pPr>
      <w:r>
        <w:rPr/>
        <w:t>Les essais cliniques et les recherches en médecine humaine concernant les molécules décrites précédemment connaissent un essor impressionnant. Pour les molécules abordables</w:t>
      </w:r>
      <w:r>
        <w:rPr>
          <w:spacing w:val="-43"/>
        </w:rPr>
        <w:t> </w:t>
      </w:r>
      <w:r>
        <w:rPr/>
        <w:t>en clinique, les différents aboutissements cliniques sont synthétisés dans le tableau suivant (Tableau 4). La méthode de recherche utilisée est la suivante</w:t>
      </w:r>
      <w:r>
        <w:rPr>
          <w:spacing w:val="-6"/>
        </w:rPr>
        <w:t> </w:t>
      </w:r>
      <w:r>
        <w:rPr/>
        <w:t>:</w:t>
      </w:r>
    </w:p>
    <w:p>
      <w:pPr>
        <w:pStyle w:val="ListParagraph"/>
        <w:numPr>
          <w:ilvl w:val="1"/>
          <w:numId w:val="6"/>
        </w:numPr>
        <w:tabs>
          <w:tab w:pos="838" w:val="left" w:leader="none"/>
          <w:tab w:pos="839" w:val="left" w:leader="none"/>
        </w:tabs>
        <w:spacing w:line="259" w:lineRule="auto" w:before="161" w:after="0"/>
        <w:ind w:left="838" w:right="119" w:hanging="360"/>
        <w:jc w:val="left"/>
        <w:rPr>
          <w:sz w:val="24"/>
        </w:rPr>
      </w:pPr>
      <w:r>
        <w:rPr>
          <w:sz w:val="24"/>
        </w:rPr>
        <w:t>Synthèse des essais cliniques mentionnés dans les articles de recherche fondamentale exposés</w:t>
      </w:r>
      <w:r>
        <w:rPr>
          <w:spacing w:val="-7"/>
          <w:sz w:val="24"/>
        </w:rPr>
        <w:t> </w:t>
      </w:r>
      <w:r>
        <w:rPr>
          <w:sz w:val="24"/>
        </w:rPr>
        <w:t>précédemment,</w:t>
      </w:r>
    </w:p>
    <w:p>
      <w:pPr>
        <w:pStyle w:val="ListParagraph"/>
        <w:numPr>
          <w:ilvl w:val="1"/>
          <w:numId w:val="6"/>
        </w:numPr>
        <w:tabs>
          <w:tab w:pos="838" w:val="left" w:leader="none"/>
          <w:tab w:pos="839" w:val="left" w:leader="none"/>
        </w:tabs>
        <w:spacing w:line="261" w:lineRule="auto" w:before="0" w:after="0"/>
        <w:ind w:left="838" w:right="109" w:hanging="360"/>
        <w:jc w:val="left"/>
        <w:rPr>
          <w:sz w:val="24"/>
        </w:rPr>
      </w:pPr>
      <w:r>
        <w:rPr>
          <w:sz w:val="24"/>
        </w:rPr>
        <w:t>Recherche complémentaire sur PubMed avec les mots clefs « nom de la molécule » AND « cancer » AND « clinical</w:t>
      </w:r>
      <w:r>
        <w:rPr>
          <w:spacing w:val="-2"/>
          <w:sz w:val="24"/>
        </w:rPr>
        <w:t> </w:t>
      </w:r>
      <w:r>
        <w:rPr>
          <w:spacing w:val="-8"/>
          <w:sz w:val="24"/>
        </w:rPr>
        <w:t>»,</w:t>
      </w:r>
    </w:p>
    <w:p>
      <w:pPr>
        <w:pStyle w:val="ListParagraph"/>
        <w:numPr>
          <w:ilvl w:val="1"/>
          <w:numId w:val="6"/>
        </w:numPr>
        <w:tabs>
          <w:tab w:pos="838" w:val="left" w:leader="none"/>
          <w:tab w:pos="839" w:val="left" w:leader="none"/>
        </w:tabs>
        <w:spacing w:line="259" w:lineRule="auto" w:before="0" w:after="0"/>
        <w:ind w:left="838" w:right="113" w:hanging="360"/>
        <w:jc w:val="left"/>
        <w:rPr>
          <w:sz w:val="24"/>
        </w:rPr>
      </w:pPr>
      <w:r>
        <w:rPr>
          <w:sz w:val="24"/>
        </w:rPr>
        <w:t>Recherche complémentaire dans la base de données des études cliniques en médecine humaine  (ClinicalTrials.gov)   avec  les  mots  clefs   « nom  de  la  </w:t>
      </w:r>
      <w:r>
        <w:rPr>
          <w:spacing w:val="20"/>
          <w:sz w:val="24"/>
        </w:rPr>
        <w:t> </w:t>
      </w:r>
      <w:r>
        <w:rPr>
          <w:sz w:val="24"/>
        </w:rPr>
        <w:t>molécule »  AND</w:t>
      </w:r>
    </w:p>
    <w:p>
      <w:pPr>
        <w:pStyle w:val="BodyText"/>
        <w:spacing w:line="259" w:lineRule="auto" w:before="3"/>
        <w:ind w:left="838" w:right="113"/>
        <w:jc w:val="both"/>
      </w:pPr>
      <w:r>
        <w:rPr/>
        <w:t>« cancer </w:t>
      </w:r>
      <w:r>
        <w:rPr>
          <w:spacing w:val="-4"/>
        </w:rPr>
        <w:t>». </w:t>
      </w:r>
      <w:r>
        <w:rPr/>
        <w:t>Pour avoir une idée du développement de ces molécules dans les essais cliniques,</w:t>
      </w:r>
      <w:r>
        <w:rPr>
          <w:spacing w:val="-7"/>
        </w:rPr>
        <w:t> </w:t>
      </w:r>
      <w:r>
        <w:rPr/>
        <w:t>le</w:t>
      </w:r>
      <w:r>
        <w:rPr>
          <w:spacing w:val="-7"/>
        </w:rPr>
        <w:t> </w:t>
      </w:r>
      <w:r>
        <w:rPr/>
        <w:t>nombre</w:t>
      </w:r>
      <w:r>
        <w:rPr>
          <w:spacing w:val="-7"/>
        </w:rPr>
        <w:t> </w:t>
      </w:r>
      <w:r>
        <w:rPr/>
        <w:t>issu</w:t>
      </w:r>
      <w:r>
        <w:rPr>
          <w:spacing w:val="-6"/>
        </w:rPr>
        <w:t> </w:t>
      </w:r>
      <w:r>
        <w:rPr/>
        <w:t>de</w:t>
      </w:r>
      <w:r>
        <w:rPr>
          <w:spacing w:val="-7"/>
        </w:rPr>
        <w:t> </w:t>
      </w:r>
      <w:r>
        <w:rPr/>
        <w:t>la</w:t>
      </w:r>
      <w:r>
        <w:rPr>
          <w:spacing w:val="-7"/>
        </w:rPr>
        <w:t> </w:t>
      </w:r>
      <w:r>
        <w:rPr/>
        <w:t>recherche</w:t>
      </w:r>
      <w:r>
        <w:rPr>
          <w:spacing w:val="-7"/>
        </w:rPr>
        <w:t> </w:t>
      </w:r>
      <w:r>
        <w:rPr/>
        <w:t>sur</w:t>
      </w:r>
      <w:r>
        <w:rPr>
          <w:spacing w:val="-4"/>
        </w:rPr>
        <w:t> </w:t>
      </w:r>
      <w:r>
        <w:rPr/>
        <w:t>ce</w:t>
      </w:r>
      <w:r>
        <w:rPr>
          <w:spacing w:val="-7"/>
        </w:rPr>
        <w:t> </w:t>
      </w:r>
      <w:r>
        <w:rPr/>
        <w:t>site</w:t>
      </w:r>
      <w:r>
        <w:rPr>
          <w:spacing w:val="-5"/>
        </w:rPr>
        <w:t> </w:t>
      </w:r>
      <w:r>
        <w:rPr/>
        <w:t>est</w:t>
      </w:r>
      <w:r>
        <w:rPr>
          <w:spacing w:val="-6"/>
        </w:rPr>
        <w:t> </w:t>
      </w:r>
      <w:r>
        <w:rPr/>
        <w:t>indiqué</w:t>
      </w:r>
      <w:r>
        <w:rPr>
          <w:spacing w:val="-7"/>
        </w:rPr>
        <w:t> </w:t>
      </w:r>
      <w:r>
        <w:rPr/>
        <w:t>dans</w:t>
      </w:r>
      <w:r>
        <w:rPr>
          <w:spacing w:val="-6"/>
        </w:rPr>
        <w:t> </w:t>
      </w:r>
      <w:r>
        <w:rPr/>
        <w:t>la</w:t>
      </w:r>
      <w:r>
        <w:rPr>
          <w:spacing w:val="-7"/>
        </w:rPr>
        <w:t> </w:t>
      </w:r>
      <w:r>
        <w:rPr/>
        <w:t>dernière</w:t>
      </w:r>
      <w:r>
        <w:rPr>
          <w:spacing w:val="-8"/>
        </w:rPr>
        <w:t> </w:t>
      </w:r>
      <w:r>
        <w:rPr/>
        <w:t>colonne («</w:t>
      </w:r>
      <w:r>
        <w:rPr>
          <w:spacing w:val="-8"/>
        </w:rPr>
        <w:t> </w:t>
      </w:r>
      <w:r>
        <w:rPr/>
        <w:t>nombre</w:t>
      </w:r>
      <w:r>
        <w:rPr>
          <w:spacing w:val="3"/>
        </w:rPr>
        <w:t> </w:t>
      </w:r>
      <w:r>
        <w:rPr>
          <w:spacing w:val="-3"/>
        </w:rPr>
        <w:t>»).</w:t>
      </w:r>
      <w:r>
        <w:rPr>
          <w:spacing w:val="-15"/>
        </w:rPr>
        <w:t> </w:t>
      </w:r>
      <w:r>
        <w:rPr/>
        <w:t>Si</w:t>
      </w:r>
      <w:r>
        <w:rPr>
          <w:spacing w:val="-14"/>
        </w:rPr>
        <w:t> </w:t>
      </w:r>
      <w:r>
        <w:rPr/>
        <w:t>la</w:t>
      </w:r>
      <w:r>
        <w:rPr>
          <w:spacing w:val="-15"/>
        </w:rPr>
        <w:t> </w:t>
      </w:r>
      <w:r>
        <w:rPr/>
        <w:t>molécule</w:t>
      </w:r>
      <w:r>
        <w:rPr>
          <w:spacing w:val="-15"/>
        </w:rPr>
        <w:t> </w:t>
      </w:r>
      <w:r>
        <w:rPr/>
        <w:t>a</w:t>
      </w:r>
      <w:r>
        <w:rPr>
          <w:spacing w:val="-16"/>
        </w:rPr>
        <w:t> </w:t>
      </w:r>
      <w:r>
        <w:rPr/>
        <w:t>deux</w:t>
      </w:r>
      <w:r>
        <w:rPr>
          <w:spacing w:val="-13"/>
        </w:rPr>
        <w:t> </w:t>
      </w:r>
      <w:r>
        <w:rPr/>
        <w:t>noms,</w:t>
      </w:r>
      <w:r>
        <w:rPr>
          <w:spacing w:val="-15"/>
        </w:rPr>
        <w:t> </w:t>
      </w:r>
      <w:r>
        <w:rPr/>
        <w:t>le</w:t>
      </w:r>
      <w:r>
        <w:rPr>
          <w:spacing w:val="-15"/>
        </w:rPr>
        <w:t> </w:t>
      </w:r>
      <w:r>
        <w:rPr/>
        <w:t>nombre</w:t>
      </w:r>
      <w:r>
        <w:rPr>
          <w:spacing w:val="-16"/>
        </w:rPr>
        <w:t> </w:t>
      </w:r>
      <w:r>
        <w:rPr/>
        <w:t>d’essais</w:t>
      </w:r>
      <w:r>
        <w:rPr>
          <w:spacing w:val="-14"/>
        </w:rPr>
        <w:t> </w:t>
      </w:r>
      <w:r>
        <w:rPr/>
        <w:t>cliniques</w:t>
      </w:r>
      <w:r>
        <w:rPr>
          <w:spacing w:val="-15"/>
        </w:rPr>
        <w:t> </w:t>
      </w:r>
      <w:r>
        <w:rPr/>
        <w:t>le</w:t>
      </w:r>
      <w:r>
        <w:rPr>
          <w:spacing w:val="-15"/>
        </w:rPr>
        <w:t> </w:t>
      </w:r>
      <w:r>
        <w:rPr/>
        <w:t>plus</w:t>
      </w:r>
      <w:r>
        <w:rPr>
          <w:spacing w:val="-14"/>
        </w:rPr>
        <w:t> </w:t>
      </w:r>
      <w:r>
        <w:rPr/>
        <w:t>important trouvé avec un des noms est</w:t>
      </w:r>
      <w:r>
        <w:rPr>
          <w:spacing w:val="-4"/>
        </w:rPr>
        <w:t> </w:t>
      </w:r>
      <w:r>
        <w:rPr/>
        <w:t>indiqué.</w:t>
      </w:r>
    </w:p>
    <w:p>
      <w:pPr>
        <w:pStyle w:val="BodyText"/>
        <w:spacing w:line="259" w:lineRule="auto" w:before="163"/>
        <w:ind w:left="118" w:right="117" w:firstLine="707"/>
        <w:jc w:val="both"/>
      </w:pPr>
      <w:r>
        <w:rPr/>
        <w:t>La plupart des essais cliniques sont encore en phase de recrutement et ne sont donc pas détaillés.</w:t>
      </w:r>
      <w:r>
        <w:rPr>
          <w:spacing w:val="-11"/>
        </w:rPr>
        <w:t> </w:t>
      </w:r>
      <w:r>
        <w:rPr/>
        <w:t>Ceux</w:t>
      </w:r>
      <w:r>
        <w:rPr>
          <w:spacing w:val="-9"/>
        </w:rPr>
        <w:t> </w:t>
      </w:r>
      <w:r>
        <w:rPr/>
        <w:t>dont</w:t>
      </w:r>
      <w:r>
        <w:rPr>
          <w:spacing w:val="-11"/>
        </w:rPr>
        <w:t> </w:t>
      </w:r>
      <w:r>
        <w:rPr/>
        <w:t>les</w:t>
      </w:r>
      <w:r>
        <w:rPr>
          <w:spacing w:val="-11"/>
        </w:rPr>
        <w:t> </w:t>
      </w:r>
      <w:r>
        <w:rPr/>
        <w:t>résultats</w:t>
      </w:r>
      <w:r>
        <w:rPr>
          <w:spacing w:val="-10"/>
        </w:rPr>
        <w:t> </w:t>
      </w:r>
      <w:r>
        <w:rPr/>
        <w:t>sont</w:t>
      </w:r>
      <w:r>
        <w:rPr>
          <w:spacing w:val="-11"/>
        </w:rPr>
        <w:t> </w:t>
      </w:r>
      <w:r>
        <w:rPr/>
        <w:t>disponibles</w:t>
      </w:r>
      <w:r>
        <w:rPr>
          <w:spacing w:val="-11"/>
        </w:rPr>
        <w:t> </w:t>
      </w:r>
      <w:r>
        <w:rPr/>
        <w:t>et</w:t>
      </w:r>
      <w:r>
        <w:rPr>
          <w:spacing w:val="-13"/>
        </w:rPr>
        <w:t> </w:t>
      </w:r>
      <w:r>
        <w:rPr/>
        <w:t>pertinents</w:t>
      </w:r>
      <w:r>
        <w:rPr>
          <w:spacing w:val="-10"/>
        </w:rPr>
        <w:t> </w:t>
      </w:r>
      <w:r>
        <w:rPr/>
        <w:t>sont</w:t>
      </w:r>
      <w:r>
        <w:rPr>
          <w:spacing w:val="-11"/>
        </w:rPr>
        <w:t> </w:t>
      </w:r>
      <w:r>
        <w:rPr/>
        <w:t>(dans</w:t>
      </w:r>
      <w:r>
        <w:rPr>
          <w:spacing w:val="-11"/>
        </w:rPr>
        <w:t> </w:t>
      </w:r>
      <w:r>
        <w:rPr/>
        <w:t>la</w:t>
      </w:r>
      <w:r>
        <w:rPr>
          <w:spacing w:val="-9"/>
        </w:rPr>
        <w:t> </w:t>
      </w:r>
      <w:r>
        <w:rPr/>
        <w:t>mesure</w:t>
      </w:r>
      <w:r>
        <w:rPr>
          <w:spacing w:val="-12"/>
        </w:rPr>
        <w:t> </w:t>
      </w:r>
      <w:r>
        <w:rPr/>
        <w:t>du</w:t>
      </w:r>
      <w:r>
        <w:rPr>
          <w:spacing w:val="-11"/>
        </w:rPr>
        <w:t> </w:t>
      </w:r>
      <w:r>
        <w:rPr/>
        <w:t>possible) présentés.</w:t>
      </w:r>
      <w:r>
        <w:rPr>
          <w:spacing w:val="-12"/>
        </w:rPr>
        <w:t> </w:t>
      </w:r>
      <w:r>
        <w:rPr/>
        <w:t>La</w:t>
      </w:r>
      <w:r>
        <w:rPr>
          <w:spacing w:val="-15"/>
        </w:rPr>
        <w:t> </w:t>
      </w:r>
      <w:r>
        <w:rPr/>
        <w:t>phase</w:t>
      </w:r>
      <w:r>
        <w:rPr>
          <w:spacing w:val="-15"/>
        </w:rPr>
        <w:t> </w:t>
      </w:r>
      <w:r>
        <w:rPr/>
        <w:t>de</w:t>
      </w:r>
      <w:r>
        <w:rPr>
          <w:spacing w:val="-15"/>
        </w:rPr>
        <w:t> </w:t>
      </w:r>
      <w:r>
        <w:rPr/>
        <w:t>l’essai</w:t>
      </w:r>
      <w:r>
        <w:rPr>
          <w:spacing w:val="-15"/>
        </w:rPr>
        <w:t> </w:t>
      </w:r>
      <w:r>
        <w:rPr/>
        <w:t>clinique</w:t>
      </w:r>
      <w:r>
        <w:rPr>
          <w:spacing w:val="-15"/>
        </w:rPr>
        <w:t> </w:t>
      </w:r>
      <w:r>
        <w:rPr/>
        <w:t>est</w:t>
      </w:r>
      <w:r>
        <w:rPr>
          <w:spacing w:val="-14"/>
        </w:rPr>
        <w:t> </w:t>
      </w:r>
      <w:r>
        <w:rPr/>
        <w:t>précisée</w:t>
      </w:r>
      <w:r>
        <w:rPr>
          <w:spacing w:val="-16"/>
        </w:rPr>
        <w:t> </w:t>
      </w:r>
      <w:r>
        <w:rPr/>
        <w:t>(détail</w:t>
      </w:r>
      <w:r>
        <w:rPr>
          <w:spacing w:val="-14"/>
        </w:rPr>
        <w:t> </w:t>
      </w:r>
      <w:r>
        <w:rPr/>
        <w:t>des</w:t>
      </w:r>
      <w:r>
        <w:rPr>
          <w:spacing w:val="-14"/>
        </w:rPr>
        <w:t> </w:t>
      </w:r>
      <w:r>
        <w:rPr/>
        <w:t>différentes</w:t>
      </w:r>
      <w:r>
        <w:rPr>
          <w:spacing w:val="-15"/>
        </w:rPr>
        <w:t> </w:t>
      </w:r>
      <w:r>
        <w:rPr/>
        <w:t>phases</w:t>
      </w:r>
      <w:r>
        <w:rPr>
          <w:spacing w:val="-14"/>
        </w:rPr>
        <w:t> </w:t>
      </w:r>
      <w:r>
        <w:rPr/>
        <w:t>d’essai</w:t>
      </w:r>
      <w:r>
        <w:rPr>
          <w:spacing w:val="-15"/>
        </w:rPr>
        <w:t> </w:t>
      </w:r>
      <w:r>
        <w:rPr/>
        <w:t>clinique en annexe 3). Ce tableau ne peut malheureusement être exhaustif, des essais cliniques ont pu être manqués lors de la recherche, de nouveaux résultats ont pu être publiés entre la date de la recherche (septembre 2016) et la soutenance de ce travail (12 juillet</w:t>
      </w:r>
      <w:r>
        <w:rPr>
          <w:spacing w:val="-10"/>
        </w:rPr>
        <w:t> </w:t>
      </w:r>
      <w:r>
        <w:rPr/>
        <w:t>2017).</w:t>
      </w:r>
    </w:p>
    <w:p>
      <w:pPr>
        <w:spacing w:after="0" w:line="259" w:lineRule="auto"/>
        <w:jc w:val="both"/>
        <w:sectPr>
          <w:pgSz w:w="11910" w:h="16840"/>
          <w:pgMar w:header="0" w:footer="1058" w:top="1340" w:bottom="1240" w:left="1300" w:right="1300"/>
        </w:sectPr>
      </w:pPr>
    </w:p>
    <w:p>
      <w:pPr>
        <w:pStyle w:val="BodyText"/>
        <w:spacing w:before="9"/>
        <w:rPr>
          <w:sz w:val="18"/>
        </w:rPr>
      </w:pPr>
    </w:p>
    <w:p>
      <w:pPr>
        <w:pStyle w:val="ListParagraph"/>
        <w:numPr>
          <w:ilvl w:val="0"/>
          <w:numId w:val="22"/>
        </w:numPr>
        <w:tabs>
          <w:tab w:pos="2066" w:val="left" w:leader="none"/>
        </w:tabs>
        <w:spacing w:line="240" w:lineRule="auto" w:before="90" w:after="0"/>
        <w:ind w:left="2065" w:right="0" w:hanging="360"/>
        <w:jc w:val="left"/>
        <w:rPr>
          <w:sz w:val="24"/>
        </w:rPr>
      </w:pPr>
      <w:bookmarkStart w:name="_bookmark136" w:id="227"/>
      <w:bookmarkEnd w:id="227"/>
      <w:r>
        <w:rPr/>
      </w:r>
      <w:bookmarkStart w:name="_bookmark136" w:id="228"/>
      <w:bookmarkEnd w:id="228"/>
      <w:r>
        <w:rPr>
          <w:sz w:val="24"/>
          <w:u w:val="single"/>
        </w:rPr>
        <w:t>R</w:t>
      </w:r>
      <w:r>
        <w:rPr>
          <w:sz w:val="24"/>
          <w:u w:val="single"/>
        </w:rPr>
        <w:t>ésultats</w:t>
      </w:r>
    </w:p>
    <w:p>
      <w:pPr>
        <w:pStyle w:val="BodyText"/>
        <w:rPr>
          <w:sz w:val="20"/>
        </w:rPr>
      </w:pPr>
    </w:p>
    <w:p>
      <w:pPr>
        <w:pStyle w:val="BodyText"/>
        <w:spacing w:before="8"/>
        <w:rPr>
          <w:sz w:val="21"/>
        </w:rPr>
      </w:pPr>
    </w:p>
    <w:p>
      <w:pPr>
        <w:spacing w:line="259" w:lineRule="auto" w:before="0"/>
        <w:ind w:left="1486" w:right="6064" w:hanging="709"/>
        <w:jc w:val="left"/>
        <w:rPr>
          <w:i/>
          <w:sz w:val="18"/>
        </w:rPr>
      </w:pPr>
      <w:bookmarkStart w:name="_bookmark137" w:id="229"/>
      <w:bookmarkEnd w:id="229"/>
      <w:r>
        <w:rPr/>
      </w:r>
      <w:r>
        <w:rPr>
          <w:i/>
          <w:color w:val="44536A"/>
          <w:sz w:val="18"/>
        </w:rPr>
        <w:t>Tableau 4 : Etat des lieux de l’utilisation de molécules ciblant le métabolisme tumoral modifié en médecine humaine. </w:t>
      </w:r>
      <w:r>
        <w:rPr>
          <w:i/>
          <w:color w:val="44536A"/>
          <w:sz w:val="18"/>
        </w:rPr>
        <w:t>SID = Semel In Die (une fois par jour), BID = Bis in Die (deux fois par jour), PO = Per Os (par voie orale)</w:t>
      </w:r>
    </w:p>
    <w:p>
      <w:pPr>
        <w:pStyle w:val="BodyText"/>
        <w:spacing w:before="2" w:after="1"/>
        <w:rPr>
          <w:i/>
          <w:sz w:val="16"/>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835"/>
        <w:gridCol w:w="2131"/>
        <w:gridCol w:w="1556"/>
        <w:gridCol w:w="1274"/>
        <w:gridCol w:w="3121"/>
        <w:gridCol w:w="1844"/>
        <w:gridCol w:w="991"/>
      </w:tblGrid>
      <w:tr>
        <w:trPr>
          <w:trHeight w:val="500" w:hRule="atLeast"/>
        </w:trPr>
        <w:tc>
          <w:tcPr>
            <w:tcW w:w="1560" w:type="dxa"/>
          </w:tcPr>
          <w:p>
            <w:pPr>
              <w:pStyle w:val="TableParagraph"/>
              <w:spacing w:line="249" w:lineRule="exact"/>
              <w:ind w:left="97" w:right="91"/>
              <w:jc w:val="center"/>
              <w:rPr>
                <w:sz w:val="22"/>
              </w:rPr>
            </w:pPr>
            <w:r>
              <w:rPr>
                <w:sz w:val="22"/>
              </w:rPr>
              <w:t>Molécule</w:t>
            </w:r>
          </w:p>
        </w:tc>
        <w:tc>
          <w:tcPr>
            <w:tcW w:w="2835" w:type="dxa"/>
          </w:tcPr>
          <w:p>
            <w:pPr>
              <w:pStyle w:val="TableParagraph"/>
              <w:spacing w:line="249" w:lineRule="exact"/>
              <w:ind w:left="102" w:right="103"/>
              <w:jc w:val="center"/>
              <w:rPr>
                <w:sz w:val="22"/>
              </w:rPr>
            </w:pPr>
            <w:r>
              <w:rPr>
                <w:sz w:val="22"/>
              </w:rPr>
              <w:t>Doses</w:t>
            </w:r>
          </w:p>
        </w:tc>
        <w:tc>
          <w:tcPr>
            <w:tcW w:w="2131" w:type="dxa"/>
          </w:tcPr>
          <w:p>
            <w:pPr>
              <w:pStyle w:val="TableParagraph"/>
              <w:spacing w:line="249" w:lineRule="exact"/>
              <w:ind w:left="96" w:right="96"/>
              <w:jc w:val="center"/>
              <w:rPr>
                <w:sz w:val="22"/>
              </w:rPr>
            </w:pPr>
            <w:r>
              <w:rPr>
                <w:sz w:val="22"/>
              </w:rPr>
              <w:t>Type de cancer</w:t>
            </w:r>
          </w:p>
        </w:tc>
        <w:tc>
          <w:tcPr>
            <w:tcW w:w="1556" w:type="dxa"/>
          </w:tcPr>
          <w:p>
            <w:pPr>
              <w:pStyle w:val="TableParagraph"/>
              <w:spacing w:line="252" w:lineRule="exact"/>
              <w:ind w:left="453" w:right="273" w:hanging="166"/>
              <w:rPr>
                <w:sz w:val="22"/>
              </w:rPr>
            </w:pPr>
            <w:r>
              <w:rPr>
                <w:sz w:val="22"/>
              </w:rPr>
              <w:t>Traitement associé</w:t>
            </w:r>
          </w:p>
        </w:tc>
        <w:tc>
          <w:tcPr>
            <w:tcW w:w="1274" w:type="dxa"/>
          </w:tcPr>
          <w:p>
            <w:pPr>
              <w:pStyle w:val="TableParagraph"/>
              <w:spacing w:line="249" w:lineRule="exact"/>
              <w:ind w:left="113" w:right="113"/>
              <w:jc w:val="center"/>
              <w:rPr>
                <w:sz w:val="22"/>
              </w:rPr>
            </w:pPr>
            <w:r>
              <w:rPr>
                <w:sz w:val="22"/>
              </w:rPr>
              <w:t>Phase</w:t>
            </w:r>
          </w:p>
        </w:tc>
        <w:tc>
          <w:tcPr>
            <w:tcW w:w="3121" w:type="dxa"/>
          </w:tcPr>
          <w:p>
            <w:pPr>
              <w:pStyle w:val="TableParagraph"/>
              <w:spacing w:line="249" w:lineRule="exact"/>
              <w:ind w:left="93" w:right="93"/>
              <w:jc w:val="center"/>
              <w:rPr>
                <w:sz w:val="22"/>
              </w:rPr>
            </w:pPr>
            <w:r>
              <w:rPr>
                <w:sz w:val="22"/>
              </w:rPr>
              <w:t>Effets</w:t>
            </w:r>
          </w:p>
        </w:tc>
        <w:tc>
          <w:tcPr>
            <w:tcW w:w="1844" w:type="dxa"/>
          </w:tcPr>
          <w:p>
            <w:pPr>
              <w:pStyle w:val="TableParagraph"/>
              <w:spacing w:line="249" w:lineRule="exact"/>
              <w:ind w:left="107" w:right="108"/>
              <w:jc w:val="center"/>
              <w:rPr>
                <w:sz w:val="22"/>
              </w:rPr>
            </w:pPr>
            <w:r>
              <w:rPr>
                <w:sz w:val="22"/>
              </w:rPr>
              <w:t>Source</w:t>
            </w:r>
          </w:p>
        </w:tc>
        <w:tc>
          <w:tcPr>
            <w:tcW w:w="991" w:type="dxa"/>
          </w:tcPr>
          <w:p>
            <w:pPr>
              <w:pStyle w:val="TableParagraph"/>
              <w:spacing w:line="249" w:lineRule="exact"/>
              <w:ind w:left="109" w:right="110"/>
              <w:jc w:val="center"/>
              <w:rPr>
                <w:sz w:val="22"/>
              </w:rPr>
            </w:pPr>
            <w:r>
              <w:rPr>
                <w:sz w:val="22"/>
              </w:rPr>
              <w:t>Nombre</w:t>
            </w:r>
          </w:p>
        </w:tc>
      </w:tr>
      <w:tr>
        <w:trPr>
          <w:trHeight w:val="500" w:hRule="atLeast"/>
        </w:trPr>
        <w:tc>
          <w:tcPr>
            <w:tcW w:w="14321" w:type="dxa"/>
            <w:gridSpan w:val="7"/>
          </w:tcPr>
          <w:p>
            <w:pPr>
              <w:pStyle w:val="TableParagraph"/>
              <w:spacing w:line="273" w:lineRule="exact"/>
              <w:ind w:left="5148" w:right="5149"/>
              <w:jc w:val="center"/>
              <w:rPr>
                <w:b/>
                <w:i/>
                <w:sz w:val="24"/>
              </w:rPr>
            </w:pPr>
            <w:r>
              <w:rPr>
                <w:b/>
                <w:i/>
                <w:sz w:val="24"/>
              </w:rPr>
              <w:t>Cibler l’entrée du glucose par les GLUT</w:t>
            </w:r>
          </w:p>
        </w:tc>
        <w:tc>
          <w:tcPr>
            <w:tcW w:w="991" w:type="dxa"/>
          </w:tcPr>
          <w:p>
            <w:pPr>
              <w:pStyle w:val="TableParagraph"/>
              <w:rPr>
                <w:sz w:val="20"/>
              </w:rPr>
            </w:pPr>
          </w:p>
        </w:tc>
      </w:tr>
      <w:tr>
        <w:trPr>
          <w:trHeight w:val="1000" w:hRule="atLeast"/>
        </w:trPr>
        <w:tc>
          <w:tcPr>
            <w:tcW w:w="1560" w:type="dxa"/>
            <w:vMerge w:val="restart"/>
          </w:tcPr>
          <w:p>
            <w:pPr>
              <w:pStyle w:val="TableParagraph"/>
              <w:spacing w:line="252" w:lineRule="exact"/>
              <w:ind w:left="398"/>
              <w:rPr>
                <w:b/>
                <w:sz w:val="22"/>
              </w:rPr>
            </w:pPr>
            <w:r>
              <w:rPr>
                <w:b/>
                <w:sz w:val="22"/>
              </w:rPr>
              <w:t>Silybine</w:t>
            </w:r>
          </w:p>
        </w:tc>
        <w:tc>
          <w:tcPr>
            <w:tcW w:w="2835" w:type="dxa"/>
          </w:tcPr>
          <w:p>
            <w:pPr>
              <w:pStyle w:val="TableParagraph"/>
              <w:spacing w:line="242" w:lineRule="auto"/>
              <w:ind w:left="549" w:right="175" w:hanging="358"/>
              <w:rPr>
                <w:sz w:val="22"/>
              </w:rPr>
            </w:pPr>
            <w:r>
              <w:rPr>
                <w:sz w:val="22"/>
              </w:rPr>
              <w:t>13 g PO par jour en 3 doses pour 2-10 semaines</w:t>
            </w:r>
          </w:p>
        </w:tc>
        <w:tc>
          <w:tcPr>
            <w:tcW w:w="2131" w:type="dxa"/>
          </w:tcPr>
          <w:p>
            <w:pPr>
              <w:pStyle w:val="TableParagraph"/>
              <w:spacing w:line="242" w:lineRule="auto"/>
              <w:ind w:left="755" w:right="117" w:hanging="622"/>
              <w:rPr>
                <w:sz w:val="22"/>
              </w:rPr>
            </w:pPr>
            <w:r>
              <w:rPr>
                <w:sz w:val="22"/>
              </w:rPr>
              <w:t>Cancer de la prostate avancé</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ind w:left="92" w:right="93"/>
              <w:jc w:val="center"/>
              <w:rPr>
                <w:sz w:val="22"/>
              </w:rPr>
            </w:pPr>
            <w:r>
              <w:rPr>
                <w:sz w:val="22"/>
              </w:rPr>
              <w:t>Bien toléré hormis une toxicité hépatique asymptomatique (Hyperbilirubinémie)</w:t>
            </w:r>
          </w:p>
        </w:tc>
        <w:tc>
          <w:tcPr>
            <w:tcW w:w="1844" w:type="dxa"/>
          </w:tcPr>
          <w:p>
            <w:pPr>
              <w:pStyle w:val="TableParagraph"/>
              <w:ind w:left="376" w:right="290" w:hanging="68"/>
              <w:rPr>
                <w:sz w:val="18"/>
              </w:rPr>
            </w:pPr>
            <w:r>
              <w:rPr>
                <w:sz w:val="18"/>
              </w:rPr>
              <w:t>Flaig et al., 2007 NCT00487721</w:t>
            </w:r>
          </w:p>
        </w:tc>
        <w:tc>
          <w:tcPr>
            <w:tcW w:w="991" w:type="dxa"/>
            <w:vMerge w:val="restart"/>
          </w:tcPr>
          <w:p>
            <w:pPr>
              <w:pStyle w:val="TableParagraph"/>
              <w:spacing w:line="224" w:lineRule="exact"/>
              <w:ind w:right="1"/>
              <w:jc w:val="center"/>
              <w:rPr>
                <w:sz w:val="20"/>
              </w:rPr>
            </w:pPr>
            <w:r>
              <w:rPr>
                <w:w w:val="99"/>
                <w:sz w:val="20"/>
              </w:rPr>
              <w:t>4</w:t>
            </w: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6" w:lineRule="exact"/>
              <w:ind w:left="102" w:right="103"/>
              <w:jc w:val="center"/>
              <w:rPr>
                <w:sz w:val="22"/>
              </w:rPr>
            </w:pPr>
            <w:r>
              <w:rPr>
                <w:sz w:val="22"/>
              </w:rPr>
              <w:t>2, 4, 8, à 12 g par jour- doses</w:t>
            </w:r>
          </w:p>
          <w:p>
            <w:pPr>
              <w:pStyle w:val="TableParagraph"/>
              <w:spacing w:line="240" w:lineRule="exact"/>
              <w:ind w:left="103" w:right="103"/>
              <w:jc w:val="center"/>
              <w:rPr>
                <w:sz w:val="22"/>
              </w:rPr>
            </w:pPr>
            <w:r>
              <w:rPr>
                <w:sz w:val="22"/>
              </w:rPr>
              <w:t>divisées pour 12 semaines</w:t>
            </w:r>
          </w:p>
        </w:tc>
        <w:tc>
          <w:tcPr>
            <w:tcW w:w="2131" w:type="dxa"/>
          </w:tcPr>
          <w:p>
            <w:pPr>
              <w:pStyle w:val="TableParagraph"/>
              <w:spacing w:line="246" w:lineRule="exact"/>
              <w:ind w:left="96" w:right="97"/>
              <w:jc w:val="center"/>
              <w:rPr>
                <w:sz w:val="22"/>
              </w:rPr>
            </w:pPr>
            <w:r>
              <w:rPr>
                <w:sz w:val="22"/>
              </w:rPr>
              <w:t>Carcinome</w:t>
            </w:r>
          </w:p>
          <w:p>
            <w:pPr>
              <w:pStyle w:val="TableParagraph"/>
              <w:spacing w:line="240" w:lineRule="exact"/>
              <w:ind w:left="96" w:right="97"/>
              <w:jc w:val="center"/>
              <w:rPr>
                <w:sz w:val="22"/>
              </w:rPr>
            </w:pPr>
            <w:r>
              <w:rPr>
                <w:sz w:val="22"/>
              </w:rPr>
              <w:t>hépatocellulaire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0"/>
              <w:jc w:val="center"/>
              <w:rPr>
                <w:sz w:val="22"/>
              </w:rPr>
            </w:pPr>
            <w:r>
              <w:rPr>
                <w:sz w:val="22"/>
              </w:rPr>
              <w:t>Phase I</w:t>
            </w:r>
          </w:p>
        </w:tc>
        <w:tc>
          <w:tcPr>
            <w:tcW w:w="3121" w:type="dxa"/>
          </w:tcPr>
          <w:p>
            <w:pPr>
              <w:pStyle w:val="TableParagraph"/>
              <w:spacing w:line="247" w:lineRule="exact"/>
              <w:ind w:left="92" w:right="93"/>
              <w:jc w:val="center"/>
              <w:rPr>
                <w:sz w:val="22"/>
              </w:rPr>
            </w:pPr>
            <w:r>
              <w:rPr>
                <w:sz w:val="22"/>
              </w:rPr>
              <w:t>Mort des patients – arrêt essai</w:t>
            </w:r>
          </w:p>
        </w:tc>
        <w:tc>
          <w:tcPr>
            <w:tcW w:w="1844" w:type="dxa"/>
          </w:tcPr>
          <w:p>
            <w:pPr>
              <w:pStyle w:val="TableParagraph"/>
              <w:spacing w:line="202" w:lineRule="exact"/>
              <w:ind w:left="108" w:right="108"/>
              <w:jc w:val="center"/>
              <w:rPr>
                <w:sz w:val="18"/>
              </w:rPr>
            </w:pPr>
            <w:r>
              <w:rPr>
                <w:sz w:val="18"/>
              </w:rPr>
              <w:t>Siegel et al., 2014</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6" w:lineRule="exact"/>
              <w:ind w:left="102" w:right="103"/>
              <w:jc w:val="center"/>
              <w:rPr>
                <w:sz w:val="22"/>
              </w:rPr>
            </w:pPr>
            <w:r>
              <w:rPr>
                <w:sz w:val="22"/>
              </w:rPr>
              <w:t>1 g PO BID pendant 4</w:t>
            </w:r>
          </w:p>
          <w:p>
            <w:pPr>
              <w:pStyle w:val="TableParagraph"/>
              <w:spacing w:line="240" w:lineRule="exact"/>
              <w:ind w:left="103" w:right="103"/>
              <w:jc w:val="center"/>
              <w:rPr>
                <w:sz w:val="22"/>
              </w:rPr>
            </w:pPr>
            <w:r>
              <w:rPr>
                <w:sz w:val="22"/>
              </w:rPr>
              <w:t>semaines</w:t>
            </w:r>
          </w:p>
        </w:tc>
        <w:tc>
          <w:tcPr>
            <w:tcW w:w="2131" w:type="dxa"/>
          </w:tcPr>
          <w:p>
            <w:pPr>
              <w:pStyle w:val="TableParagraph"/>
              <w:spacing w:line="247" w:lineRule="exact"/>
              <w:ind w:left="96" w:right="96"/>
              <w:jc w:val="center"/>
              <w:rPr>
                <w:sz w:val="22"/>
              </w:rPr>
            </w:pPr>
            <w:r>
              <w:rPr>
                <w:sz w:val="22"/>
              </w:rPr>
              <w:t>Cancer du poumon</w:t>
            </w:r>
          </w:p>
        </w:tc>
        <w:tc>
          <w:tcPr>
            <w:tcW w:w="1556" w:type="dxa"/>
          </w:tcPr>
          <w:p>
            <w:pPr>
              <w:pStyle w:val="TableParagraph"/>
              <w:spacing w:line="247" w:lineRule="exact"/>
              <w:ind w:left="123" w:right="122"/>
              <w:jc w:val="center"/>
              <w:rPr>
                <w:sz w:val="22"/>
              </w:rPr>
            </w:pPr>
            <w:r>
              <w:rPr>
                <w:sz w:val="22"/>
              </w:rPr>
              <w:t>Erlotinib</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7" w:lineRule="exact"/>
              <w:ind w:left="92" w:right="93"/>
              <w:jc w:val="center"/>
              <w:rPr>
                <w:sz w:val="22"/>
              </w:rPr>
            </w:pPr>
            <w:r>
              <w:rPr>
                <w:sz w:val="22"/>
              </w:rPr>
              <w:t>Arrêt étude</w:t>
            </w:r>
          </w:p>
        </w:tc>
        <w:tc>
          <w:tcPr>
            <w:tcW w:w="1844" w:type="dxa"/>
          </w:tcPr>
          <w:p>
            <w:pPr>
              <w:pStyle w:val="TableParagraph"/>
              <w:spacing w:line="202" w:lineRule="exact"/>
              <w:ind w:left="108" w:right="108"/>
              <w:jc w:val="center"/>
              <w:rPr>
                <w:sz w:val="18"/>
              </w:rPr>
            </w:pPr>
            <w:r>
              <w:rPr>
                <w:sz w:val="18"/>
              </w:rPr>
              <w:t>NCT02146118</w:t>
            </w:r>
          </w:p>
        </w:tc>
        <w:tc>
          <w:tcPr>
            <w:tcW w:w="991" w:type="dxa"/>
            <w:vMerge/>
            <w:tcBorders>
              <w:top w:val="nil"/>
            </w:tcBorders>
          </w:tcPr>
          <w:p>
            <w:pPr>
              <w:rPr>
                <w:sz w:val="2"/>
                <w:szCs w:val="2"/>
              </w:rPr>
            </w:pPr>
          </w:p>
        </w:tc>
      </w:tr>
      <w:tr>
        <w:trPr>
          <w:trHeight w:val="500" w:hRule="atLeast"/>
        </w:trPr>
        <w:tc>
          <w:tcPr>
            <w:tcW w:w="1560" w:type="dxa"/>
          </w:tcPr>
          <w:p>
            <w:pPr>
              <w:pStyle w:val="TableParagraph"/>
              <w:spacing w:line="251" w:lineRule="exact"/>
              <w:ind w:left="97" w:right="92"/>
              <w:jc w:val="center"/>
              <w:rPr>
                <w:b/>
                <w:sz w:val="22"/>
              </w:rPr>
            </w:pPr>
            <w:r>
              <w:rPr>
                <w:b/>
                <w:sz w:val="22"/>
              </w:rPr>
              <w:t>Polyphénols</w:t>
            </w:r>
          </w:p>
        </w:tc>
        <w:tc>
          <w:tcPr>
            <w:tcW w:w="2835" w:type="dxa"/>
          </w:tcPr>
          <w:p>
            <w:pPr>
              <w:pStyle w:val="TableParagraph"/>
              <w:spacing w:line="246" w:lineRule="exact"/>
              <w:ind w:left="103" w:right="103"/>
              <w:jc w:val="center"/>
              <w:rPr>
                <w:sz w:val="22"/>
              </w:rPr>
            </w:pPr>
            <w:r>
              <w:rPr>
                <w:sz w:val="22"/>
              </w:rPr>
              <w:t>6 tasses thé vert pendant 2-8</w:t>
            </w:r>
          </w:p>
          <w:p>
            <w:pPr>
              <w:pStyle w:val="TableParagraph"/>
              <w:spacing w:line="240" w:lineRule="exact"/>
              <w:ind w:left="103" w:right="103"/>
              <w:jc w:val="center"/>
              <w:rPr>
                <w:sz w:val="22"/>
              </w:rPr>
            </w:pPr>
            <w:r>
              <w:rPr>
                <w:sz w:val="22"/>
              </w:rPr>
              <w:t>semaines</w:t>
            </w:r>
          </w:p>
        </w:tc>
        <w:tc>
          <w:tcPr>
            <w:tcW w:w="2131" w:type="dxa"/>
          </w:tcPr>
          <w:p>
            <w:pPr>
              <w:pStyle w:val="TableParagraph"/>
              <w:spacing w:line="247" w:lineRule="exact"/>
              <w:ind w:left="96" w:right="97"/>
              <w:jc w:val="center"/>
              <w:rPr>
                <w:sz w:val="22"/>
              </w:rPr>
            </w:pPr>
            <w:r>
              <w:rPr>
                <w:sz w:val="22"/>
              </w:rPr>
              <w:t>Cancer de la prostate</w:t>
            </w:r>
          </w:p>
        </w:tc>
        <w:tc>
          <w:tcPr>
            <w:tcW w:w="1556" w:type="dxa"/>
          </w:tcPr>
          <w:p>
            <w:pPr>
              <w:pStyle w:val="TableParagraph"/>
              <w:spacing w:line="246" w:lineRule="exact"/>
              <w:ind w:left="122" w:right="123"/>
              <w:jc w:val="center"/>
              <w:rPr>
                <w:sz w:val="22"/>
              </w:rPr>
            </w:pPr>
            <w:r>
              <w:rPr>
                <w:sz w:val="22"/>
              </w:rPr>
              <w:t>Comparaison</w:t>
            </w:r>
          </w:p>
          <w:p>
            <w:pPr>
              <w:pStyle w:val="TableParagraph"/>
              <w:spacing w:line="240" w:lineRule="exact"/>
              <w:ind w:left="122" w:right="123"/>
              <w:jc w:val="center"/>
              <w:rPr>
                <w:sz w:val="22"/>
              </w:rPr>
            </w:pPr>
            <w:r>
              <w:rPr>
                <w:sz w:val="22"/>
              </w:rPr>
              <w:t>thé noir</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6" w:lineRule="exact"/>
              <w:ind w:left="93" w:right="93"/>
              <w:jc w:val="center"/>
              <w:rPr>
                <w:sz w:val="22"/>
              </w:rPr>
            </w:pPr>
            <w:r>
              <w:rPr>
                <w:sz w:val="22"/>
              </w:rPr>
              <w:t>Marqueur PSA diminué avec thé</w:t>
            </w:r>
          </w:p>
          <w:p>
            <w:pPr>
              <w:pStyle w:val="TableParagraph"/>
              <w:spacing w:line="240" w:lineRule="exact"/>
              <w:ind w:left="92" w:right="93"/>
              <w:jc w:val="center"/>
              <w:rPr>
                <w:sz w:val="22"/>
              </w:rPr>
            </w:pPr>
            <w:r>
              <w:rPr>
                <w:sz w:val="22"/>
              </w:rPr>
              <w:t>vert</w:t>
            </w:r>
          </w:p>
        </w:tc>
        <w:tc>
          <w:tcPr>
            <w:tcW w:w="1844" w:type="dxa"/>
          </w:tcPr>
          <w:p>
            <w:pPr>
              <w:pStyle w:val="TableParagraph"/>
              <w:ind w:left="376" w:right="164" w:hanging="192"/>
              <w:rPr>
                <w:sz w:val="18"/>
              </w:rPr>
            </w:pPr>
            <w:r>
              <w:rPr>
                <w:sz w:val="18"/>
              </w:rPr>
              <w:t>Henning et al., 2015 NCT00685516</w:t>
            </w:r>
          </w:p>
        </w:tc>
        <w:tc>
          <w:tcPr>
            <w:tcW w:w="991" w:type="dxa"/>
          </w:tcPr>
          <w:p>
            <w:pPr>
              <w:pStyle w:val="TableParagraph"/>
              <w:spacing w:line="223" w:lineRule="exact"/>
              <w:ind w:left="109" w:right="107"/>
              <w:jc w:val="center"/>
              <w:rPr>
                <w:sz w:val="20"/>
              </w:rPr>
            </w:pPr>
            <w:r>
              <w:rPr>
                <w:sz w:val="20"/>
              </w:rPr>
              <w:t>37</w:t>
            </w:r>
          </w:p>
        </w:tc>
      </w:tr>
      <w:tr>
        <w:trPr>
          <w:trHeight w:val="500" w:hRule="atLeast"/>
        </w:trPr>
        <w:tc>
          <w:tcPr>
            <w:tcW w:w="14321" w:type="dxa"/>
            <w:gridSpan w:val="7"/>
          </w:tcPr>
          <w:p>
            <w:pPr>
              <w:pStyle w:val="TableParagraph"/>
              <w:spacing w:line="273" w:lineRule="exact"/>
              <w:ind w:left="5148" w:right="5146"/>
              <w:jc w:val="center"/>
              <w:rPr>
                <w:b/>
                <w:i/>
                <w:sz w:val="24"/>
              </w:rPr>
            </w:pPr>
            <w:r>
              <w:rPr>
                <w:b/>
                <w:i/>
                <w:sz w:val="24"/>
              </w:rPr>
              <w:t>Cibler la glycolyse</w:t>
            </w:r>
          </w:p>
        </w:tc>
        <w:tc>
          <w:tcPr>
            <w:tcW w:w="991" w:type="dxa"/>
          </w:tcPr>
          <w:p>
            <w:pPr>
              <w:pStyle w:val="TableParagraph"/>
              <w:rPr>
                <w:sz w:val="20"/>
              </w:rPr>
            </w:pPr>
          </w:p>
        </w:tc>
      </w:tr>
      <w:tr>
        <w:trPr>
          <w:trHeight w:val="1000" w:hRule="atLeast"/>
        </w:trPr>
        <w:tc>
          <w:tcPr>
            <w:tcW w:w="1560" w:type="dxa"/>
            <w:vMerge w:val="restart"/>
          </w:tcPr>
          <w:p>
            <w:pPr>
              <w:pStyle w:val="TableParagraph"/>
              <w:spacing w:line="251" w:lineRule="exact"/>
              <w:ind w:left="520"/>
              <w:rPr>
                <w:b/>
                <w:sz w:val="22"/>
              </w:rPr>
            </w:pPr>
            <w:r>
              <w:rPr>
                <w:b/>
                <w:sz w:val="22"/>
              </w:rPr>
              <w:t>2-DG</w:t>
            </w:r>
          </w:p>
        </w:tc>
        <w:tc>
          <w:tcPr>
            <w:tcW w:w="2835" w:type="dxa"/>
          </w:tcPr>
          <w:p>
            <w:pPr>
              <w:pStyle w:val="TableParagraph"/>
              <w:spacing w:line="247" w:lineRule="exact"/>
              <w:ind w:left="103" w:right="103"/>
              <w:jc w:val="center"/>
              <w:rPr>
                <w:sz w:val="22"/>
              </w:rPr>
            </w:pPr>
            <w:r>
              <w:rPr>
                <w:sz w:val="22"/>
              </w:rPr>
              <w:t>250 mg/kg</w:t>
            </w:r>
          </w:p>
        </w:tc>
        <w:tc>
          <w:tcPr>
            <w:tcW w:w="2131" w:type="dxa"/>
          </w:tcPr>
          <w:p>
            <w:pPr>
              <w:pStyle w:val="TableParagraph"/>
              <w:spacing w:line="242" w:lineRule="auto"/>
              <w:ind w:left="566" w:right="448" w:hanging="99"/>
              <w:rPr>
                <w:sz w:val="22"/>
              </w:rPr>
            </w:pPr>
            <w:r>
              <w:rPr>
                <w:sz w:val="22"/>
              </w:rPr>
              <w:t>Glioblastome multiforme</w:t>
            </w:r>
          </w:p>
        </w:tc>
        <w:tc>
          <w:tcPr>
            <w:tcW w:w="1556" w:type="dxa"/>
          </w:tcPr>
          <w:p>
            <w:pPr>
              <w:pStyle w:val="TableParagraph"/>
              <w:spacing w:line="242" w:lineRule="auto"/>
              <w:ind w:left="121" w:right="123"/>
              <w:jc w:val="center"/>
              <w:rPr>
                <w:sz w:val="22"/>
              </w:rPr>
            </w:pPr>
            <w:r>
              <w:rPr>
                <w:sz w:val="22"/>
              </w:rPr>
              <w:t>Radiothérapie 5</w:t>
            </w:r>
          </w:p>
          <w:p>
            <w:pPr>
              <w:pStyle w:val="TableParagraph"/>
              <w:spacing w:line="250" w:lineRule="exact" w:before="6"/>
              <w:ind w:left="123" w:right="123"/>
              <w:jc w:val="center"/>
              <w:rPr>
                <w:sz w:val="22"/>
              </w:rPr>
            </w:pPr>
            <w:r>
              <w:rPr>
                <w:sz w:val="22"/>
              </w:rPr>
              <w:t>Gy/fraction/se</w:t>
            </w:r>
          </w:p>
          <w:p>
            <w:pPr>
              <w:pStyle w:val="TableParagraph"/>
              <w:spacing w:line="238" w:lineRule="exact" w:before="1"/>
              <w:ind w:left="122" w:right="123"/>
              <w:jc w:val="center"/>
              <w:rPr>
                <w:sz w:val="22"/>
              </w:rPr>
            </w:pPr>
            <w:r>
              <w:rPr>
                <w:sz w:val="22"/>
              </w:rPr>
              <w:t>maine</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ind w:left="251" w:right="255" w:firstLine="5"/>
              <w:jc w:val="center"/>
              <w:rPr>
                <w:sz w:val="22"/>
              </w:rPr>
            </w:pPr>
            <w:r>
              <w:rPr>
                <w:sz w:val="22"/>
              </w:rPr>
              <w:t>Pas de toxicité aïgue  Nausées – vomissements Toxicité cerveau à plus</w:t>
            </w:r>
            <w:r>
              <w:rPr>
                <w:spacing w:val="-12"/>
                <w:sz w:val="22"/>
              </w:rPr>
              <w:t> </w:t>
            </w:r>
            <w:r>
              <w:rPr>
                <w:sz w:val="22"/>
              </w:rPr>
              <w:t>fortes</w:t>
            </w:r>
          </w:p>
          <w:p>
            <w:pPr>
              <w:pStyle w:val="TableParagraph"/>
              <w:spacing w:line="238" w:lineRule="exact" w:before="8"/>
              <w:ind w:left="93" w:right="91"/>
              <w:jc w:val="center"/>
              <w:rPr>
                <w:sz w:val="22"/>
              </w:rPr>
            </w:pPr>
            <w:r>
              <w:rPr>
                <w:sz w:val="22"/>
              </w:rPr>
              <w:t>doses</w:t>
            </w:r>
          </w:p>
        </w:tc>
        <w:tc>
          <w:tcPr>
            <w:tcW w:w="1844" w:type="dxa"/>
          </w:tcPr>
          <w:p>
            <w:pPr>
              <w:pStyle w:val="TableParagraph"/>
              <w:ind w:left="215" w:right="214" w:hanging="2"/>
              <w:jc w:val="center"/>
              <w:rPr>
                <w:sz w:val="18"/>
              </w:rPr>
            </w:pPr>
            <w:r>
              <w:rPr>
                <w:sz w:val="18"/>
              </w:rPr>
              <w:t>Singh et al., 2005 Dwarakanath et al., 2009</w:t>
            </w:r>
          </w:p>
          <w:p>
            <w:pPr>
              <w:pStyle w:val="TableParagraph"/>
              <w:spacing w:line="206" w:lineRule="exact" w:before="5"/>
              <w:ind w:left="108" w:right="108"/>
              <w:jc w:val="center"/>
              <w:rPr>
                <w:sz w:val="18"/>
              </w:rPr>
            </w:pPr>
            <w:r>
              <w:rPr>
                <w:sz w:val="18"/>
              </w:rPr>
              <w:t>Tennant et al., 2010</w:t>
            </w:r>
          </w:p>
        </w:tc>
        <w:tc>
          <w:tcPr>
            <w:tcW w:w="991" w:type="dxa"/>
            <w:vMerge w:val="restart"/>
          </w:tcPr>
          <w:p>
            <w:pPr>
              <w:pStyle w:val="TableParagraph"/>
              <w:spacing w:line="223" w:lineRule="exact"/>
              <w:ind w:left="109" w:right="107"/>
              <w:jc w:val="center"/>
              <w:rPr>
                <w:sz w:val="20"/>
              </w:rPr>
            </w:pPr>
            <w:r>
              <w:rPr>
                <w:sz w:val="20"/>
              </w:rPr>
              <w:t>124</w:t>
            </w: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690" w:hanging="58"/>
              <w:rPr>
                <w:sz w:val="22"/>
              </w:rPr>
            </w:pPr>
            <w:r>
              <w:rPr>
                <w:sz w:val="22"/>
              </w:rPr>
              <w:t>Doses croissantes</w:t>
            </w:r>
          </w:p>
          <w:p>
            <w:pPr>
              <w:pStyle w:val="TableParagraph"/>
              <w:spacing w:line="238" w:lineRule="exact" w:before="1"/>
              <w:ind w:left="690"/>
              <w:rPr>
                <w:sz w:val="22"/>
              </w:rPr>
            </w:pPr>
            <w:r>
              <w:rPr>
                <w:sz w:val="22"/>
              </w:rPr>
              <w:t>45 mg/kg retenu</w:t>
            </w:r>
          </w:p>
        </w:tc>
        <w:tc>
          <w:tcPr>
            <w:tcW w:w="2131" w:type="dxa"/>
          </w:tcPr>
          <w:p>
            <w:pPr>
              <w:pStyle w:val="TableParagraph"/>
              <w:spacing w:line="247" w:lineRule="exact"/>
              <w:ind w:left="96" w:right="97"/>
              <w:jc w:val="center"/>
              <w:rPr>
                <w:sz w:val="22"/>
              </w:rPr>
            </w:pPr>
            <w:r>
              <w:rPr>
                <w:sz w:val="22"/>
              </w:rPr>
              <w:t>Cancer de la prostate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0"/>
              <w:jc w:val="center"/>
              <w:rPr>
                <w:sz w:val="22"/>
              </w:rPr>
            </w:pPr>
            <w:r>
              <w:rPr>
                <w:sz w:val="22"/>
              </w:rPr>
              <w:t>Phase I</w:t>
            </w:r>
          </w:p>
        </w:tc>
        <w:tc>
          <w:tcPr>
            <w:tcW w:w="3121" w:type="dxa"/>
          </w:tcPr>
          <w:p>
            <w:pPr>
              <w:pStyle w:val="TableParagraph"/>
              <w:spacing w:line="247" w:lineRule="exact"/>
              <w:ind w:left="93" w:right="93"/>
              <w:jc w:val="center"/>
              <w:rPr>
                <w:sz w:val="22"/>
              </w:rPr>
            </w:pPr>
            <w:r>
              <w:rPr>
                <w:sz w:val="22"/>
              </w:rPr>
              <w:t>Toxicité de grade 3 pour</w:t>
            </w:r>
          </w:p>
          <w:p>
            <w:pPr>
              <w:pStyle w:val="TableParagraph"/>
              <w:spacing w:line="238" w:lineRule="exact" w:before="1"/>
              <w:ind w:left="92" w:right="93"/>
              <w:jc w:val="center"/>
              <w:rPr>
                <w:sz w:val="22"/>
              </w:rPr>
            </w:pPr>
            <w:r>
              <w:rPr>
                <w:sz w:val="22"/>
              </w:rPr>
              <w:t>60 mg/kg</w:t>
            </w:r>
          </w:p>
        </w:tc>
        <w:tc>
          <w:tcPr>
            <w:tcW w:w="1844" w:type="dxa"/>
          </w:tcPr>
          <w:p>
            <w:pPr>
              <w:pStyle w:val="TableParagraph"/>
              <w:spacing w:line="202" w:lineRule="exact"/>
              <w:ind w:left="108" w:right="108"/>
              <w:jc w:val="center"/>
              <w:rPr>
                <w:sz w:val="18"/>
              </w:rPr>
            </w:pPr>
            <w:r>
              <w:rPr>
                <w:sz w:val="18"/>
              </w:rPr>
              <w:t>Stein et al., 2010</w:t>
            </w:r>
          </w:p>
        </w:tc>
        <w:tc>
          <w:tcPr>
            <w:tcW w:w="991" w:type="dxa"/>
            <w:vMerge/>
            <w:tcBorders>
              <w:top w:val="nil"/>
            </w:tcBorders>
          </w:tcPr>
          <w:p>
            <w:pPr>
              <w:rPr>
                <w:sz w:val="2"/>
                <w:szCs w:val="2"/>
              </w:rPr>
            </w:pPr>
          </w:p>
        </w:tc>
      </w:tr>
      <w:tr>
        <w:trPr>
          <w:trHeight w:val="740" w:hRule="atLeast"/>
        </w:trPr>
        <w:tc>
          <w:tcPr>
            <w:tcW w:w="1560" w:type="dxa"/>
            <w:vMerge/>
            <w:tcBorders>
              <w:top w:val="nil"/>
            </w:tcBorders>
          </w:tcPr>
          <w:p>
            <w:pPr>
              <w:rPr>
                <w:sz w:val="2"/>
                <w:szCs w:val="2"/>
              </w:rPr>
            </w:pPr>
          </w:p>
        </w:tc>
        <w:tc>
          <w:tcPr>
            <w:tcW w:w="2835" w:type="dxa"/>
          </w:tcPr>
          <w:p>
            <w:pPr>
              <w:pStyle w:val="TableParagraph"/>
              <w:spacing w:line="247" w:lineRule="exact"/>
              <w:ind w:left="102" w:right="103"/>
              <w:jc w:val="center"/>
              <w:rPr>
                <w:sz w:val="22"/>
              </w:rPr>
            </w:pPr>
            <w:r>
              <w:rPr>
                <w:sz w:val="22"/>
              </w:rPr>
              <w:t>30 mg/kg PO pendant 2</w:t>
            </w:r>
          </w:p>
          <w:p>
            <w:pPr>
              <w:pStyle w:val="TableParagraph"/>
              <w:spacing w:line="252" w:lineRule="exact" w:before="5"/>
              <w:ind w:left="100" w:right="103"/>
              <w:jc w:val="center"/>
              <w:rPr>
                <w:sz w:val="22"/>
              </w:rPr>
            </w:pPr>
            <w:r>
              <w:rPr>
                <w:sz w:val="22"/>
              </w:rPr>
              <w:t>semaines (cycle de 3 semaines)</w:t>
            </w:r>
          </w:p>
        </w:tc>
        <w:tc>
          <w:tcPr>
            <w:tcW w:w="2131" w:type="dxa"/>
          </w:tcPr>
          <w:p>
            <w:pPr>
              <w:pStyle w:val="TableParagraph"/>
              <w:spacing w:line="247" w:lineRule="exact"/>
              <w:ind w:left="96" w:right="97"/>
              <w:jc w:val="center"/>
              <w:rPr>
                <w:sz w:val="22"/>
              </w:rPr>
            </w:pPr>
            <w:r>
              <w:rPr>
                <w:sz w:val="22"/>
              </w:rPr>
              <w:t>Cancer de la prostate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2" w:lineRule="auto"/>
              <w:ind w:left="623" w:right="604" w:firstLine="235"/>
              <w:rPr>
                <w:sz w:val="22"/>
              </w:rPr>
            </w:pPr>
            <w:r>
              <w:rPr>
                <w:sz w:val="22"/>
              </w:rPr>
              <w:t>Arrêt de l’étude Pas assez de données</w:t>
            </w:r>
          </w:p>
        </w:tc>
        <w:tc>
          <w:tcPr>
            <w:tcW w:w="1844" w:type="dxa"/>
          </w:tcPr>
          <w:p>
            <w:pPr>
              <w:pStyle w:val="TableParagraph"/>
              <w:spacing w:line="202" w:lineRule="exact"/>
              <w:ind w:left="108" w:right="108"/>
              <w:jc w:val="center"/>
              <w:rPr>
                <w:sz w:val="18"/>
              </w:rPr>
            </w:pPr>
            <w:r>
              <w:rPr>
                <w:sz w:val="18"/>
              </w:rPr>
              <w:t>NCT00633087</w:t>
            </w:r>
          </w:p>
        </w:tc>
        <w:tc>
          <w:tcPr>
            <w:tcW w:w="991" w:type="dxa"/>
            <w:vMerge/>
            <w:tcBorders>
              <w:top w:val="nil"/>
            </w:tcBorders>
          </w:tcPr>
          <w:p>
            <w:pPr>
              <w:rPr>
                <w:sz w:val="2"/>
                <w:szCs w:val="2"/>
              </w:rPr>
            </w:pPr>
          </w:p>
        </w:tc>
      </w:tr>
      <w:tr>
        <w:trPr>
          <w:trHeight w:val="1000" w:hRule="atLeast"/>
        </w:trPr>
        <w:tc>
          <w:tcPr>
            <w:tcW w:w="1560" w:type="dxa"/>
            <w:vMerge/>
            <w:tcBorders>
              <w:top w:val="nil"/>
            </w:tcBorders>
          </w:tcPr>
          <w:p>
            <w:pPr>
              <w:rPr>
                <w:sz w:val="2"/>
                <w:szCs w:val="2"/>
              </w:rPr>
            </w:pPr>
          </w:p>
        </w:tc>
        <w:tc>
          <w:tcPr>
            <w:tcW w:w="2835" w:type="dxa"/>
          </w:tcPr>
          <w:p>
            <w:pPr>
              <w:pStyle w:val="TableParagraph"/>
              <w:ind w:left="647" w:right="352" w:hanging="284"/>
              <w:rPr>
                <w:sz w:val="22"/>
              </w:rPr>
            </w:pPr>
            <w:r>
              <w:rPr>
                <w:sz w:val="22"/>
              </w:rPr>
              <w:t>7 jours par semaine une semaine sur deux</w:t>
            </w:r>
          </w:p>
          <w:p>
            <w:pPr>
              <w:pStyle w:val="TableParagraph"/>
              <w:spacing w:line="252" w:lineRule="exact" w:before="4"/>
              <w:ind w:left="412"/>
              <w:rPr>
                <w:sz w:val="22"/>
              </w:rPr>
            </w:pPr>
            <w:r>
              <w:rPr>
                <w:sz w:val="22"/>
              </w:rPr>
              <w:t>63 mg/kg dose retenue</w:t>
            </w:r>
          </w:p>
        </w:tc>
        <w:tc>
          <w:tcPr>
            <w:tcW w:w="2131" w:type="dxa"/>
          </w:tcPr>
          <w:p>
            <w:pPr>
              <w:pStyle w:val="TableParagraph"/>
              <w:ind w:left="105" w:right="107" w:firstLine="3"/>
              <w:jc w:val="center"/>
              <w:rPr>
                <w:sz w:val="22"/>
              </w:rPr>
            </w:pPr>
            <w:r>
              <w:rPr>
                <w:sz w:val="22"/>
              </w:rPr>
              <w:t>Cancers du poumon, de sein, pancréatique, de la tête et du cou,</w:t>
            </w:r>
          </w:p>
          <w:p>
            <w:pPr>
              <w:pStyle w:val="TableParagraph"/>
              <w:spacing w:line="238" w:lineRule="exact" w:before="5"/>
              <w:ind w:left="96" w:right="97"/>
              <w:jc w:val="center"/>
              <w:rPr>
                <w:sz w:val="22"/>
              </w:rPr>
            </w:pPr>
            <w:r>
              <w:rPr>
                <w:sz w:val="22"/>
              </w:rPr>
              <w:t>de l’estomac</w:t>
            </w:r>
          </w:p>
        </w:tc>
        <w:tc>
          <w:tcPr>
            <w:tcW w:w="1556" w:type="dxa"/>
          </w:tcPr>
          <w:p>
            <w:pPr>
              <w:pStyle w:val="TableParagraph"/>
              <w:spacing w:line="249" w:lineRule="exact"/>
              <w:ind w:left="123" w:right="123"/>
              <w:jc w:val="center"/>
              <w:rPr>
                <w:sz w:val="22"/>
              </w:rPr>
            </w:pPr>
            <w:r>
              <w:rPr>
                <w:sz w:val="22"/>
              </w:rPr>
              <w:t>Docetaxel</w:t>
            </w:r>
          </w:p>
        </w:tc>
        <w:tc>
          <w:tcPr>
            <w:tcW w:w="1274" w:type="dxa"/>
          </w:tcPr>
          <w:p>
            <w:pPr>
              <w:pStyle w:val="TableParagraph"/>
              <w:spacing w:line="249" w:lineRule="exact"/>
              <w:ind w:left="113" w:right="110"/>
              <w:jc w:val="center"/>
              <w:rPr>
                <w:sz w:val="22"/>
              </w:rPr>
            </w:pPr>
            <w:r>
              <w:rPr>
                <w:sz w:val="22"/>
              </w:rPr>
              <w:t>Phase I</w:t>
            </w:r>
          </w:p>
        </w:tc>
        <w:tc>
          <w:tcPr>
            <w:tcW w:w="3121" w:type="dxa"/>
          </w:tcPr>
          <w:p>
            <w:pPr>
              <w:pStyle w:val="TableParagraph"/>
              <w:ind w:left="919" w:right="314" w:hanging="586"/>
              <w:rPr>
                <w:sz w:val="22"/>
              </w:rPr>
            </w:pPr>
            <w:r>
              <w:rPr>
                <w:sz w:val="22"/>
              </w:rPr>
              <w:t>Effets secondaires : fatigue, nausées, suées</w:t>
            </w:r>
          </w:p>
        </w:tc>
        <w:tc>
          <w:tcPr>
            <w:tcW w:w="1844" w:type="dxa"/>
          </w:tcPr>
          <w:p>
            <w:pPr>
              <w:pStyle w:val="TableParagraph"/>
              <w:spacing w:line="204" w:lineRule="exact"/>
              <w:ind w:left="376"/>
              <w:rPr>
                <w:sz w:val="18"/>
              </w:rPr>
            </w:pPr>
            <w:hyperlink r:id="rId44">
              <w:r>
                <w:rPr>
                  <w:sz w:val="18"/>
                </w:rPr>
                <w:t>NCT00096707</w:t>
              </w:r>
            </w:hyperlink>
          </w:p>
          <w:p>
            <w:pPr>
              <w:pStyle w:val="TableParagraph"/>
              <w:spacing w:line="207" w:lineRule="exact"/>
              <w:ind w:left="314"/>
              <w:rPr>
                <w:sz w:val="18"/>
              </w:rPr>
            </w:pPr>
            <w:r>
              <w:rPr>
                <w:sz w:val="18"/>
              </w:rPr>
              <w:t>Raez et al., 2013</w:t>
            </w:r>
          </w:p>
        </w:tc>
        <w:tc>
          <w:tcPr>
            <w:tcW w:w="991" w:type="dxa"/>
            <w:vMerge/>
            <w:tcBorders>
              <w:top w:val="nil"/>
            </w:tcBorders>
          </w:tcPr>
          <w:p>
            <w:pPr>
              <w:rPr>
                <w:sz w:val="2"/>
                <w:szCs w:val="2"/>
              </w:rPr>
            </w:pPr>
          </w:p>
        </w:tc>
      </w:tr>
    </w:tbl>
    <w:p>
      <w:pPr>
        <w:spacing w:after="0"/>
        <w:rPr>
          <w:sz w:val="2"/>
          <w:szCs w:val="2"/>
        </w:rPr>
        <w:sectPr>
          <w:footerReference w:type="even" r:id="rId42"/>
          <w:footerReference w:type="default" r:id="rId43"/>
          <w:pgSz w:w="16840" w:h="11910" w:orient="landscape"/>
          <w:pgMar w:footer="998" w:header="0" w:top="1100" w:bottom="1180" w:left="640" w:right="640"/>
          <w:pgNumType w:start="90"/>
        </w:sectPr>
      </w:pPr>
    </w:p>
    <w:p>
      <w:pPr>
        <w:pStyle w:val="BodyText"/>
        <w:spacing w:before="1" w:after="1"/>
        <w:rPr>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835"/>
        <w:gridCol w:w="2131"/>
        <w:gridCol w:w="1556"/>
        <w:gridCol w:w="1274"/>
        <w:gridCol w:w="3121"/>
        <w:gridCol w:w="1844"/>
        <w:gridCol w:w="991"/>
      </w:tblGrid>
      <w:tr>
        <w:trPr>
          <w:trHeight w:val="500" w:hRule="atLeast"/>
        </w:trPr>
        <w:tc>
          <w:tcPr>
            <w:tcW w:w="1560" w:type="dxa"/>
            <w:vMerge w:val="restart"/>
          </w:tcPr>
          <w:p>
            <w:pPr>
              <w:pStyle w:val="TableParagraph"/>
              <w:spacing w:line="251" w:lineRule="exact"/>
              <w:ind w:left="95" w:right="92"/>
              <w:jc w:val="center"/>
              <w:rPr>
                <w:b/>
                <w:sz w:val="22"/>
              </w:rPr>
            </w:pPr>
            <w:r>
              <w:rPr>
                <w:b/>
                <w:sz w:val="22"/>
              </w:rPr>
              <w:t>3-BP</w:t>
            </w:r>
          </w:p>
        </w:tc>
        <w:tc>
          <w:tcPr>
            <w:tcW w:w="2835" w:type="dxa"/>
          </w:tcPr>
          <w:p>
            <w:pPr>
              <w:pStyle w:val="TableParagraph"/>
              <w:spacing w:line="247" w:lineRule="exact"/>
              <w:ind w:left="101" w:right="103"/>
              <w:jc w:val="center"/>
              <w:rPr>
                <w:sz w:val="22"/>
              </w:rPr>
            </w:pPr>
            <w:r>
              <w:rPr>
                <w:sz w:val="22"/>
              </w:rPr>
              <w:t>250 mg BID</w:t>
            </w:r>
          </w:p>
        </w:tc>
        <w:tc>
          <w:tcPr>
            <w:tcW w:w="2131" w:type="dxa"/>
          </w:tcPr>
          <w:p>
            <w:pPr>
              <w:pStyle w:val="TableParagraph"/>
              <w:spacing w:line="246" w:lineRule="exact"/>
              <w:ind w:left="96" w:right="97"/>
              <w:jc w:val="center"/>
              <w:rPr>
                <w:sz w:val="22"/>
              </w:rPr>
            </w:pPr>
            <w:r>
              <w:rPr>
                <w:sz w:val="22"/>
              </w:rPr>
              <w:t>Carcinome</w:t>
            </w:r>
          </w:p>
          <w:p>
            <w:pPr>
              <w:pStyle w:val="TableParagraph"/>
              <w:spacing w:line="240" w:lineRule="exact"/>
              <w:ind w:left="96" w:right="97"/>
              <w:jc w:val="center"/>
              <w:rPr>
                <w:sz w:val="22"/>
              </w:rPr>
            </w:pPr>
            <w:r>
              <w:rPr>
                <w:sz w:val="22"/>
              </w:rPr>
              <w:t>hépatocellulaire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6" w:lineRule="exact"/>
              <w:ind w:left="113" w:right="113"/>
              <w:jc w:val="center"/>
              <w:rPr>
                <w:sz w:val="22"/>
              </w:rPr>
            </w:pPr>
            <w:r>
              <w:rPr>
                <w:sz w:val="22"/>
              </w:rPr>
              <w:t>Rapport de</w:t>
            </w:r>
          </w:p>
          <w:p>
            <w:pPr>
              <w:pStyle w:val="TableParagraph"/>
              <w:spacing w:line="240" w:lineRule="exact"/>
              <w:ind w:left="113" w:right="111"/>
              <w:jc w:val="center"/>
              <w:rPr>
                <w:sz w:val="22"/>
              </w:rPr>
            </w:pPr>
            <w:r>
              <w:rPr>
                <w:sz w:val="22"/>
              </w:rPr>
              <w:t>cas</w:t>
            </w:r>
          </w:p>
        </w:tc>
        <w:tc>
          <w:tcPr>
            <w:tcW w:w="3121" w:type="dxa"/>
          </w:tcPr>
          <w:p>
            <w:pPr>
              <w:pStyle w:val="TableParagraph"/>
              <w:spacing w:line="246" w:lineRule="exact"/>
              <w:ind w:left="763" w:firstLine="74"/>
              <w:rPr>
                <w:sz w:val="22"/>
              </w:rPr>
            </w:pPr>
            <w:r>
              <w:rPr>
                <w:sz w:val="22"/>
              </w:rPr>
              <w:t>Bonne tolérance</w:t>
            </w:r>
          </w:p>
          <w:p>
            <w:pPr>
              <w:pStyle w:val="TableParagraph"/>
              <w:spacing w:line="240" w:lineRule="exact"/>
              <w:ind w:left="763"/>
              <w:rPr>
                <w:sz w:val="22"/>
              </w:rPr>
            </w:pPr>
            <w:r>
              <w:rPr>
                <w:sz w:val="22"/>
              </w:rPr>
              <w:t>Survie augmentée</w:t>
            </w:r>
          </w:p>
        </w:tc>
        <w:tc>
          <w:tcPr>
            <w:tcW w:w="1844" w:type="dxa"/>
          </w:tcPr>
          <w:p>
            <w:pPr>
              <w:pStyle w:val="TableParagraph"/>
              <w:spacing w:line="202" w:lineRule="exact"/>
              <w:ind w:left="108" w:right="108"/>
              <w:jc w:val="center"/>
              <w:rPr>
                <w:sz w:val="18"/>
              </w:rPr>
            </w:pPr>
            <w:r>
              <w:rPr>
                <w:sz w:val="18"/>
              </w:rPr>
              <w:t>Ko et al., 2012</w:t>
            </w:r>
          </w:p>
        </w:tc>
        <w:tc>
          <w:tcPr>
            <w:tcW w:w="991" w:type="dxa"/>
            <w:vMerge w:val="restart"/>
          </w:tcPr>
          <w:p>
            <w:pPr>
              <w:pStyle w:val="TableParagraph"/>
              <w:spacing w:line="223" w:lineRule="exact"/>
              <w:ind w:right="1"/>
              <w:jc w:val="center"/>
              <w:rPr>
                <w:sz w:val="20"/>
              </w:rPr>
            </w:pPr>
            <w:r>
              <w:rPr>
                <w:w w:val="99"/>
                <w:sz w:val="20"/>
              </w:rPr>
              <w:t>0</w:t>
            </w:r>
          </w:p>
        </w:tc>
      </w:tr>
      <w:tr>
        <w:trPr>
          <w:trHeight w:val="740" w:hRule="atLeast"/>
        </w:trPr>
        <w:tc>
          <w:tcPr>
            <w:tcW w:w="1560" w:type="dxa"/>
            <w:vMerge/>
            <w:tcBorders>
              <w:top w:val="nil"/>
            </w:tcBorders>
          </w:tcPr>
          <w:p>
            <w:pPr>
              <w:rPr>
                <w:sz w:val="2"/>
                <w:szCs w:val="2"/>
              </w:rPr>
            </w:pPr>
          </w:p>
        </w:tc>
        <w:tc>
          <w:tcPr>
            <w:tcW w:w="2835" w:type="dxa"/>
          </w:tcPr>
          <w:p>
            <w:pPr>
              <w:pStyle w:val="TableParagraph"/>
              <w:spacing w:line="247" w:lineRule="exact"/>
              <w:ind w:left="98" w:right="103"/>
              <w:jc w:val="center"/>
              <w:rPr>
                <w:sz w:val="22"/>
              </w:rPr>
            </w:pPr>
            <w:r>
              <w:rPr>
                <w:sz w:val="22"/>
              </w:rPr>
              <w:t>1-2,2 mg/kg IV</w:t>
            </w:r>
          </w:p>
        </w:tc>
        <w:tc>
          <w:tcPr>
            <w:tcW w:w="2131" w:type="dxa"/>
          </w:tcPr>
          <w:p>
            <w:pPr>
              <w:pStyle w:val="TableParagraph"/>
              <w:ind w:left="107" w:right="88" w:firstLine="482"/>
              <w:rPr>
                <w:sz w:val="22"/>
              </w:rPr>
            </w:pPr>
            <w:r>
              <w:rPr>
                <w:sz w:val="22"/>
              </w:rPr>
              <w:t>Mélanome métastatique stade IV</w:t>
            </w:r>
          </w:p>
        </w:tc>
        <w:tc>
          <w:tcPr>
            <w:tcW w:w="1556" w:type="dxa"/>
          </w:tcPr>
          <w:p>
            <w:pPr>
              <w:pStyle w:val="TableParagraph"/>
              <w:ind w:left="427" w:right="211" w:hanging="200"/>
              <w:rPr>
                <w:sz w:val="22"/>
              </w:rPr>
            </w:pPr>
            <w:r>
              <w:rPr>
                <w:sz w:val="22"/>
              </w:rPr>
              <w:t>Paracétamol 3 g/jour</w:t>
            </w:r>
          </w:p>
        </w:tc>
        <w:tc>
          <w:tcPr>
            <w:tcW w:w="1274" w:type="dxa"/>
          </w:tcPr>
          <w:p>
            <w:pPr>
              <w:pStyle w:val="TableParagraph"/>
              <w:ind w:left="491" w:right="129" w:hanging="348"/>
              <w:rPr>
                <w:sz w:val="22"/>
              </w:rPr>
            </w:pPr>
            <w:r>
              <w:rPr>
                <w:sz w:val="22"/>
              </w:rPr>
              <w:t>Rapport de cas</w:t>
            </w:r>
          </w:p>
        </w:tc>
        <w:tc>
          <w:tcPr>
            <w:tcW w:w="3121" w:type="dxa"/>
          </w:tcPr>
          <w:p>
            <w:pPr>
              <w:pStyle w:val="TableParagraph"/>
              <w:ind w:left="1152" w:right="384" w:hanging="755"/>
              <w:rPr>
                <w:sz w:val="22"/>
              </w:rPr>
            </w:pPr>
            <w:r>
              <w:rPr>
                <w:sz w:val="22"/>
              </w:rPr>
              <w:t>Pas de cytotoxicité, bonne tolérance</w:t>
            </w:r>
          </w:p>
          <w:p>
            <w:pPr>
              <w:pStyle w:val="TableParagraph"/>
              <w:spacing w:line="238" w:lineRule="exact" w:before="8"/>
              <w:ind w:left="417"/>
              <w:rPr>
                <w:sz w:val="22"/>
              </w:rPr>
            </w:pPr>
            <w:r>
              <w:rPr>
                <w:sz w:val="22"/>
              </w:rPr>
              <w:t>Effet anticancéreux faible</w:t>
            </w:r>
          </w:p>
        </w:tc>
        <w:tc>
          <w:tcPr>
            <w:tcW w:w="1844" w:type="dxa"/>
          </w:tcPr>
          <w:p>
            <w:pPr>
              <w:pStyle w:val="TableParagraph"/>
              <w:spacing w:line="202" w:lineRule="exact"/>
              <w:ind w:left="107" w:right="108"/>
              <w:jc w:val="center"/>
              <w:rPr>
                <w:sz w:val="18"/>
              </w:rPr>
            </w:pPr>
            <w:r>
              <w:rPr>
                <w:sz w:val="18"/>
              </w:rPr>
              <w:t>El Sayed et al., 2014</w:t>
            </w:r>
          </w:p>
        </w:tc>
        <w:tc>
          <w:tcPr>
            <w:tcW w:w="991" w:type="dxa"/>
            <w:vMerge/>
            <w:tcBorders>
              <w:top w:val="nil"/>
            </w:tcBorders>
          </w:tcPr>
          <w:p>
            <w:pPr>
              <w:rPr>
                <w:sz w:val="2"/>
                <w:szCs w:val="2"/>
              </w:rPr>
            </w:pPr>
          </w:p>
        </w:tc>
      </w:tr>
      <w:tr>
        <w:trPr>
          <w:trHeight w:val="240" w:hRule="atLeast"/>
        </w:trPr>
        <w:tc>
          <w:tcPr>
            <w:tcW w:w="1560" w:type="dxa"/>
            <w:vMerge w:val="restart"/>
          </w:tcPr>
          <w:p>
            <w:pPr>
              <w:pStyle w:val="TableParagraph"/>
              <w:spacing w:line="251" w:lineRule="exact"/>
              <w:ind w:left="94" w:right="92"/>
              <w:jc w:val="center"/>
              <w:rPr>
                <w:b/>
                <w:sz w:val="22"/>
              </w:rPr>
            </w:pPr>
            <w:r>
              <w:rPr>
                <w:b/>
                <w:sz w:val="22"/>
              </w:rPr>
              <w:t>LND</w:t>
            </w:r>
          </w:p>
        </w:tc>
        <w:tc>
          <w:tcPr>
            <w:tcW w:w="2835" w:type="dxa"/>
            <w:vMerge w:val="restart"/>
          </w:tcPr>
          <w:p>
            <w:pPr>
              <w:pStyle w:val="TableParagraph"/>
              <w:rPr>
                <w:sz w:val="24"/>
              </w:rPr>
            </w:pPr>
          </w:p>
          <w:p>
            <w:pPr>
              <w:pStyle w:val="TableParagraph"/>
              <w:spacing w:before="5"/>
              <w:rPr>
                <w:sz w:val="19"/>
              </w:rPr>
            </w:pPr>
          </w:p>
          <w:p>
            <w:pPr>
              <w:pStyle w:val="TableParagraph"/>
              <w:ind w:left="1154" w:right="159" w:hanging="977"/>
              <w:rPr>
                <w:sz w:val="22"/>
              </w:rPr>
            </w:pPr>
            <w:r>
              <w:rPr>
                <w:sz w:val="22"/>
              </w:rPr>
              <w:t>450 mg PO en deux ou trois prises</w:t>
            </w:r>
          </w:p>
        </w:tc>
        <w:tc>
          <w:tcPr>
            <w:tcW w:w="2131" w:type="dxa"/>
          </w:tcPr>
          <w:p>
            <w:pPr>
              <w:pStyle w:val="TableParagraph"/>
              <w:spacing w:line="234" w:lineRule="exact"/>
              <w:ind w:left="96" w:right="97"/>
              <w:jc w:val="center"/>
              <w:rPr>
                <w:sz w:val="22"/>
              </w:rPr>
            </w:pPr>
            <w:r>
              <w:rPr>
                <w:sz w:val="22"/>
              </w:rPr>
              <w:t>Glioblastome</w:t>
            </w:r>
          </w:p>
        </w:tc>
        <w:tc>
          <w:tcPr>
            <w:tcW w:w="1556" w:type="dxa"/>
          </w:tcPr>
          <w:p>
            <w:pPr>
              <w:pStyle w:val="TableParagraph"/>
              <w:spacing w:line="234" w:lineRule="exact"/>
              <w:ind w:left="123" w:right="122"/>
              <w:jc w:val="center"/>
              <w:rPr>
                <w:sz w:val="22"/>
              </w:rPr>
            </w:pPr>
            <w:r>
              <w:rPr>
                <w:sz w:val="22"/>
              </w:rPr>
              <w:t>Aucun</w:t>
            </w:r>
          </w:p>
        </w:tc>
        <w:tc>
          <w:tcPr>
            <w:tcW w:w="1274" w:type="dxa"/>
          </w:tcPr>
          <w:p>
            <w:pPr>
              <w:pStyle w:val="TableParagraph"/>
              <w:spacing w:line="234" w:lineRule="exact"/>
              <w:ind w:left="113" w:right="114"/>
              <w:jc w:val="center"/>
              <w:rPr>
                <w:sz w:val="22"/>
              </w:rPr>
            </w:pPr>
            <w:r>
              <w:rPr>
                <w:sz w:val="22"/>
              </w:rPr>
              <w:t>Phase II</w:t>
            </w:r>
          </w:p>
        </w:tc>
        <w:tc>
          <w:tcPr>
            <w:tcW w:w="3121" w:type="dxa"/>
          </w:tcPr>
          <w:p>
            <w:pPr>
              <w:pStyle w:val="TableParagraph"/>
              <w:spacing w:line="234" w:lineRule="exact"/>
              <w:ind w:left="93" w:right="93"/>
              <w:jc w:val="center"/>
              <w:rPr>
                <w:sz w:val="22"/>
              </w:rPr>
            </w:pPr>
            <w:r>
              <w:rPr>
                <w:sz w:val="22"/>
              </w:rPr>
              <w:t>Pas d’effets thérapeutiques</w:t>
            </w:r>
          </w:p>
        </w:tc>
        <w:tc>
          <w:tcPr>
            <w:tcW w:w="1844" w:type="dxa"/>
            <w:vMerge w:val="restart"/>
          </w:tcPr>
          <w:p>
            <w:pPr>
              <w:pStyle w:val="TableParagraph"/>
              <w:spacing w:line="202" w:lineRule="exact"/>
              <w:ind w:left="139"/>
              <w:rPr>
                <w:sz w:val="18"/>
              </w:rPr>
            </w:pPr>
            <w:r>
              <w:rPr>
                <w:sz w:val="18"/>
              </w:rPr>
              <w:t>Porporato et al., 2011</w:t>
            </w:r>
          </w:p>
        </w:tc>
        <w:tc>
          <w:tcPr>
            <w:tcW w:w="991" w:type="dxa"/>
            <w:vMerge w:val="restart"/>
          </w:tcPr>
          <w:p>
            <w:pPr>
              <w:pStyle w:val="TableParagraph"/>
              <w:spacing w:line="223" w:lineRule="exact"/>
              <w:ind w:right="1"/>
              <w:jc w:val="center"/>
              <w:rPr>
                <w:sz w:val="20"/>
              </w:rPr>
            </w:pPr>
            <w:r>
              <w:rPr>
                <w:w w:val="99"/>
                <w:sz w:val="20"/>
              </w:rPr>
              <w:t>0</w:t>
            </w:r>
          </w:p>
        </w:tc>
      </w:tr>
      <w:tr>
        <w:trPr>
          <w:trHeight w:val="500" w:hRule="atLeast"/>
        </w:trPr>
        <w:tc>
          <w:tcPr>
            <w:tcW w:w="1560" w:type="dxa"/>
            <w:vMerge/>
            <w:tcBorders>
              <w:top w:val="nil"/>
            </w:tcBorders>
          </w:tcPr>
          <w:p>
            <w:pPr>
              <w:rPr>
                <w:sz w:val="2"/>
                <w:szCs w:val="2"/>
              </w:rPr>
            </w:pPr>
          </w:p>
        </w:tc>
        <w:tc>
          <w:tcPr>
            <w:tcW w:w="2835" w:type="dxa"/>
            <w:vMerge/>
            <w:tcBorders>
              <w:top w:val="nil"/>
            </w:tcBorders>
          </w:tcPr>
          <w:p>
            <w:pPr>
              <w:rPr>
                <w:sz w:val="2"/>
                <w:szCs w:val="2"/>
              </w:rPr>
            </w:pPr>
          </w:p>
        </w:tc>
        <w:tc>
          <w:tcPr>
            <w:tcW w:w="2131" w:type="dxa"/>
          </w:tcPr>
          <w:p>
            <w:pPr>
              <w:pStyle w:val="TableParagraph"/>
              <w:spacing w:line="246" w:lineRule="exact"/>
              <w:ind w:left="96" w:right="97"/>
              <w:jc w:val="center"/>
              <w:rPr>
                <w:sz w:val="22"/>
              </w:rPr>
            </w:pPr>
            <w:r>
              <w:rPr>
                <w:sz w:val="22"/>
              </w:rPr>
              <w:t>Hyperplasie</w:t>
            </w:r>
          </w:p>
          <w:p>
            <w:pPr>
              <w:pStyle w:val="TableParagraph"/>
              <w:spacing w:line="240" w:lineRule="exact"/>
              <w:ind w:left="96" w:right="96"/>
              <w:jc w:val="center"/>
              <w:rPr>
                <w:sz w:val="22"/>
              </w:rPr>
            </w:pPr>
            <w:r>
              <w:rPr>
                <w:sz w:val="22"/>
              </w:rPr>
              <w:t>prostatique bénigne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II/III</w:t>
            </w:r>
          </w:p>
        </w:tc>
        <w:tc>
          <w:tcPr>
            <w:tcW w:w="3121" w:type="dxa"/>
          </w:tcPr>
          <w:p>
            <w:pPr>
              <w:pStyle w:val="TableParagraph"/>
              <w:spacing w:line="247" w:lineRule="exact"/>
              <w:ind w:left="93" w:right="93"/>
              <w:jc w:val="center"/>
              <w:rPr>
                <w:sz w:val="22"/>
              </w:rPr>
            </w:pPr>
            <w:r>
              <w:rPr>
                <w:sz w:val="22"/>
              </w:rPr>
              <w:t>Hépatotoxicité</w:t>
            </w:r>
          </w:p>
        </w:tc>
        <w:tc>
          <w:tcPr>
            <w:tcW w:w="1844" w:type="dxa"/>
            <w:vMerge/>
            <w:tcBorders>
              <w:top w:val="nil"/>
            </w:tcBorders>
          </w:tcPr>
          <w:p>
            <w:pPr>
              <w:rPr>
                <w:sz w:val="2"/>
                <w:szCs w:val="2"/>
              </w:rPr>
            </w:pP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vMerge/>
            <w:tcBorders>
              <w:top w:val="nil"/>
            </w:tcBorders>
          </w:tcPr>
          <w:p>
            <w:pPr>
              <w:rPr>
                <w:sz w:val="2"/>
                <w:szCs w:val="2"/>
              </w:rPr>
            </w:pPr>
          </w:p>
        </w:tc>
        <w:tc>
          <w:tcPr>
            <w:tcW w:w="2131" w:type="dxa"/>
          </w:tcPr>
          <w:p>
            <w:pPr>
              <w:pStyle w:val="TableParagraph"/>
              <w:spacing w:line="247" w:lineRule="exact"/>
              <w:ind w:left="96" w:right="96"/>
              <w:jc w:val="center"/>
              <w:rPr>
                <w:sz w:val="22"/>
              </w:rPr>
            </w:pPr>
            <w:r>
              <w:rPr>
                <w:sz w:val="22"/>
              </w:rPr>
              <w:t>Cancer du sein</w:t>
            </w:r>
          </w:p>
        </w:tc>
        <w:tc>
          <w:tcPr>
            <w:tcW w:w="1556" w:type="dxa"/>
          </w:tcPr>
          <w:p>
            <w:pPr>
              <w:pStyle w:val="TableParagraph"/>
              <w:spacing w:line="246" w:lineRule="exact"/>
              <w:ind w:left="326" w:hanging="68"/>
              <w:rPr>
                <w:sz w:val="22"/>
              </w:rPr>
            </w:pPr>
            <w:r>
              <w:rPr>
                <w:sz w:val="22"/>
              </w:rPr>
              <w:t>Epirubicine</w:t>
            </w:r>
          </w:p>
          <w:p>
            <w:pPr>
              <w:pStyle w:val="TableParagraph"/>
              <w:spacing w:line="240" w:lineRule="exact"/>
              <w:ind w:left="326"/>
              <w:rPr>
                <w:sz w:val="22"/>
              </w:rPr>
            </w:pPr>
            <w:r>
              <w:rPr>
                <w:sz w:val="22"/>
              </w:rPr>
              <w:t>Cisplatine</w:t>
            </w:r>
          </w:p>
        </w:tc>
        <w:tc>
          <w:tcPr>
            <w:tcW w:w="1274" w:type="dxa"/>
          </w:tcPr>
          <w:p>
            <w:pPr>
              <w:pStyle w:val="TableParagraph"/>
              <w:spacing w:line="247" w:lineRule="exact"/>
              <w:ind w:left="113" w:right="114"/>
              <w:jc w:val="center"/>
              <w:rPr>
                <w:sz w:val="22"/>
              </w:rPr>
            </w:pPr>
            <w:r>
              <w:rPr>
                <w:sz w:val="22"/>
              </w:rPr>
              <w:t>Phase II</w:t>
            </w:r>
          </w:p>
        </w:tc>
        <w:tc>
          <w:tcPr>
            <w:tcW w:w="3121" w:type="dxa"/>
            <w:vMerge w:val="restart"/>
          </w:tcPr>
          <w:p>
            <w:pPr>
              <w:pStyle w:val="TableParagraph"/>
              <w:ind w:left="218" w:right="220" w:firstLine="2"/>
              <w:jc w:val="center"/>
              <w:rPr>
                <w:sz w:val="22"/>
              </w:rPr>
            </w:pPr>
            <w:r>
              <w:rPr>
                <w:sz w:val="22"/>
              </w:rPr>
              <w:t>Potentialise (pas toujours significativement) l’effet de la chimiothérapie</w:t>
            </w:r>
          </w:p>
          <w:p>
            <w:pPr>
              <w:pStyle w:val="TableParagraph"/>
              <w:spacing w:before="5"/>
              <w:ind w:left="167" w:right="164" w:hanging="2"/>
              <w:jc w:val="center"/>
              <w:rPr>
                <w:sz w:val="22"/>
              </w:rPr>
            </w:pPr>
            <w:r>
              <w:rPr>
                <w:sz w:val="22"/>
              </w:rPr>
              <w:t>myalgies 60% – douleurs testiculaires 27% - ototoxicité 10% - effets gastro-intestinaux (nausées, vomissements) 24% - asthénie 16% - hyperesthésie, arthralgie, anorexie, photophobie &lt;10%</w:t>
            </w:r>
          </w:p>
        </w:tc>
        <w:tc>
          <w:tcPr>
            <w:tcW w:w="1844" w:type="dxa"/>
            <w:vMerge w:val="restart"/>
          </w:tcPr>
          <w:p>
            <w:pPr>
              <w:pStyle w:val="TableParagraph"/>
              <w:ind w:left="604" w:right="157" w:hanging="432"/>
              <w:rPr>
                <w:sz w:val="18"/>
              </w:rPr>
            </w:pPr>
            <w:r>
              <w:rPr>
                <w:sz w:val="18"/>
              </w:rPr>
              <w:t>Cervantes-Madrid et al., 2015</w:t>
            </w:r>
          </w:p>
          <w:p>
            <w:pPr>
              <w:pStyle w:val="TableParagraph"/>
              <w:spacing w:before="5"/>
              <w:ind w:left="239"/>
              <w:rPr>
                <w:sz w:val="18"/>
              </w:rPr>
            </w:pPr>
            <w:r>
              <w:rPr>
                <w:sz w:val="18"/>
              </w:rPr>
              <w:t>Berruti et al., 2002</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vMerge/>
            <w:tcBorders>
              <w:top w:val="nil"/>
            </w:tcBorders>
          </w:tcPr>
          <w:p>
            <w:pPr>
              <w:rPr>
                <w:sz w:val="2"/>
                <w:szCs w:val="2"/>
              </w:rPr>
            </w:pPr>
          </w:p>
        </w:tc>
        <w:tc>
          <w:tcPr>
            <w:tcW w:w="2131" w:type="dxa"/>
          </w:tcPr>
          <w:p>
            <w:pPr>
              <w:pStyle w:val="TableParagraph"/>
              <w:spacing w:line="247" w:lineRule="exact"/>
              <w:ind w:left="96" w:right="96"/>
              <w:jc w:val="center"/>
              <w:rPr>
                <w:sz w:val="22"/>
              </w:rPr>
            </w:pPr>
            <w:r>
              <w:rPr>
                <w:sz w:val="22"/>
              </w:rPr>
              <w:t>Cancer du poumon</w:t>
            </w:r>
          </w:p>
        </w:tc>
        <w:tc>
          <w:tcPr>
            <w:tcW w:w="1556" w:type="dxa"/>
          </w:tcPr>
          <w:p>
            <w:pPr>
              <w:pStyle w:val="TableParagraph"/>
              <w:spacing w:line="246" w:lineRule="exact"/>
              <w:ind w:left="326" w:hanging="68"/>
              <w:rPr>
                <w:sz w:val="22"/>
              </w:rPr>
            </w:pPr>
            <w:r>
              <w:rPr>
                <w:sz w:val="22"/>
              </w:rPr>
              <w:t>Epirubicine</w:t>
            </w:r>
          </w:p>
          <w:p>
            <w:pPr>
              <w:pStyle w:val="TableParagraph"/>
              <w:spacing w:line="240" w:lineRule="exact"/>
              <w:ind w:left="326"/>
              <w:rPr>
                <w:sz w:val="22"/>
              </w:rPr>
            </w:pPr>
            <w:r>
              <w:rPr>
                <w:sz w:val="22"/>
              </w:rPr>
              <w:t>Cisplatine</w:t>
            </w:r>
          </w:p>
        </w:tc>
        <w:tc>
          <w:tcPr>
            <w:tcW w:w="1274" w:type="dxa"/>
          </w:tcPr>
          <w:p>
            <w:pPr>
              <w:pStyle w:val="TableParagraph"/>
              <w:spacing w:line="247" w:lineRule="exact"/>
              <w:ind w:left="113" w:right="114"/>
              <w:jc w:val="center"/>
              <w:rPr>
                <w:sz w:val="22"/>
              </w:rPr>
            </w:pPr>
            <w:r>
              <w:rPr>
                <w:sz w:val="22"/>
              </w:rPr>
              <w:t>Phase II</w:t>
            </w:r>
          </w:p>
        </w:tc>
        <w:tc>
          <w:tcPr>
            <w:tcW w:w="3121" w:type="dxa"/>
            <w:vMerge/>
            <w:tcBorders>
              <w:top w:val="nil"/>
            </w:tcBorders>
          </w:tcPr>
          <w:p>
            <w:pPr>
              <w:rPr>
                <w:sz w:val="2"/>
                <w:szCs w:val="2"/>
              </w:rPr>
            </w:pPr>
          </w:p>
        </w:tc>
        <w:tc>
          <w:tcPr>
            <w:tcW w:w="1844" w:type="dxa"/>
            <w:vMerge/>
            <w:tcBorders>
              <w:top w:val="nil"/>
            </w:tcBorders>
          </w:tcPr>
          <w:p>
            <w:pPr>
              <w:rPr>
                <w:sz w:val="2"/>
                <w:szCs w:val="2"/>
              </w:rPr>
            </w:pPr>
          </w:p>
        </w:tc>
        <w:tc>
          <w:tcPr>
            <w:tcW w:w="991" w:type="dxa"/>
            <w:vMerge/>
            <w:tcBorders>
              <w:top w:val="nil"/>
            </w:tcBorders>
          </w:tcPr>
          <w:p>
            <w:pPr>
              <w:rPr>
                <w:sz w:val="2"/>
                <w:szCs w:val="2"/>
              </w:rPr>
            </w:pPr>
          </w:p>
        </w:tc>
      </w:tr>
      <w:tr>
        <w:trPr>
          <w:trHeight w:val="740" w:hRule="atLeast"/>
        </w:trPr>
        <w:tc>
          <w:tcPr>
            <w:tcW w:w="1560" w:type="dxa"/>
            <w:vMerge/>
            <w:tcBorders>
              <w:top w:val="nil"/>
            </w:tcBorders>
          </w:tcPr>
          <w:p>
            <w:pPr>
              <w:rPr>
                <w:sz w:val="2"/>
                <w:szCs w:val="2"/>
              </w:rPr>
            </w:pPr>
          </w:p>
        </w:tc>
        <w:tc>
          <w:tcPr>
            <w:tcW w:w="2835" w:type="dxa"/>
            <w:vMerge/>
            <w:tcBorders>
              <w:top w:val="nil"/>
            </w:tcBorders>
          </w:tcPr>
          <w:p>
            <w:pPr>
              <w:rPr>
                <w:sz w:val="2"/>
                <w:szCs w:val="2"/>
              </w:rPr>
            </w:pPr>
          </w:p>
        </w:tc>
        <w:tc>
          <w:tcPr>
            <w:tcW w:w="2131" w:type="dxa"/>
          </w:tcPr>
          <w:p>
            <w:pPr>
              <w:pStyle w:val="TableParagraph"/>
              <w:spacing w:line="247" w:lineRule="exact"/>
              <w:ind w:left="96" w:right="97"/>
              <w:jc w:val="center"/>
              <w:rPr>
                <w:sz w:val="22"/>
              </w:rPr>
            </w:pPr>
            <w:r>
              <w:rPr>
                <w:sz w:val="22"/>
              </w:rPr>
              <w:t>Cancer de l’ovaire</w:t>
            </w:r>
          </w:p>
        </w:tc>
        <w:tc>
          <w:tcPr>
            <w:tcW w:w="1556" w:type="dxa"/>
          </w:tcPr>
          <w:p>
            <w:pPr>
              <w:pStyle w:val="TableParagraph"/>
              <w:ind w:left="326" w:right="241" w:hanging="68"/>
              <w:rPr>
                <w:sz w:val="22"/>
              </w:rPr>
            </w:pPr>
            <w:r>
              <w:rPr>
                <w:sz w:val="22"/>
              </w:rPr>
              <w:t>Epirubicine Cisplatine</w:t>
            </w:r>
          </w:p>
          <w:p>
            <w:pPr>
              <w:pStyle w:val="TableParagraph"/>
              <w:spacing w:line="238" w:lineRule="exact" w:before="8"/>
              <w:ind w:left="338"/>
              <w:rPr>
                <w:sz w:val="22"/>
              </w:rPr>
            </w:pPr>
            <w:r>
              <w:rPr>
                <w:sz w:val="22"/>
              </w:rPr>
              <w:t>Paclitaxel</w:t>
            </w:r>
          </w:p>
        </w:tc>
        <w:tc>
          <w:tcPr>
            <w:tcW w:w="1274" w:type="dxa"/>
          </w:tcPr>
          <w:p>
            <w:pPr>
              <w:pStyle w:val="TableParagraph"/>
              <w:spacing w:line="247" w:lineRule="exact"/>
              <w:ind w:left="113" w:right="114"/>
              <w:jc w:val="center"/>
              <w:rPr>
                <w:sz w:val="22"/>
              </w:rPr>
            </w:pPr>
            <w:r>
              <w:rPr>
                <w:sz w:val="22"/>
              </w:rPr>
              <w:t>Phase II</w:t>
            </w:r>
          </w:p>
        </w:tc>
        <w:tc>
          <w:tcPr>
            <w:tcW w:w="3121" w:type="dxa"/>
            <w:vMerge/>
            <w:tcBorders>
              <w:top w:val="nil"/>
            </w:tcBorders>
          </w:tcPr>
          <w:p>
            <w:pPr>
              <w:rPr>
                <w:sz w:val="2"/>
                <w:szCs w:val="2"/>
              </w:rPr>
            </w:pPr>
          </w:p>
        </w:tc>
        <w:tc>
          <w:tcPr>
            <w:tcW w:w="1844" w:type="dxa"/>
            <w:vMerge/>
            <w:tcBorders>
              <w:top w:val="nil"/>
            </w:tcBorders>
          </w:tcPr>
          <w:p>
            <w:pPr>
              <w:rPr>
                <w:sz w:val="2"/>
                <w:szCs w:val="2"/>
              </w:rPr>
            </w:pPr>
          </w:p>
        </w:tc>
        <w:tc>
          <w:tcPr>
            <w:tcW w:w="991" w:type="dxa"/>
            <w:vMerge/>
            <w:tcBorders>
              <w:top w:val="nil"/>
            </w:tcBorders>
          </w:tcPr>
          <w:p>
            <w:pPr>
              <w:rPr>
                <w:sz w:val="2"/>
                <w:szCs w:val="2"/>
              </w:rPr>
            </w:pPr>
          </w:p>
        </w:tc>
      </w:tr>
      <w:tr>
        <w:trPr>
          <w:trHeight w:val="240" w:hRule="atLeast"/>
        </w:trPr>
        <w:tc>
          <w:tcPr>
            <w:tcW w:w="1560" w:type="dxa"/>
            <w:vMerge/>
            <w:tcBorders>
              <w:top w:val="nil"/>
            </w:tcBorders>
          </w:tcPr>
          <w:p>
            <w:pPr>
              <w:rPr>
                <w:sz w:val="2"/>
                <w:szCs w:val="2"/>
              </w:rPr>
            </w:pPr>
          </w:p>
        </w:tc>
        <w:tc>
          <w:tcPr>
            <w:tcW w:w="2835" w:type="dxa"/>
            <w:vMerge/>
            <w:tcBorders>
              <w:top w:val="nil"/>
            </w:tcBorders>
          </w:tcPr>
          <w:p>
            <w:pPr>
              <w:rPr>
                <w:sz w:val="2"/>
                <w:szCs w:val="2"/>
              </w:rPr>
            </w:pPr>
          </w:p>
        </w:tc>
        <w:tc>
          <w:tcPr>
            <w:tcW w:w="2131" w:type="dxa"/>
          </w:tcPr>
          <w:p>
            <w:pPr>
              <w:pStyle w:val="TableParagraph"/>
              <w:spacing w:line="234" w:lineRule="exact"/>
              <w:ind w:left="96" w:right="96"/>
              <w:jc w:val="center"/>
              <w:rPr>
                <w:sz w:val="22"/>
              </w:rPr>
            </w:pPr>
            <w:r>
              <w:rPr>
                <w:sz w:val="22"/>
              </w:rPr>
              <w:t>Cancer tête et cou</w:t>
            </w:r>
          </w:p>
        </w:tc>
        <w:tc>
          <w:tcPr>
            <w:tcW w:w="1556" w:type="dxa"/>
          </w:tcPr>
          <w:p>
            <w:pPr>
              <w:pStyle w:val="TableParagraph"/>
              <w:spacing w:line="234" w:lineRule="exact"/>
              <w:ind w:left="123" w:right="122"/>
              <w:jc w:val="center"/>
              <w:rPr>
                <w:sz w:val="22"/>
              </w:rPr>
            </w:pPr>
            <w:r>
              <w:rPr>
                <w:sz w:val="22"/>
              </w:rPr>
              <w:t>Radiothérapie</w:t>
            </w:r>
          </w:p>
        </w:tc>
        <w:tc>
          <w:tcPr>
            <w:tcW w:w="1274" w:type="dxa"/>
          </w:tcPr>
          <w:p>
            <w:pPr>
              <w:pStyle w:val="TableParagraph"/>
              <w:spacing w:line="234" w:lineRule="exact"/>
              <w:ind w:left="113" w:right="114"/>
              <w:jc w:val="center"/>
              <w:rPr>
                <w:sz w:val="22"/>
              </w:rPr>
            </w:pPr>
            <w:r>
              <w:rPr>
                <w:sz w:val="22"/>
              </w:rPr>
              <w:t>Phase II</w:t>
            </w:r>
          </w:p>
        </w:tc>
        <w:tc>
          <w:tcPr>
            <w:tcW w:w="3121" w:type="dxa"/>
            <w:vMerge/>
            <w:tcBorders>
              <w:top w:val="nil"/>
            </w:tcBorders>
          </w:tcPr>
          <w:p>
            <w:pPr>
              <w:rPr>
                <w:sz w:val="2"/>
                <w:szCs w:val="2"/>
              </w:rPr>
            </w:pPr>
          </w:p>
        </w:tc>
        <w:tc>
          <w:tcPr>
            <w:tcW w:w="1844" w:type="dxa"/>
            <w:vMerge/>
            <w:tcBorders>
              <w:top w:val="nil"/>
            </w:tcBorders>
          </w:tcPr>
          <w:p>
            <w:pPr>
              <w:rPr>
                <w:sz w:val="2"/>
                <w:szCs w:val="2"/>
              </w:rPr>
            </w:pPr>
          </w:p>
        </w:tc>
        <w:tc>
          <w:tcPr>
            <w:tcW w:w="991" w:type="dxa"/>
            <w:vMerge/>
            <w:tcBorders>
              <w:top w:val="nil"/>
            </w:tcBorders>
          </w:tcPr>
          <w:p>
            <w:pPr>
              <w:rPr>
                <w:sz w:val="2"/>
                <w:szCs w:val="2"/>
              </w:rPr>
            </w:pPr>
          </w:p>
        </w:tc>
      </w:tr>
      <w:tr>
        <w:trPr>
          <w:trHeight w:val="740" w:hRule="atLeast"/>
        </w:trPr>
        <w:tc>
          <w:tcPr>
            <w:tcW w:w="1560" w:type="dxa"/>
            <w:vMerge/>
            <w:tcBorders>
              <w:top w:val="nil"/>
            </w:tcBorders>
          </w:tcPr>
          <w:p>
            <w:pPr>
              <w:rPr>
                <w:sz w:val="2"/>
                <w:szCs w:val="2"/>
              </w:rPr>
            </w:pPr>
          </w:p>
        </w:tc>
        <w:tc>
          <w:tcPr>
            <w:tcW w:w="2835" w:type="dxa"/>
            <w:vMerge/>
            <w:tcBorders>
              <w:top w:val="nil"/>
            </w:tcBorders>
          </w:tcPr>
          <w:p>
            <w:pPr>
              <w:rPr>
                <w:sz w:val="2"/>
                <w:szCs w:val="2"/>
              </w:rPr>
            </w:pPr>
          </w:p>
        </w:tc>
        <w:tc>
          <w:tcPr>
            <w:tcW w:w="2131" w:type="dxa"/>
          </w:tcPr>
          <w:p>
            <w:pPr>
              <w:pStyle w:val="TableParagraph"/>
              <w:ind w:left="503" w:right="389" w:hanging="99"/>
              <w:rPr>
                <w:sz w:val="22"/>
              </w:rPr>
            </w:pPr>
            <w:r>
              <w:rPr>
                <w:sz w:val="22"/>
              </w:rPr>
              <w:t>Cancer du sein métastatique</w:t>
            </w:r>
          </w:p>
        </w:tc>
        <w:tc>
          <w:tcPr>
            <w:tcW w:w="1556" w:type="dxa"/>
          </w:tcPr>
          <w:p>
            <w:pPr>
              <w:pStyle w:val="TableParagraph"/>
              <w:ind w:left="112" w:right="109" w:hanging="5"/>
              <w:jc w:val="center"/>
              <w:rPr>
                <w:sz w:val="22"/>
              </w:rPr>
            </w:pPr>
            <w:r>
              <w:rPr>
                <w:sz w:val="22"/>
              </w:rPr>
              <w:t>Différentes chimiothérapie</w:t>
            </w:r>
          </w:p>
          <w:p>
            <w:pPr>
              <w:pStyle w:val="TableParagraph"/>
              <w:spacing w:line="238" w:lineRule="exact" w:before="8"/>
              <w:jc w:val="center"/>
              <w:rPr>
                <w:sz w:val="22"/>
              </w:rPr>
            </w:pPr>
            <w:r>
              <w:rPr>
                <w:w w:val="100"/>
                <w:sz w:val="22"/>
              </w:rPr>
              <w:t>s</w:t>
            </w:r>
          </w:p>
        </w:tc>
        <w:tc>
          <w:tcPr>
            <w:tcW w:w="1274" w:type="dxa"/>
          </w:tcPr>
          <w:p>
            <w:pPr>
              <w:pStyle w:val="TableParagraph"/>
              <w:spacing w:line="247" w:lineRule="exact"/>
              <w:ind w:left="113" w:right="114"/>
              <w:jc w:val="center"/>
              <w:rPr>
                <w:sz w:val="22"/>
              </w:rPr>
            </w:pPr>
            <w:r>
              <w:rPr>
                <w:sz w:val="22"/>
              </w:rPr>
              <w:t>Phase III</w:t>
            </w:r>
          </w:p>
        </w:tc>
        <w:tc>
          <w:tcPr>
            <w:tcW w:w="3121" w:type="dxa"/>
            <w:vMerge/>
            <w:tcBorders>
              <w:top w:val="nil"/>
            </w:tcBorders>
          </w:tcPr>
          <w:p>
            <w:pPr>
              <w:rPr>
                <w:sz w:val="2"/>
                <w:szCs w:val="2"/>
              </w:rPr>
            </w:pPr>
          </w:p>
        </w:tc>
        <w:tc>
          <w:tcPr>
            <w:tcW w:w="1844" w:type="dxa"/>
            <w:vMerge/>
            <w:tcBorders>
              <w:top w:val="nil"/>
            </w:tcBorders>
          </w:tcPr>
          <w:p>
            <w:pPr>
              <w:rPr>
                <w:sz w:val="2"/>
                <w:szCs w:val="2"/>
              </w:rPr>
            </w:pPr>
          </w:p>
        </w:tc>
        <w:tc>
          <w:tcPr>
            <w:tcW w:w="991" w:type="dxa"/>
            <w:vMerge/>
            <w:tcBorders>
              <w:top w:val="nil"/>
            </w:tcBorders>
          </w:tcPr>
          <w:p>
            <w:pPr>
              <w:rPr>
                <w:sz w:val="2"/>
                <w:szCs w:val="2"/>
              </w:rPr>
            </w:pPr>
          </w:p>
        </w:tc>
      </w:tr>
      <w:tr>
        <w:trPr>
          <w:trHeight w:val="740" w:hRule="atLeast"/>
        </w:trPr>
        <w:tc>
          <w:tcPr>
            <w:tcW w:w="1560" w:type="dxa"/>
            <w:vMerge/>
            <w:tcBorders>
              <w:top w:val="nil"/>
            </w:tcBorders>
          </w:tcPr>
          <w:p>
            <w:pPr>
              <w:rPr>
                <w:sz w:val="2"/>
                <w:szCs w:val="2"/>
              </w:rPr>
            </w:pPr>
          </w:p>
        </w:tc>
        <w:tc>
          <w:tcPr>
            <w:tcW w:w="2835" w:type="dxa"/>
            <w:vMerge/>
            <w:tcBorders>
              <w:top w:val="nil"/>
            </w:tcBorders>
          </w:tcPr>
          <w:p>
            <w:pPr>
              <w:rPr>
                <w:sz w:val="2"/>
                <w:szCs w:val="2"/>
              </w:rPr>
            </w:pPr>
          </w:p>
        </w:tc>
        <w:tc>
          <w:tcPr>
            <w:tcW w:w="2131" w:type="dxa"/>
          </w:tcPr>
          <w:p>
            <w:pPr>
              <w:pStyle w:val="TableParagraph"/>
              <w:spacing w:line="247" w:lineRule="exact"/>
              <w:ind w:left="96" w:right="96"/>
              <w:jc w:val="center"/>
              <w:rPr>
                <w:sz w:val="22"/>
              </w:rPr>
            </w:pPr>
            <w:r>
              <w:rPr>
                <w:sz w:val="22"/>
              </w:rPr>
              <w:t>Cancer du poumon</w:t>
            </w:r>
          </w:p>
        </w:tc>
        <w:tc>
          <w:tcPr>
            <w:tcW w:w="1556" w:type="dxa"/>
          </w:tcPr>
          <w:p>
            <w:pPr>
              <w:pStyle w:val="TableParagraph"/>
              <w:spacing w:line="247" w:lineRule="exact"/>
              <w:ind w:left="121" w:right="123"/>
              <w:jc w:val="center"/>
              <w:rPr>
                <w:sz w:val="22"/>
              </w:rPr>
            </w:pPr>
            <w:r>
              <w:rPr>
                <w:sz w:val="22"/>
              </w:rPr>
              <w:t>Différentes</w:t>
            </w:r>
          </w:p>
          <w:p>
            <w:pPr>
              <w:pStyle w:val="TableParagraph"/>
              <w:spacing w:line="252" w:lineRule="exact" w:before="5"/>
              <w:ind w:left="98" w:right="95"/>
              <w:jc w:val="center"/>
              <w:rPr>
                <w:sz w:val="22"/>
              </w:rPr>
            </w:pPr>
            <w:r>
              <w:rPr>
                <w:sz w:val="22"/>
              </w:rPr>
              <w:t>chimiothérapie s</w:t>
            </w:r>
          </w:p>
        </w:tc>
        <w:tc>
          <w:tcPr>
            <w:tcW w:w="1274" w:type="dxa"/>
          </w:tcPr>
          <w:p>
            <w:pPr>
              <w:pStyle w:val="TableParagraph"/>
              <w:spacing w:line="247" w:lineRule="exact"/>
              <w:ind w:left="113" w:right="114"/>
              <w:jc w:val="center"/>
              <w:rPr>
                <w:sz w:val="22"/>
              </w:rPr>
            </w:pPr>
            <w:r>
              <w:rPr>
                <w:sz w:val="22"/>
              </w:rPr>
              <w:t>Phase III</w:t>
            </w:r>
          </w:p>
        </w:tc>
        <w:tc>
          <w:tcPr>
            <w:tcW w:w="3121" w:type="dxa"/>
            <w:vMerge/>
            <w:tcBorders>
              <w:top w:val="nil"/>
            </w:tcBorders>
          </w:tcPr>
          <w:p>
            <w:pPr>
              <w:rPr>
                <w:sz w:val="2"/>
                <w:szCs w:val="2"/>
              </w:rPr>
            </w:pPr>
          </w:p>
        </w:tc>
        <w:tc>
          <w:tcPr>
            <w:tcW w:w="1844" w:type="dxa"/>
            <w:vMerge/>
            <w:tcBorders>
              <w:top w:val="nil"/>
            </w:tcBorders>
          </w:tcPr>
          <w:p>
            <w:pPr>
              <w:rPr>
                <w:sz w:val="2"/>
                <w:szCs w:val="2"/>
              </w:rPr>
            </w:pPr>
          </w:p>
        </w:tc>
        <w:tc>
          <w:tcPr>
            <w:tcW w:w="991" w:type="dxa"/>
            <w:vMerge/>
            <w:tcBorders>
              <w:top w:val="nil"/>
            </w:tcBorders>
          </w:tcPr>
          <w:p>
            <w:pPr>
              <w:rPr>
                <w:sz w:val="2"/>
                <w:szCs w:val="2"/>
              </w:rPr>
            </w:pPr>
          </w:p>
        </w:tc>
      </w:tr>
      <w:tr>
        <w:trPr>
          <w:trHeight w:val="500" w:hRule="atLeast"/>
        </w:trPr>
        <w:tc>
          <w:tcPr>
            <w:tcW w:w="1560" w:type="dxa"/>
            <w:vMerge w:val="restart"/>
          </w:tcPr>
          <w:p>
            <w:pPr>
              <w:pStyle w:val="TableParagraph"/>
              <w:spacing w:before="1"/>
              <w:ind w:left="441"/>
              <w:rPr>
                <w:b/>
                <w:sz w:val="22"/>
              </w:rPr>
            </w:pPr>
            <w:r>
              <w:rPr>
                <w:b/>
                <w:sz w:val="22"/>
              </w:rPr>
              <w:t>Citrate</w:t>
            </w:r>
          </w:p>
        </w:tc>
        <w:tc>
          <w:tcPr>
            <w:tcW w:w="2835" w:type="dxa"/>
          </w:tcPr>
          <w:p>
            <w:pPr>
              <w:pStyle w:val="TableParagraph"/>
              <w:spacing w:line="249" w:lineRule="exact"/>
              <w:ind w:left="101" w:right="103"/>
              <w:jc w:val="center"/>
              <w:rPr>
                <w:sz w:val="22"/>
              </w:rPr>
            </w:pPr>
            <w:r>
              <w:rPr>
                <w:sz w:val="22"/>
              </w:rPr>
              <w:t>10 g TID</w:t>
            </w:r>
          </w:p>
        </w:tc>
        <w:tc>
          <w:tcPr>
            <w:tcW w:w="2131" w:type="dxa"/>
          </w:tcPr>
          <w:p>
            <w:pPr>
              <w:pStyle w:val="TableParagraph"/>
              <w:spacing w:line="248" w:lineRule="exact"/>
              <w:ind w:left="96" w:right="96"/>
              <w:jc w:val="center"/>
              <w:rPr>
                <w:sz w:val="22"/>
              </w:rPr>
            </w:pPr>
            <w:r>
              <w:rPr>
                <w:sz w:val="22"/>
              </w:rPr>
              <w:t>Mésothéliome</w:t>
            </w:r>
          </w:p>
          <w:p>
            <w:pPr>
              <w:pStyle w:val="TableParagraph"/>
              <w:spacing w:line="238" w:lineRule="exact"/>
              <w:ind w:left="96" w:right="97"/>
              <w:jc w:val="center"/>
              <w:rPr>
                <w:sz w:val="22"/>
              </w:rPr>
            </w:pPr>
            <w:r>
              <w:rPr>
                <w:sz w:val="22"/>
              </w:rPr>
              <w:t>péritonéal</w:t>
            </w:r>
          </w:p>
        </w:tc>
        <w:tc>
          <w:tcPr>
            <w:tcW w:w="1556" w:type="dxa"/>
          </w:tcPr>
          <w:p>
            <w:pPr>
              <w:pStyle w:val="TableParagraph"/>
              <w:spacing w:line="249" w:lineRule="exact"/>
              <w:ind w:left="123" w:right="123"/>
              <w:jc w:val="center"/>
              <w:rPr>
                <w:sz w:val="22"/>
              </w:rPr>
            </w:pPr>
            <w:r>
              <w:rPr>
                <w:sz w:val="22"/>
              </w:rPr>
              <w:t>Oméprazole</w:t>
            </w:r>
          </w:p>
        </w:tc>
        <w:tc>
          <w:tcPr>
            <w:tcW w:w="1274" w:type="dxa"/>
          </w:tcPr>
          <w:p>
            <w:pPr>
              <w:pStyle w:val="TableParagraph"/>
              <w:spacing w:line="248" w:lineRule="exact"/>
              <w:ind w:left="113" w:right="113"/>
              <w:jc w:val="center"/>
              <w:rPr>
                <w:sz w:val="22"/>
              </w:rPr>
            </w:pPr>
            <w:r>
              <w:rPr>
                <w:sz w:val="22"/>
              </w:rPr>
              <w:t>Rapport de</w:t>
            </w:r>
          </w:p>
          <w:p>
            <w:pPr>
              <w:pStyle w:val="TableParagraph"/>
              <w:spacing w:line="238" w:lineRule="exact"/>
              <w:ind w:left="113" w:right="111"/>
              <w:jc w:val="center"/>
              <w:rPr>
                <w:sz w:val="22"/>
              </w:rPr>
            </w:pPr>
            <w:r>
              <w:rPr>
                <w:sz w:val="22"/>
              </w:rPr>
              <w:t>cas</w:t>
            </w:r>
          </w:p>
        </w:tc>
        <w:tc>
          <w:tcPr>
            <w:tcW w:w="3121" w:type="dxa"/>
          </w:tcPr>
          <w:p>
            <w:pPr>
              <w:pStyle w:val="TableParagraph"/>
              <w:spacing w:line="248" w:lineRule="exact"/>
              <w:ind w:left="93" w:right="93"/>
              <w:jc w:val="center"/>
              <w:rPr>
                <w:sz w:val="22"/>
              </w:rPr>
            </w:pPr>
            <w:r>
              <w:rPr>
                <w:sz w:val="22"/>
              </w:rPr>
              <w:t>Bonne tolérance, excellente</w:t>
            </w:r>
          </w:p>
          <w:p>
            <w:pPr>
              <w:pStyle w:val="TableParagraph"/>
              <w:spacing w:line="238" w:lineRule="exact"/>
              <w:ind w:left="93" w:right="92"/>
              <w:jc w:val="center"/>
              <w:rPr>
                <w:sz w:val="22"/>
              </w:rPr>
            </w:pPr>
            <w:r>
              <w:rPr>
                <w:sz w:val="22"/>
              </w:rPr>
              <w:t>évolution</w:t>
            </w:r>
          </w:p>
        </w:tc>
        <w:tc>
          <w:tcPr>
            <w:tcW w:w="1844" w:type="dxa"/>
          </w:tcPr>
          <w:p>
            <w:pPr>
              <w:pStyle w:val="TableParagraph"/>
              <w:spacing w:line="204" w:lineRule="exact"/>
              <w:ind w:left="107" w:right="108"/>
              <w:jc w:val="center"/>
              <w:rPr>
                <w:sz w:val="18"/>
              </w:rPr>
            </w:pPr>
            <w:r>
              <w:rPr>
                <w:sz w:val="18"/>
              </w:rPr>
              <w:t>Bucay, 2011</w:t>
            </w:r>
          </w:p>
        </w:tc>
        <w:tc>
          <w:tcPr>
            <w:tcW w:w="991" w:type="dxa"/>
            <w:vMerge w:val="restart"/>
          </w:tcPr>
          <w:p>
            <w:pPr>
              <w:pStyle w:val="TableParagraph"/>
              <w:spacing w:line="225" w:lineRule="exact"/>
              <w:ind w:left="109" w:right="107"/>
              <w:jc w:val="center"/>
              <w:rPr>
                <w:sz w:val="20"/>
              </w:rPr>
            </w:pPr>
            <w:r>
              <w:rPr>
                <w:sz w:val="20"/>
              </w:rPr>
              <w:t>320</w:t>
            </w: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9" w:lineRule="exact"/>
              <w:ind w:left="103" w:right="103"/>
              <w:jc w:val="center"/>
              <w:rPr>
                <w:sz w:val="22"/>
              </w:rPr>
            </w:pPr>
            <w:r>
              <w:rPr>
                <w:sz w:val="22"/>
              </w:rPr>
              <w:t>2 g TID au maximum</w:t>
            </w:r>
          </w:p>
        </w:tc>
        <w:tc>
          <w:tcPr>
            <w:tcW w:w="2131" w:type="dxa"/>
          </w:tcPr>
          <w:p>
            <w:pPr>
              <w:pStyle w:val="TableParagraph"/>
              <w:spacing w:line="249" w:lineRule="exact"/>
              <w:ind w:left="96" w:right="97"/>
              <w:jc w:val="center"/>
              <w:rPr>
                <w:sz w:val="22"/>
              </w:rPr>
            </w:pPr>
            <w:r>
              <w:rPr>
                <w:sz w:val="22"/>
              </w:rPr>
              <w:t>Cancer de la thyroïde</w:t>
            </w:r>
          </w:p>
        </w:tc>
        <w:tc>
          <w:tcPr>
            <w:tcW w:w="1556" w:type="dxa"/>
          </w:tcPr>
          <w:p>
            <w:pPr>
              <w:pStyle w:val="TableParagraph"/>
              <w:spacing w:line="248" w:lineRule="exact"/>
              <w:ind w:left="121" w:right="123"/>
              <w:jc w:val="center"/>
              <w:rPr>
                <w:sz w:val="22"/>
              </w:rPr>
            </w:pPr>
            <w:r>
              <w:rPr>
                <w:sz w:val="22"/>
              </w:rPr>
              <w:t>Oméprazole /</w:t>
            </w:r>
          </w:p>
          <w:p>
            <w:pPr>
              <w:pStyle w:val="TableParagraph"/>
              <w:spacing w:line="238" w:lineRule="exact"/>
              <w:ind w:left="123" w:right="123"/>
              <w:jc w:val="center"/>
              <w:rPr>
                <w:sz w:val="22"/>
              </w:rPr>
            </w:pPr>
            <w:r>
              <w:rPr>
                <w:sz w:val="22"/>
              </w:rPr>
              <w:t>sucralfate</w:t>
            </w:r>
          </w:p>
        </w:tc>
        <w:tc>
          <w:tcPr>
            <w:tcW w:w="1274" w:type="dxa"/>
          </w:tcPr>
          <w:p>
            <w:pPr>
              <w:pStyle w:val="TableParagraph"/>
              <w:spacing w:line="248" w:lineRule="exact"/>
              <w:ind w:left="113" w:right="113"/>
              <w:jc w:val="center"/>
              <w:rPr>
                <w:sz w:val="22"/>
              </w:rPr>
            </w:pPr>
            <w:r>
              <w:rPr>
                <w:sz w:val="22"/>
              </w:rPr>
              <w:t>Rapport de</w:t>
            </w:r>
          </w:p>
          <w:p>
            <w:pPr>
              <w:pStyle w:val="TableParagraph"/>
              <w:spacing w:line="238" w:lineRule="exact"/>
              <w:ind w:left="113" w:right="111"/>
              <w:jc w:val="center"/>
              <w:rPr>
                <w:sz w:val="22"/>
              </w:rPr>
            </w:pPr>
            <w:r>
              <w:rPr>
                <w:sz w:val="22"/>
              </w:rPr>
              <w:t>cas</w:t>
            </w:r>
          </w:p>
        </w:tc>
        <w:tc>
          <w:tcPr>
            <w:tcW w:w="3121" w:type="dxa"/>
          </w:tcPr>
          <w:p>
            <w:pPr>
              <w:pStyle w:val="TableParagraph"/>
              <w:spacing w:line="248" w:lineRule="exact"/>
              <w:ind w:left="91" w:right="93"/>
              <w:jc w:val="center"/>
              <w:rPr>
                <w:sz w:val="22"/>
              </w:rPr>
            </w:pPr>
            <w:r>
              <w:rPr>
                <w:sz w:val="22"/>
              </w:rPr>
              <w:t>Bonne tolérance, diminution</w:t>
            </w:r>
          </w:p>
          <w:p>
            <w:pPr>
              <w:pStyle w:val="TableParagraph"/>
              <w:spacing w:line="238" w:lineRule="exact"/>
              <w:ind w:left="93" w:right="93"/>
              <w:jc w:val="center"/>
              <w:rPr>
                <w:sz w:val="22"/>
              </w:rPr>
            </w:pPr>
            <w:r>
              <w:rPr>
                <w:sz w:val="22"/>
              </w:rPr>
              <w:t>calcitonine</w:t>
            </w:r>
          </w:p>
        </w:tc>
        <w:tc>
          <w:tcPr>
            <w:tcW w:w="1844" w:type="dxa"/>
          </w:tcPr>
          <w:p>
            <w:pPr>
              <w:pStyle w:val="TableParagraph"/>
              <w:spacing w:line="204" w:lineRule="exact"/>
              <w:ind w:left="107" w:right="108"/>
              <w:jc w:val="center"/>
              <w:rPr>
                <w:sz w:val="18"/>
              </w:rPr>
            </w:pPr>
            <w:r>
              <w:rPr>
                <w:sz w:val="18"/>
              </w:rPr>
              <w:t>Bucay, 2009</w:t>
            </w:r>
          </w:p>
        </w:tc>
        <w:tc>
          <w:tcPr>
            <w:tcW w:w="991" w:type="dxa"/>
            <w:vMerge/>
            <w:tcBorders>
              <w:top w:val="nil"/>
            </w:tcBorders>
          </w:tcPr>
          <w:p>
            <w:pPr>
              <w:rPr>
                <w:sz w:val="2"/>
                <w:szCs w:val="2"/>
              </w:rPr>
            </w:pPr>
          </w:p>
        </w:tc>
      </w:tr>
      <w:tr>
        <w:trPr>
          <w:trHeight w:val="1260" w:hRule="atLeast"/>
        </w:trPr>
        <w:tc>
          <w:tcPr>
            <w:tcW w:w="1560" w:type="dxa"/>
            <w:vMerge w:val="restart"/>
          </w:tcPr>
          <w:p>
            <w:pPr>
              <w:pStyle w:val="TableParagraph"/>
              <w:spacing w:before="1"/>
              <w:ind w:left="259" w:right="251"/>
              <w:jc w:val="center"/>
              <w:rPr>
                <w:b/>
                <w:sz w:val="22"/>
              </w:rPr>
            </w:pPr>
            <w:r>
              <w:rPr>
                <w:b/>
                <w:sz w:val="22"/>
              </w:rPr>
              <w:t>TT-232 = TLN-232 = CAP-232</w:t>
            </w:r>
          </w:p>
        </w:tc>
        <w:tc>
          <w:tcPr>
            <w:tcW w:w="2835" w:type="dxa"/>
          </w:tcPr>
          <w:p>
            <w:pPr>
              <w:pStyle w:val="TableParagraph"/>
              <w:ind w:left="160" w:right="147" w:firstLine="422"/>
              <w:rPr>
                <w:sz w:val="22"/>
              </w:rPr>
            </w:pPr>
            <w:r>
              <w:rPr>
                <w:sz w:val="22"/>
              </w:rPr>
              <w:t>Perfusion  continue 0,48 mg/kg par jour pendant</w:t>
            </w:r>
          </w:p>
          <w:p>
            <w:pPr>
              <w:pStyle w:val="TableParagraph"/>
              <w:spacing w:line="252" w:lineRule="exact" w:before="4"/>
              <w:ind w:left="369"/>
              <w:rPr>
                <w:sz w:val="22"/>
              </w:rPr>
            </w:pPr>
            <w:r>
              <w:rPr>
                <w:sz w:val="22"/>
              </w:rPr>
              <w:t>21 jours + 7 jours repos</w:t>
            </w:r>
          </w:p>
        </w:tc>
        <w:tc>
          <w:tcPr>
            <w:tcW w:w="2131" w:type="dxa"/>
          </w:tcPr>
          <w:p>
            <w:pPr>
              <w:pStyle w:val="TableParagraph"/>
              <w:ind w:left="164" w:right="166"/>
              <w:jc w:val="center"/>
              <w:rPr>
                <w:sz w:val="22"/>
              </w:rPr>
            </w:pPr>
            <w:r>
              <w:rPr>
                <w:sz w:val="22"/>
              </w:rPr>
              <w:t>Carcinome rénal métastasé - mélanome</w:t>
            </w:r>
          </w:p>
        </w:tc>
        <w:tc>
          <w:tcPr>
            <w:tcW w:w="1556" w:type="dxa"/>
          </w:tcPr>
          <w:p>
            <w:pPr>
              <w:pStyle w:val="TableParagraph"/>
              <w:spacing w:line="249" w:lineRule="exact"/>
              <w:ind w:left="123" w:right="122"/>
              <w:jc w:val="center"/>
              <w:rPr>
                <w:sz w:val="22"/>
              </w:rPr>
            </w:pPr>
            <w:r>
              <w:rPr>
                <w:sz w:val="22"/>
              </w:rPr>
              <w:t>Aucun</w:t>
            </w:r>
          </w:p>
        </w:tc>
        <w:tc>
          <w:tcPr>
            <w:tcW w:w="1274" w:type="dxa"/>
          </w:tcPr>
          <w:p>
            <w:pPr>
              <w:pStyle w:val="TableParagraph"/>
              <w:spacing w:line="249" w:lineRule="exact"/>
              <w:ind w:left="113" w:right="114"/>
              <w:jc w:val="center"/>
              <w:rPr>
                <w:sz w:val="22"/>
              </w:rPr>
            </w:pPr>
            <w:r>
              <w:rPr>
                <w:sz w:val="22"/>
              </w:rPr>
              <w:t>Phase II</w:t>
            </w:r>
          </w:p>
        </w:tc>
        <w:tc>
          <w:tcPr>
            <w:tcW w:w="3121" w:type="dxa"/>
          </w:tcPr>
          <w:p>
            <w:pPr>
              <w:pStyle w:val="TableParagraph"/>
              <w:ind w:left="230" w:right="215" w:firstLine="345"/>
              <w:rPr>
                <w:sz w:val="22"/>
              </w:rPr>
            </w:pPr>
            <w:r>
              <w:rPr>
                <w:sz w:val="22"/>
              </w:rPr>
              <w:t>Arrêt (raisons légales) Bonne tolérance jusqu’alors (exposée en 2008 au congrès European Society for Medical</w:t>
            </w:r>
          </w:p>
          <w:p>
            <w:pPr>
              <w:pStyle w:val="TableParagraph"/>
              <w:spacing w:line="239" w:lineRule="exact" w:before="4"/>
              <w:ind w:left="92" w:right="93"/>
              <w:jc w:val="center"/>
              <w:rPr>
                <w:sz w:val="22"/>
              </w:rPr>
            </w:pPr>
            <w:r>
              <w:rPr>
                <w:sz w:val="22"/>
              </w:rPr>
              <w:t>Oncology)</w:t>
            </w:r>
          </w:p>
        </w:tc>
        <w:tc>
          <w:tcPr>
            <w:tcW w:w="1844" w:type="dxa"/>
          </w:tcPr>
          <w:p>
            <w:pPr>
              <w:pStyle w:val="TableParagraph"/>
              <w:spacing w:line="204" w:lineRule="exact"/>
              <w:ind w:left="108" w:right="108"/>
              <w:jc w:val="center"/>
              <w:rPr>
                <w:sz w:val="18"/>
              </w:rPr>
            </w:pPr>
            <w:r>
              <w:rPr>
                <w:sz w:val="18"/>
              </w:rPr>
              <w:t>NCT00422786</w:t>
            </w:r>
          </w:p>
        </w:tc>
        <w:tc>
          <w:tcPr>
            <w:tcW w:w="991" w:type="dxa"/>
            <w:vMerge w:val="restart"/>
          </w:tcPr>
          <w:p>
            <w:pPr>
              <w:pStyle w:val="TableParagraph"/>
              <w:spacing w:line="270" w:lineRule="exact"/>
              <w:jc w:val="center"/>
              <w:rPr>
                <w:sz w:val="24"/>
              </w:rPr>
            </w:pPr>
            <w:r>
              <w:rPr>
                <w:sz w:val="24"/>
              </w:rPr>
              <w:t>2</w:t>
            </w:r>
          </w:p>
        </w:tc>
      </w:tr>
      <w:tr>
        <w:trPr>
          <w:trHeight w:val="740" w:hRule="atLeast"/>
        </w:trPr>
        <w:tc>
          <w:tcPr>
            <w:tcW w:w="1560" w:type="dxa"/>
            <w:vMerge/>
            <w:tcBorders>
              <w:top w:val="nil"/>
            </w:tcBorders>
          </w:tcPr>
          <w:p>
            <w:pPr>
              <w:rPr>
                <w:sz w:val="2"/>
                <w:szCs w:val="2"/>
              </w:rPr>
            </w:pPr>
          </w:p>
        </w:tc>
        <w:tc>
          <w:tcPr>
            <w:tcW w:w="2835" w:type="dxa"/>
          </w:tcPr>
          <w:p>
            <w:pPr>
              <w:pStyle w:val="TableParagraph"/>
              <w:ind w:left="369" w:right="189" w:hanging="161"/>
              <w:rPr>
                <w:sz w:val="22"/>
              </w:rPr>
            </w:pPr>
            <w:r>
              <w:rPr>
                <w:sz w:val="22"/>
              </w:rPr>
              <w:t>Perfusion continue pendant 21 jours + 7 jours repos</w:t>
            </w:r>
          </w:p>
        </w:tc>
        <w:tc>
          <w:tcPr>
            <w:tcW w:w="2131" w:type="dxa"/>
          </w:tcPr>
          <w:p>
            <w:pPr>
              <w:pStyle w:val="TableParagraph"/>
              <w:ind w:left="503" w:right="486" w:firstLine="86"/>
              <w:rPr>
                <w:sz w:val="22"/>
              </w:rPr>
            </w:pPr>
            <w:r>
              <w:rPr>
                <w:sz w:val="22"/>
              </w:rPr>
              <w:t>Mélanome métastatique</w:t>
            </w:r>
          </w:p>
          <w:p>
            <w:pPr>
              <w:pStyle w:val="TableParagraph"/>
              <w:spacing w:line="238" w:lineRule="exact" w:before="7"/>
              <w:ind w:left="618"/>
              <w:rPr>
                <w:sz w:val="22"/>
              </w:rPr>
            </w:pPr>
            <w:r>
              <w:rPr>
                <w:sz w:val="22"/>
              </w:rPr>
              <w:t>récidivant</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7" w:lineRule="exact"/>
              <w:ind w:left="93" w:right="93"/>
              <w:jc w:val="center"/>
              <w:rPr>
                <w:sz w:val="22"/>
              </w:rPr>
            </w:pPr>
            <w:r>
              <w:rPr>
                <w:sz w:val="22"/>
              </w:rPr>
              <w:t>Perte de licence</w:t>
            </w:r>
          </w:p>
        </w:tc>
        <w:tc>
          <w:tcPr>
            <w:tcW w:w="1844" w:type="dxa"/>
          </w:tcPr>
          <w:p>
            <w:pPr>
              <w:pStyle w:val="TableParagraph"/>
              <w:spacing w:line="202" w:lineRule="exact"/>
              <w:ind w:left="108" w:right="108"/>
              <w:jc w:val="center"/>
              <w:rPr>
                <w:sz w:val="18"/>
              </w:rPr>
            </w:pPr>
            <w:r>
              <w:rPr>
                <w:sz w:val="18"/>
              </w:rPr>
              <w:t>NCT00735332</w:t>
            </w:r>
          </w:p>
        </w:tc>
        <w:tc>
          <w:tcPr>
            <w:tcW w:w="991" w:type="dxa"/>
            <w:vMerge/>
            <w:tcBorders>
              <w:top w:val="nil"/>
            </w:tcBorders>
          </w:tcPr>
          <w:p>
            <w:pPr>
              <w:rPr>
                <w:sz w:val="2"/>
                <w:szCs w:val="2"/>
              </w:rPr>
            </w:pPr>
          </w:p>
        </w:tc>
      </w:tr>
    </w:tbl>
    <w:p>
      <w:pPr>
        <w:spacing w:after="0"/>
        <w:rPr>
          <w:sz w:val="2"/>
          <w:szCs w:val="2"/>
        </w:rPr>
        <w:sectPr>
          <w:pgSz w:w="16840" w:h="11910" w:orient="landscape"/>
          <w:pgMar w:header="0" w:footer="998" w:top="1100" w:bottom="1180" w:left="640" w:right="640"/>
        </w:sectPr>
      </w:pPr>
    </w:p>
    <w:p>
      <w:pPr>
        <w:pStyle w:val="BodyText"/>
        <w:spacing w:before="1" w:after="1"/>
        <w:rPr>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835"/>
        <w:gridCol w:w="2131"/>
        <w:gridCol w:w="1556"/>
        <w:gridCol w:w="1274"/>
        <w:gridCol w:w="3121"/>
        <w:gridCol w:w="1844"/>
        <w:gridCol w:w="991"/>
      </w:tblGrid>
      <w:tr>
        <w:trPr>
          <w:trHeight w:val="500" w:hRule="atLeast"/>
        </w:trPr>
        <w:tc>
          <w:tcPr>
            <w:tcW w:w="14321" w:type="dxa"/>
            <w:gridSpan w:val="7"/>
          </w:tcPr>
          <w:p>
            <w:pPr>
              <w:pStyle w:val="TableParagraph"/>
              <w:spacing w:line="273" w:lineRule="exact"/>
              <w:ind w:left="5148" w:right="5149"/>
              <w:jc w:val="center"/>
              <w:rPr>
                <w:b/>
                <w:i/>
                <w:sz w:val="24"/>
              </w:rPr>
            </w:pPr>
            <w:r>
              <w:rPr>
                <w:b/>
                <w:i/>
                <w:sz w:val="24"/>
              </w:rPr>
              <w:t>Cibler la voie des pentoses</w:t>
            </w:r>
            <w:r>
              <w:rPr>
                <w:b/>
                <w:i/>
                <w:spacing w:val="-4"/>
                <w:sz w:val="24"/>
              </w:rPr>
              <w:t> </w:t>
            </w:r>
            <w:r>
              <w:rPr>
                <w:b/>
                <w:i/>
                <w:sz w:val="24"/>
              </w:rPr>
              <w:t>phosphates</w:t>
            </w:r>
          </w:p>
        </w:tc>
        <w:tc>
          <w:tcPr>
            <w:tcW w:w="991" w:type="dxa"/>
          </w:tcPr>
          <w:p>
            <w:pPr>
              <w:pStyle w:val="TableParagraph"/>
              <w:rPr>
                <w:sz w:val="20"/>
              </w:rPr>
            </w:pPr>
          </w:p>
        </w:tc>
      </w:tr>
      <w:tr>
        <w:trPr>
          <w:trHeight w:val="760" w:hRule="atLeast"/>
        </w:trPr>
        <w:tc>
          <w:tcPr>
            <w:tcW w:w="1560" w:type="dxa"/>
          </w:tcPr>
          <w:p>
            <w:pPr>
              <w:pStyle w:val="TableParagraph"/>
              <w:spacing w:before="1"/>
              <w:ind w:left="93" w:right="92"/>
              <w:jc w:val="center"/>
              <w:rPr>
                <w:b/>
                <w:sz w:val="22"/>
              </w:rPr>
            </w:pPr>
            <w:r>
              <w:rPr>
                <w:b/>
                <w:sz w:val="22"/>
              </w:rPr>
              <w:t>6-AN</w:t>
            </w:r>
          </w:p>
        </w:tc>
        <w:tc>
          <w:tcPr>
            <w:tcW w:w="2835" w:type="dxa"/>
          </w:tcPr>
          <w:p>
            <w:pPr>
              <w:pStyle w:val="TableParagraph"/>
              <w:ind w:left="1007" w:right="491" w:hanging="502"/>
              <w:rPr>
                <w:sz w:val="22"/>
              </w:rPr>
            </w:pPr>
            <w:r>
              <w:rPr>
                <w:sz w:val="22"/>
              </w:rPr>
              <w:t>0,2 mg/kg pendant 4 semaines</w:t>
            </w:r>
          </w:p>
        </w:tc>
        <w:tc>
          <w:tcPr>
            <w:tcW w:w="2131" w:type="dxa"/>
          </w:tcPr>
          <w:p>
            <w:pPr>
              <w:pStyle w:val="TableParagraph"/>
              <w:ind w:left="712" w:right="238" w:hanging="456"/>
              <w:rPr>
                <w:sz w:val="22"/>
              </w:rPr>
            </w:pPr>
            <w:r>
              <w:rPr>
                <w:sz w:val="22"/>
              </w:rPr>
              <w:t>Différents cancers avancés</w:t>
            </w:r>
          </w:p>
        </w:tc>
        <w:tc>
          <w:tcPr>
            <w:tcW w:w="1556" w:type="dxa"/>
          </w:tcPr>
          <w:p>
            <w:pPr>
              <w:pStyle w:val="TableParagraph"/>
              <w:spacing w:line="249" w:lineRule="exact"/>
              <w:ind w:left="123" w:right="122"/>
              <w:jc w:val="center"/>
              <w:rPr>
                <w:sz w:val="22"/>
              </w:rPr>
            </w:pPr>
            <w:r>
              <w:rPr>
                <w:sz w:val="22"/>
              </w:rPr>
              <w:t>Aucun</w:t>
            </w:r>
          </w:p>
        </w:tc>
        <w:tc>
          <w:tcPr>
            <w:tcW w:w="1274" w:type="dxa"/>
          </w:tcPr>
          <w:p>
            <w:pPr>
              <w:pStyle w:val="TableParagraph"/>
              <w:spacing w:line="249" w:lineRule="exact"/>
              <w:ind w:right="207"/>
              <w:jc w:val="right"/>
              <w:rPr>
                <w:sz w:val="22"/>
              </w:rPr>
            </w:pPr>
            <w:r>
              <w:rPr>
                <w:sz w:val="22"/>
              </w:rPr>
              <w:t>Phase I/II</w:t>
            </w:r>
          </w:p>
        </w:tc>
        <w:tc>
          <w:tcPr>
            <w:tcW w:w="3121" w:type="dxa"/>
          </w:tcPr>
          <w:p>
            <w:pPr>
              <w:pStyle w:val="TableParagraph"/>
              <w:spacing w:line="252" w:lineRule="exact"/>
              <w:ind w:left="232" w:right="231" w:hanging="2"/>
              <w:jc w:val="center"/>
              <w:rPr>
                <w:sz w:val="22"/>
              </w:rPr>
            </w:pPr>
            <w:r>
              <w:rPr>
                <w:sz w:val="22"/>
              </w:rPr>
              <w:t>Neurotoxique à fortes doses Pas de propriétés anticancéreuses à dose tolérée</w:t>
            </w:r>
          </w:p>
        </w:tc>
        <w:tc>
          <w:tcPr>
            <w:tcW w:w="1844" w:type="dxa"/>
          </w:tcPr>
          <w:p>
            <w:pPr>
              <w:pStyle w:val="TableParagraph"/>
              <w:spacing w:line="204" w:lineRule="exact"/>
              <w:ind w:left="108" w:right="108"/>
              <w:jc w:val="center"/>
              <w:rPr>
                <w:sz w:val="18"/>
              </w:rPr>
            </w:pPr>
            <w:r>
              <w:rPr>
                <w:sz w:val="18"/>
              </w:rPr>
              <w:t>Herter et al., 1961</w:t>
            </w:r>
          </w:p>
        </w:tc>
        <w:tc>
          <w:tcPr>
            <w:tcW w:w="991" w:type="dxa"/>
          </w:tcPr>
          <w:p>
            <w:pPr>
              <w:pStyle w:val="TableParagraph"/>
              <w:spacing w:line="225" w:lineRule="exact"/>
              <w:ind w:right="1"/>
              <w:jc w:val="center"/>
              <w:rPr>
                <w:sz w:val="20"/>
              </w:rPr>
            </w:pPr>
            <w:r>
              <w:rPr>
                <w:w w:val="99"/>
                <w:sz w:val="20"/>
              </w:rPr>
              <w:t>0</w:t>
            </w:r>
          </w:p>
        </w:tc>
      </w:tr>
      <w:tr>
        <w:trPr>
          <w:trHeight w:val="500" w:hRule="atLeast"/>
        </w:trPr>
        <w:tc>
          <w:tcPr>
            <w:tcW w:w="14321" w:type="dxa"/>
            <w:gridSpan w:val="7"/>
          </w:tcPr>
          <w:p>
            <w:pPr>
              <w:pStyle w:val="TableParagraph"/>
              <w:spacing w:line="273" w:lineRule="exact"/>
              <w:ind w:left="5148" w:right="5144"/>
              <w:jc w:val="center"/>
              <w:rPr>
                <w:b/>
                <w:i/>
                <w:sz w:val="24"/>
              </w:rPr>
            </w:pPr>
            <w:r>
              <w:rPr>
                <w:b/>
                <w:i/>
                <w:sz w:val="24"/>
              </w:rPr>
              <w:t>Cibler la glutaminolyse</w:t>
            </w:r>
          </w:p>
        </w:tc>
        <w:tc>
          <w:tcPr>
            <w:tcW w:w="991" w:type="dxa"/>
          </w:tcPr>
          <w:p>
            <w:pPr>
              <w:pStyle w:val="TableParagraph"/>
              <w:rPr>
                <w:sz w:val="20"/>
              </w:rPr>
            </w:pPr>
          </w:p>
        </w:tc>
      </w:tr>
      <w:tr>
        <w:trPr>
          <w:trHeight w:val="1500" w:hRule="atLeast"/>
        </w:trPr>
        <w:tc>
          <w:tcPr>
            <w:tcW w:w="1560" w:type="dxa"/>
            <w:vMerge w:val="restart"/>
          </w:tcPr>
          <w:p>
            <w:pPr>
              <w:pStyle w:val="TableParagraph"/>
              <w:spacing w:before="1"/>
              <w:ind w:left="97" w:right="92"/>
              <w:jc w:val="center"/>
              <w:rPr>
                <w:b/>
                <w:sz w:val="22"/>
              </w:rPr>
            </w:pPr>
            <w:r>
              <w:rPr>
                <w:b/>
                <w:sz w:val="22"/>
              </w:rPr>
              <w:t>DON</w:t>
            </w:r>
          </w:p>
        </w:tc>
        <w:tc>
          <w:tcPr>
            <w:tcW w:w="2835" w:type="dxa"/>
          </w:tcPr>
          <w:p>
            <w:pPr>
              <w:pStyle w:val="TableParagraph"/>
              <w:spacing w:line="248" w:lineRule="exact"/>
              <w:ind w:left="103" w:right="103"/>
              <w:jc w:val="center"/>
              <w:rPr>
                <w:sz w:val="22"/>
              </w:rPr>
            </w:pPr>
            <w:r>
              <w:rPr>
                <w:sz w:val="22"/>
              </w:rPr>
              <w:t>160 mg/m² (pendant 3 j tous</w:t>
            </w:r>
          </w:p>
          <w:p>
            <w:pPr>
              <w:pStyle w:val="TableParagraph"/>
              <w:spacing w:line="252" w:lineRule="exact"/>
              <w:ind w:left="103" w:right="103"/>
              <w:jc w:val="center"/>
              <w:rPr>
                <w:sz w:val="22"/>
              </w:rPr>
            </w:pPr>
            <w:r>
              <w:rPr>
                <w:sz w:val="22"/>
              </w:rPr>
              <w:t>les 21 j)</w:t>
            </w:r>
          </w:p>
          <w:p>
            <w:pPr>
              <w:pStyle w:val="TableParagraph"/>
              <w:ind w:left="172" w:right="177"/>
              <w:jc w:val="center"/>
              <w:rPr>
                <w:sz w:val="22"/>
              </w:rPr>
            </w:pPr>
            <w:r>
              <w:rPr>
                <w:sz w:val="22"/>
              </w:rPr>
              <w:t>300 mg/m² (pendant 5 j toutes les 2 semaines)</w:t>
            </w:r>
          </w:p>
          <w:p>
            <w:pPr>
              <w:pStyle w:val="TableParagraph"/>
              <w:spacing w:line="252" w:lineRule="exact"/>
              <w:ind w:left="103" w:right="103"/>
              <w:jc w:val="center"/>
              <w:rPr>
                <w:sz w:val="22"/>
              </w:rPr>
            </w:pPr>
            <w:r>
              <w:rPr>
                <w:sz w:val="22"/>
              </w:rPr>
              <w:t>50 mg/m² (pendant 5 j tous</w:t>
            </w:r>
          </w:p>
          <w:p>
            <w:pPr>
              <w:pStyle w:val="TableParagraph"/>
              <w:spacing w:line="238" w:lineRule="exact" w:before="1"/>
              <w:ind w:left="103" w:right="103"/>
              <w:jc w:val="center"/>
              <w:rPr>
                <w:sz w:val="22"/>
              </w:rPr>
            </w:pPr>
            <w:r>
              <w:rPr>
                <w:sz w:val="22"/>
              </w:rPr>
              <w:t>les 28 j)</w:t>
            </w:r>
          </w:p>
        </w:tc>
        <w:tc>
          <w:tcPr>
            <w:tcW w:w="2131" w:type="dxa"/>
          </w:tcPr>
          <w:p>
            <w:pPr>
              <w:pStyle w:val="TableParagraph"/>
              <w:ind w:left="520" w:right="162" w:hanging="341"/>
              <w:rPr>
                <w:sz w:val="22"/>
              </w:rPr>
            </w:pPr>
            <w:r>
              <w:rPr>
                <w:sz w:val="22"/>
              </w:rPr>
              <w:t>Cancers du poumon et colorectal</w:t>
            </w:r>
          </w:p>
        </w:tc>
        <w:tc>
          <w:tcPr>
            <w:tcW w:w="1556" w:type="dxa"/>
          </w:tcPr>
          <w:p>
            <w:pPr>
              <w:pStyle w:val="TableParagraph"/>
              <w:spacing w:line="249" w:lineRule="exact"/>
              <w:ind w:left="123" w:right="122"/>
              <w:jc w:val="center"/>
              <w:rPr>
                <w:sz w:val="22"/>
              </w:rPr>
            </w:pPr>
            <w:r>
              <w:rPr>
                <w:sz w:val="22"/>
              </w:rPr>
              <w:t>Aucun</w:t>
            </w:r>
          </w:p>
        </w:tc>
        <w:tc>
          <w:tcPr>
            <w:tcW w:w="1274" w:type="dxa"/>
          </w:tcPr>
          <w:p>
            <w:pPr>
              <w:pStyle w:val="TableParagraph"/>
              <w:spacing w:line="249" w:lineRule="exact"/>
              <w:ind w:right="272"/>
              <w:jc w:val="right"/>
              <w:rPr>
                <w:sz w:val="22"/>
              </w:rPr>
            </w:pPr>
            <w:r>
              <w:rPr>
                <w:sz w:val="22"/>
              </w:rPr>
              <w:t>Phase II</w:t>
            </w:r>
          </w:p>
        </w:tc>
        <w:tc>
          <w:tcPr>
            <w:tcW w:w="3121" w:type="dxa"/>
          </w:tcPr>
          <w:p>
            <w:pPr>
              <w:pStyle w:val="TableParagraph"/>
              <w:ind w:left="657" w:right="655"/>
              <w:jc w:val="center"/>
              <w:rPr>
                <w:sz w:val="22"/>
              </w:rPr>
            </w:pPr>
            <w:r>
              <w:rPr>
                <w:sz w:val="22"/>
              </w:rPr>
              <w:t>Peu d’efficacité seul Nausées Vomissements</w:t>
            </w:r>
          </w:p>
        </w:tc>
        <w:tc>
          <w:tcPr>
            <w:tcW w:w="1844" w:type="dxa"/>
          </w:tcPr>
          <w:p>
            <w:pPr>
              <w:pStyle w:val="TableParagraph"/>
              <w:ind w:left="604" w:right="157" w:hanging="432"/>
              <w:rPr>
                <w:sz w:val="18"/>
              </w:rPr>
            </w:pPr>
            <w:r>
              <w:rPr>
                <w:sz w:val="18"/>
              </w:rPr>
              <w:t>Cervantes-Madrid et al., 2015</w:t>
            </w:r>
          </w:p>
        </w:tc>
        <w:tc>
          <w:tcPr>
            <w:tcW w:w="991" w:type="dxa"/>
            <w:vMerge w:val="restart"/>
          </w:tcPr>
          <w:p>
            <w:pPr>
              <w:pStyle w:val="TableParagraph"/>
              <w:spacing w:line="225" w:lineRule="exact"/>
              <w:ind w:right="1"/>
              <w:jc w:val="center"/>
              <w:rPr>
                <w:sz w:val="20"/>
              </w:rPr>
            </w:pPr>
            <w:r>
              <w:rPr>
                <w:w w:val="99"/>
                <w:sz w:val="20"/>
              </w:rPr>
              <w:t>0</w:t>
            </w: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237" w:firstLine="36"/>
              <w:rPr>
                <w:sz w:val="22"/>
              </w:rPr>
            </w:pPr>
            <w:r>
              <w:rPr>
                <w:sz w:val="22"/>
              </w:rPr>
              <w:t>50 mg/m²/jours pendant 5</w:t>
            </w:r>
          </w:p>
          <w:p>
            <w:pPr>
              <w:pStyle w:val="TableParagraph"/>
              <w:spacing w:line="238" w:lineRule="exact" w:before="1"/>
              <w:ind w:left="237"/>
              <w:rPr>
                <w:sz w:val="22"/>
              </w:rPr>
            </w:pPr>
            <w:r>
              <w:rPr>
                <w:sz w:val="22"/>
              </w:rPr>
              <w:t>jours toutes les 4 semaines</w:t>
            </w:r>
          </w:p>
        </w:tc>
        <w:tc>
          <w:tcPr>
            <w:tcW w:w="2131" w:type="dxa"/>
          </w:tcPr>
          <w:p>
            <w:pPr>
              <w:pStyle w:val="TableParagraph"/>
              <w:spacing w:line="247" w:lineRule="exact"/>
              <w:ind w:left="96" w:right="97"/>
              <w:jc w:val="center"/>
              <w:rPr>
                <w:sz w:val="22"/>
              </w:rPr>
            </w:pPr>
            <w:r>
              <w:rPr>
                <w:sz w:val="22"/>
              </w:rPr>
              <w:t>Sarcomes -</w:t>
            </w:r>
          </w:p>
          <w:p>
            <w:pPr>
              <w:pStyle w:val="TableParagraph"/>
              <w:spacing w:line="238" w:lineRule="exact" w:before="1"/>
              <w:ind w:left="96" w:right="97"/>
              <w:jc w:val="center"/>
              <w:rPr>
                <w:sz w:val="22"/>
              </w:rPr>
            </w:pPr>
            <w:r>
              <w:rPr>
                <w:sz w:val="22"/>
              </w:rPr>
              <w:t>mésothéliomes</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right="272"/>
              <w:jc w:val="right"/>
              <w:rPr>
                <w:sz w:val="22"/>
              </w:rPr>
            </w:pPr>
            <w:r>
              <w:rPr>
                <w:sz w:val="22"/>
              </w:rPr>
              <w:t>Phase II</w:t>
            </w:r>
          </w:p>
        </w:tc>
        <w:tc>
          <w:tcPr>
            <w:tcW w:w="3121" w:type="dxa"/>
          </w:tcPr>
          <w:p>
            <w:pPr>
              <w:pStyle w:val="TableParagraph"/>
              <w:spacing w:line="247" w:lineRule="exact"/>
              <w:ind w:left="93" w:right="93"/>
              <w:jc w:val="center"/>
              <w:rPr>
                <w:sz w:val="22"/>
              </w:rPr>
            </w:pPr>
            <w:r>
              <w:rPr>
                <w:sz w:val="22"/>
              </w:rPr>
              <w:t>Pas d’efficacité sur la survie.</w:t>
            </w:r>
          </w:p>
          <w:p>
            <w:pPr>
              <w:pStyle w:val="TableParagraph"/>
              <w:spacing w:line="238" w:lineRule="exact" w:before="1"/>
              <w:ind w:left="91" w:right="93"/>
              <w:jc w:val="center"/>
              <w:rPr>
                <w:sz w:val="22"/>
              </w:rPr>
            </w:pPr>
            <w:r>
              <w:rPr>
                <w:sz w:val="22"/>
              </w:rPr>
              <w:t>Tolérance moyenne</w:t>
            </w:r>
          </w:p>
        </w:tc>
        <w:tc>
          <w:tcPr>
            <w:tcW w:w="1844" w:type="dxa"/>
          </w:tcPr>
          <w:p>
            <w:pPr>
              <w:pStyle w:val="TableParagraph"/>
              <w:spacing w:line="202" w:lineRule="exact"/>
              <w:ind w:left="107" w:right="108"/>
              <w:jc w:val="center"/>
              <w:rPr>
                <w:sz w:val="18"/>
              </w:rPr>
            </w:pPr>
            <w:r>
              <w:rPr>
                <w:sz w:val="18"/>
              </w:rPr>
              <w:t>Earhart et al., 1990</w:t>
            </w:r>
          </w:p>
        </w:tc>
        <w:tc>
          <w:tcPr>
            <w:tcW w:w="991" w:type="dxa"/>
            <w:vMerge/>
            <w:tcBorders>
              <w:top w:val="nil"/>
            </w:tcBorders>
          </w:tcPr>
          <w:p>
            <w:pPr>
              <w:rPr>
                <w:sz w:val="2"/>
                <w:szCs w:val="2"/>
              </w:rPr>
            </w:pPr>
          </w:p>
        </w:tc>
      </w:tr>
      <w:tr>
        <w:trPr>
          <w:trHeight w:val="1260" w:hRule="atLeast"/>
        </w:trPr>
        <w:tc>
          <w:tcPr>
            <w:tcW w:w="1560" w:type="dxa"/>
            <w:vMerge w:val="restart"/>
          </w:tcPr>
          <w:p>
            <w:pPr>
              <w:pStyle w:val="TableParagraph"/>
              <w:spacing w:line="251" w:lineRule="exact"/>
              <w:ind w:left="431"/>
              <w:rPr>
                <w:b/>
                <w:sz w:val="22"/>
              </w:rPr>
            </w:pPr>
            <w:r>
              <w:rPr>
                <w:b/>
                <w:sz w:val="22"/>
              </w:rPr>
              <w:t>CB 839</w:t>
            </w:r>
          </w:p>
        </w:tc>
        <w:tc>
          <w:tcPr>
            <w:tcW w:w="2835" w:type="dxa"/>
          </w:tcPr>
          <w:p>
            <w:pPr>
              <w:pStyle w:val="TableParagraph"/>
              <w:spacing w:line="242" w:lineRule="auto"/>
              <w:ind w:left="1053" w:right="197" w:hanging="840"/>
              <w:rPr>
                <w:sz w:val="22"/>
              </w:rPr>
            </w:pPr>
            <w:r>
              <w:rPr>
                <w:sz w:val="22"/>
              </w:rPr>
              <w:t>Doses croissantes, cycle de 21 jours</w:t>
            </w:r>
          </w:p>
        </w:tc>
        <w:tc>
          <w:tcPr>
            <w:tcW w:w="2131" w:type="dxa"/>
          </w:tcPr>
          <w:p>
            <w:pPr>
              <w:pStyle w:val="TableParagraph"/>
              <w:spacing w:line="247" w:lineRule="exact"/>
              <w:ind w:left="96" w:right="97"/>
              <w:jc w:val="center"/>
              <w:rPr>
                <w:sz w:val="22"/>
              </w:rPr>
            </w:pPr>
            <w:r>
              <w:rPr>
                <w:sz w:val="22"/>
              </w:rPr>
              <w:t>Tumeurs solides</w:t>
            </w:r>
          </w:p>
        </w:tc>
        <w:tc>
          <w:tcPr>
            <w:tcW w:w="1556" w:type="dxa"/>
          </w:tcPr>
          <w:p>
            <w:pPr>
              <w:pStyle w:val="TableParagraph"/>
              <w:ind w:left="184" w:right="183" w:hanging="1"/>
              <w:jc w:val="center"/>
              <w:rPr>
                <w:sz w:val="22"/>
              </w:rPr>
            </w:pPr>
            <w:r>
              <w:rPr>
                <w:sz w:val="22"/>
              </w:rPr>
              <w:t>Paclitaxel Everolimus Erlotnib Docetaxel</w:t>
            </w:r>
          </w:p>
          <w:p>
            <w:pPr>
              <w:pStyle w:val="TableParagraph"/>
              <w:spacing w:line="238" w:lineRule="exact" w:before="8"/>
              <w:ind w:left="122" w:right="123"/>
              <w:jc w:val="center"/>
              <w:rPr>
                <w:sz w:val="22"/>
              </w:rPr>
            </w:pPr>
            <w:r>
              <w:rPr>
                <w:sz w:val="22"/>
              </w:rPr>
              <w:t>Cabozantinib</w:t>
            </w:r>
          </w:p>
        </w:tc>
        <w:tc>
          <w:tcPr>
            <w:tcW w:w="1274" w:type="dxa"/>
          </w:tcPr>
          <w:p>
            <w:pPr>
              <w:pStyle w:val="TableParagraph"/>
              <w:spacing w:line="247" w:lineRule="exact"/>
              <w:ind w:right="306"/>
              <w:jc w:val="right"/>
              <w:rPr>
                <w:sz w:val="22"/>
              </w:rPr>
            </w:pPr>
            <w:r>
              <w:rPr>
                <w:sz w:val="22"/>
              </w:rPr>
              <w:t>Phase I</w:t>
            </w:r>
          </w:p>
        </w:tc>
        <w:tc>
          <w:tcPr>
            <w:tcW w:w="3121" w:type="dxa"/>
          </w:tcPr>
          <w:p>
            <w:pPr>
              <w:pStyle w:val="TableParagraph"/>
              <w:spacing w:line="247" w:lineRule="exact"/>
              <w:ind w:left="93" w:right="93"/>
              <w:jc w:val="center"/>
              <w:rPr>
                <w:sz w:val="22"/>
              </w:rPr>
            </w:pPr>
            <w:r>
              <w:rPr>
                <w:sz w:val="22"/>
              </w:rPr>
              <w:t>En phase de recrutement</w:t>
            </w:r>
          </w:p>
        </w:tc>
        <w:tc>
          <w:tcPr>
            <w:tcW w:w="1844" w:type="dxa"/>
          </w:tcPr>
          <w:p>
            <w:pPr>
              <w:pStyle w:val="TableParagraph"/>
              <w:spacing w:line="202" w:lineRule="exact"/>
              <w:ind w:left="108" w:right="108"/>
              <w:jc w:val="center"/>
              <w:rPr>
                <w:sz w:val="18"/>
              </w:rPr>
            </w:pPr>
            <w:r>
              <w:rPr>
                <w:sz w:val="18"/>
              </w:rPr>
              <w:t>NCT02071862</w:t>
            </w:r>
          </w:p>
        </w:tc>
        <w:tc>
          <w:tcPr>
            <w:tcW w:w="991" w:type="dxa"/>
            <w:vMerge w:val="restart"/>
          </w:tcPr>
          <w:p>
            <w:pPr>
              <w:pStyle w:val="TableParagraph"/>
              <w:spacing w:line="223" w:lineRule="exact"/>
              <w:ind w:right="1"/>
              <w:jc w:val="center"/>
              <w:rPr>
                <w:sz w:val="20"/>
              </w:rPr>
            </w:pPr>
            <w:r>
              <w:rPr>
                <w:w w:val="99"/>
                <w:sz w:val="20"/>
              </w:rPr>
              <w:t>8</w:t>
            </w:r>
          </w:p>
        </w:tc>
      </w:tr>
      <w:tr>
        <w:trPr>
          <w:trHeight w:val="760" w:hRule="atLeast"/>
        </w:trPr>
        <w:tc>
          <w:tcPr>
            <w:tcW w:w="1560" w:type="dxa"/>
            <w:vMerge/>
            <w:tcBorders>
              <w:top w:val="nil"/>
            </w:tcBorders>
          </w:tcPr>
          <w:p>
            <w:pPr>
              <w:rPr>
                <w:sz w:val="2"/>
                <w:szCs w:val="2"/>
              </w:rPr>
            </w:pPr>
          </w:p>
        </w:tc>
        <w:tc>
          <w:tcPr>
            <w:tcW w:w="2835" w:type="dxa"/>
          </w:tcPr>
          <w:p>
            <w:pPr>
              <w:pStyle w:val="TableParagraph"/>
              <w:spacing w:line="242" w:lineRule="auto"/>
              <w:ind w:left="779" w:right="198" w:hanging="567"/>
              <w:rPr>
                <w:sz w:val="22"/>
              </w:rPr>
            </w:pPr>
            <w:r>
              <w:rPr>
                <w:sz w:val="22"/>
              </w:rPr>
              <w:t>Doses croissantes, cycle de 21 ou 28 jours</w:t>
            </w:r>
          </w:p>
        </w:tc>
        <w:tc>
          <w:tcPr>
            <w:tcW w:w="2131" w:type="dxa"/>
          </w:tcPr>
          <w:p>
            <w:pPr>
              <w:pStyle w:val="TableParagraph"/>
              <w:spacing w:line="242" w:lineRule="auto"/>
              <w:ind w:left="364" w:right="344" w:firstLine="302"/>
              <w:rPr>
                <w:sz w:val="22"/>
              </w:rPr>
            </w:pPr>
            <w:r>
              <w:rPr>
                <w:sz w:val="22"/>
              </w:rPr>
              <w:t>Tumeurs hématologiques</w:t>
            </w:r>
          </w:p>
        </w:tc>
        <w:tc>
          <w:tcPr>
            <w:tcW w:w="1556" w:type="dxa"/>
          </w:tcPr>
          <w:p>
            <w:pPr>
              <w:pStyle w:val="TableParagraph"/>
              <w:spacing w:line="247" w:lineRule="exact"/>
              <w:ind w:left="98" w:right="99"/>
              <w:jc w:val="center"/>
              <w:rPr>
                <w:sz w:val="22"/>
              </w:rPr>
            </w:pPr>
            <w:r>
              <w:rPr>
                <w:sz w:val="22"/>
              </w:rPr>
              <w:t>Dexamethason</w:t>
            </w:r>
          </w:p>
          <w:p>
            <w:pPr>
              <w:pStyle w:val="TableParagraph"/>
              <w:spacing w:line="252" w:lineRule="exact" w:before="5"/>
              <w:ind w:left="121" w:right="123"/>
              <w:jc w:val="center"/>
              <w:rPr>
                <w:sz w:val="22"/>
              </w:rPr>
            </w:pPr>
            <w:r>
              <w:rPr>
                <w:sz w:val="22"/>
              </w:rPr>
              <w:t>e          Pomalidomide</w:t>
            </w:r>
          </w:p>
        </w:tc>
        <w:tc>
          <w:tcPr>
            <w:tcW w:w="1274" w:type="dxa"/>
          </w:tcPr>
          <w:p>
            <w:pPr>
              <w:pStyle w:val="TableParagraph"/>
              <w:spacing w:line="247" w:lineRule="exact"/>
              <w:ind w:right="306"/>
              <w:jc w:val="right"/>
              <w:rPr>
                <w:sz w:val="22"/>
              </w:rPr>
            </w:pPr>
            <w:r>
              <w:rPr>
                <w:sz w:val="22"/>
              </w:rPr>
              <w:t>Phase I</w:t>
            </w:r>
          </w:p>
        </w:tc>
        <w:tc>
          <w:tcPr>
            <w:tcW w:w="3121" w:type="dxa"/>
          </w:tcPr>
          <w:p>
            <w:pPr>
              <w:pStyle w:val="TableParagraph"/>
              <w:spacing w:line="247" w:lineRule="exact"/>
              <w:ind w:left="93" w:right="93"/>
              <w:jc w:val="center"/>
              <w:rPr>
                <w:sz w:val="22"/>
              </w:rPr>
            </w:pPr>
            <w:r>
              <w:rPr>
                <w:sz w:val="22"/>
              </w:rPr>
              <w:t>Résultats non encore publiés</w:t>
            </w:r>
          </w:p>
        </w:tc>
        <w:tc>
          <w:tcPr>
            <w:tcW w:w="1844" w:type="dxa"/>
          </w:tcPr>
          <w:p>
            <w:pPr>
              <w:pStyle w:val="TableParagraph"/>
              <w:spacing w:line="202" w:lineRule="exact"/>
              <w:ind w:left="108" w:right="108"/>
              <w:jc w:val="center"/>
              <w:rPr>
                <w:sz w:val="18"/>
              </w:rPr>
            </w:pPr>
            <w:r>
              <w:rPr>
                <w:sz w:val="18"/>
              </w:rPr>
              <w:t>NCT02071888</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6" w:lineRule="exact"/>
              <w:ind w:left="103" w:right="103"/>
              <w:jc w:val="center"/>
              <w:rPr>
                <w:sz w:val="22"/>
              </w:rPr>
            </w:pPr>
            <w:r>
              <w:rPr>
                <w:sz w:val="22"/>
              </w:rPr>
              <w:t>Doses croissantes, cycle de</w:t>
            </w:r>
          </w:p>
          <w:p>
            <w:pPr>
              <w:pStyle w:val="TableParagraph"/>
              <w:spacing w:line="240" w:lineRule="exact"/>
              <w:ind w:left="103" w:right="103"/>
              <w:jc w:val="center"/>
              <w:rPr>
                <w:sz w:val="22"/>
              </w:rPr>
            </w:pPr>
            <w:r>
              <w:rPr>
                <w:sz w:val="22"/>
              </w:rPr>
              <w:t>21 ou 28 jours</w:t>
            </w:r>
          </w:p>
        </w:tc>
        <w:tc>
          <w:tcPr>
            <w:tcW w:w="2131" w:type="dxa"/>
          </w:tcPr>
          <w:p>
            <w:pPr>
              <w:pStyle w:val="TableParagraph"/>
              <w:spacing w:line="247" w:lineRule="exact"/>
              <w:ind w:left="96" w:right="96"/>
              <w:jc w:val="center"/>
              <w:rPr>
                <w:sz w:val="22"/>
              </w:rPr>
            </w:pPr>
            <w:r>
              <w:rPr>
                <w:sz w:val="22"/>
              </w:rPr>
              <w:t>Leucémies</w:t>
            </w:r>
          </w:p>
        </w:tc>
        <w:tc>
          <w:tcPr>
            <w:tcW w:w="1556" w:type="dxa"/>
          </w:tcPr>
          <w:p>
            <w:pPr>
              <w:pStyle w:val="TableParagraph"/>
              <w:spacing w:line="247" w:lineRule="exact"/>
              <w:ind w:left="122" w:right="123"/>
              <w:jc w:val="center"/>
              <w:rPr>
                <w:sz w:val="22"/>
              </w:rPr>
            </w:pPr>
            <w:r>
              <w:rPr>
                <w:sz w:val="22"/>
              </w:rPr>
              <w:t>Azacitidine</w:t>
            </w:r>
          </w:p>
        </w:tc>
        <w:tc>
          <w:tcPr>
            <w:tcW w:w="1274" w:type="dxa"/>
          </w:tcPr>
          <w:p>
            <w:pPr>
              <w:pStyle w:val="TableParagraph"/>
              <w:spacing w:line="247" w:lineRule="exact"/>
              <w:ind w:right="306"/>
              <w:jc w:val="right"/>
              <w:rPr>
                <w:sz w:val="22"/>
              </w:rPr>
            </w:pPr>
            <w:r>
              <w:rPr>
                <w:sz w:val="22"/>
              </w:rPr>
              <w:t>Phase I</w:t>
            </w:r>
          </w:p>
        </w:tc>
        <w:tc>
          <w:tcPr>
            <w:tcW w:w="3121" w:type="dxa"/>
          </w:tcPr>
          <w:p>
            <w:pPr>
              <w:pStyle w:val="TableParagraph"/>
              <w:spacing w:line="247" w:lineRule="exact"/>
              <w:ind w:left="93" w:right="93"/>
              <w:jc w:val="center"/>
              <w:rPr>
                <w:sz w:val="22"/>
              </w:rPr>
            </w:pPr>
            <w:r>
              <w:rPr>
                <w:sz w:val="22"/>
              </w:rPr>
              <w:t>Résultats non encore publiés</w:t>
            </w:r>
          </w:p>
        </w:tc>
        <w:tc>
          <w:tcPr>
            <w:tcW w:w="1844" w:type="dxa"/>
          </w:tcPr>
          <w:p>
            <w:pPr>
              <w:pStyle w:val="TableParagraph"/>
              <w:spacing w:line="202" w:lineRule="exact"/>
              <w:ind w:left="108" w:right="108"/>
              <w:jc w:val="center"/>
              <w:rPr>
                <w:sz w:val="18"/>
              </w:rPr>
            </w:pPr>
            <w:r>
              <w:rPr>
                <w:sz w:val="18"/>
              </w:rPr>
              <w:t>NCT02071927</w:t>
            </w:r>
          </w:p>
        </w:tc>
        <w:tc>
          <w:tcPr>
            <w:tcW w:w="991" w:type="dxa"/>
            <w:vMerge/>
            <w:tcBorders>
              <w:top w:val="nil"/>
            </w:tcBorders>
          </w:tcPr>
          <w:p>
            <w:pPr>
              <w:rPr>
                <w:sz w:val="2"/>
                <w:szCs w:val="2"/>
              </w:rPr>
            </w:pPr>
          </w:p>
        </w:tc>
      </w:tr>
      <w:tr>
        <w:trPr>
          <w:trHeight w:val="260" w:hRule="atLeast"/>
        </w:trPr>
        <w:tc>
          <w:tcPr>
            <w:tcW w:w="15312" w:type="dxa"/>
            <w:gridSpan w:val="8"/>
          </w:tcPr>
          <w:p>
            <w:pPr>
              <w:pStyle w:val="TableParagraph"/>
              <w:spacing w:line="256" w:lineRule="exact"/>
              <w:ind w:left="6001" w:right="5994"/>
              <w:jc w:val="center"/>
              <w:rPr>
                <w:b/>
                <w:i/>
                <w:sz w:val="24"/>
              </w:rPr>
            </w:pPr>
            <w:r>
              <w:rPr>
                <w:b/>
                <w:i/>
                <w:sz w:val="24"/>
              </w:rPr>
              <w:t>Cibler HIF-1</w:t>
            </w:r>
          </w:p>
        </w:tc>
      </w:tr>
      <w:tr>
        <w:trPr>
          <w:trHeight w:val="740" w:hRule="atLeast"/>
        </w:trPr>
        <w:tc>
          <w:tcPr>
            <w:tcW w:w="1560" w:type="dxa"/>
          </w:tcPr>
          <w:p>
            <w:pPr>
              <w:pStyle w:val="TableParagraph"/>
              <w:ind w:left="489" w:right="281" w:hanging="202"/>
              <w:rPr>
                <w:b/>
                <w:sz w:val="22"/>
              </w:rPr>
            </w:pPr>
            <w:r>
              <w:rPr>
                <w:b/>
                <w:sz w:val="22"/>
              </w:rPr>
              <w:t>Irinotecan SN-38</w:t>
            </w:r>
          </w:p>
        </w:tc>
        <w:tc>
          <w:tcPr>
            <w:tcW w:w="2835" w:type="dxa"/>
          </w:tcPr>
          <w:p>
            <w:pPr>
              <w:pStyle w:val="TableParagraph"/>
              <w:spacing w:line="247" w:lineRule="exact"/>
              <w:ind w:left="549"/>
              <w:rPr>
                <w:sz w:val="22"/>
              </w:rPr>
            </w:pPr>
            <w:r>
              <w:rPr>
                <w:sz w:val="22"/>
              </w:rPr>
              <w:t>IV tous les 28 jours</w:t>
            </w:r>
          </w:p>
        </w:tc>
        <w:tc>
          <w:tcPr>
            <w:tcW w:w="2131" w:type="dxa"/>
          </w:tcPr>
          <w:p>
            <w:pPr>
              <w:pStyle w:val="TableParagraph"/>
              <w:ind w:left="503" w:right="272" w:hanging="219"/>
              <w:rPr>
                <w:sz w:val="22"/>
              </w:rPr>
            </w:pPr>
            <w:r>
              <w:rPr>
                <w:sz w:val="22"/>
              </w:rPr>
              <w:t>Cancer colorectal métastatique</w:t>
            </w:r>
          </w:p>
        </w:tc>
        <w:tc>
          <w:tcPr>
            <w:tcW w:w="1556" w:type="dxa"/>
          </w:tcPr>
          <w:p>
            <w:pPr>
              <w:pStyle w:val="TableParagraph"/>
              <w:ind w:left="172" w:right="156" w:firstLine="117"/>
              <w:rPr>
                <w:sz w:val="22"/>
              </w:rPr>
            </w:pPr>
            <w:r>
              <w:rPr>
                <w:sz w:val="22"/>
              </w:rPr>
              <w:t>Cetuximab Bevacizumab</w:t>
            </w:r>
          </w:p>
        </w:tc>
        <w:tc>
          <w:tcPr>
            <w:tcW w:w="1274" w:type="dxa"/>
          </w:tcPr>
          <w:p>
            <w:pPr>
              <w:pStyle w:val="TableParagraph"/>
              <w:spacing w:line="247" w:lineRule="exact"/>
              <w:ind w:right="236"/>
              <w:jc w:val="right"/>
              <w:rPr>
                <w:sz w:val="22"/>
              </w:rPr>
            </w:pPr>
            <w:r>
              <w:rPr>
                <w:sz w:val="22"/>
              </w:rPr>
              <w:t>Phase III</w:t>
            </w:r>
          </w:p>
        </w:tc>
        <w:tc>
          <w:tcPr>
            <w:tcW w:w="3121" w:type="dxa"/>
          </w:tcPr>
          <w:p>
            <w:pPr>
              <w:pStyle w:val="TableParagraph"/>
              <w:ind w:left="155" w:right="158"/>
              <w:jc w:val="center"/>
              <w:rPr>
                <w:sz w:val="22"/>
              </w:rPr>
            </w:pPr>
            <w:r>
              <w:rPr>
                <w:sz w:val="22"/>
              </w:rPr>
              <w:t>Efficacité plus importante avec le cetuximab que le</w:t>
            </w:r>
          </w:p>
          <w:p>
            <w:pPr>
              <w:pStyle w:val="TableParagraph"/>
              <w:spacing w:line="238" w:lineRule="exact" w:before="8"/>
              <w:ind w:left="92" w:right="93"/>
              <w:jc w:val="center"/>
              <w:rPr>
                <w:sz w:val="22"/>
              </w:rPr>
            </w:pPr>
            <w:r>
              <w:rPr>
                <w:sz w:val="22"/>
              </w:rPr>
              <w:t>bevacizumab</w:t>
            </w:r>
          </w:p>
        </w:tc>
        <w:tc>
          <w:tcPr>
            <w:tcW w:w="1844" w:type="dxa"/>
          </w:tcPr>
          <w:p>
            <w:pPr>
              <w:pStyle w:val="TableParagraph"/>
              <w:spacing w:line="202" w:lineRule="exact"/>
              <w:ind w:left="108" w:right="108"/>
              <w:jc w:val="center"/>
              <w:rPr>
                <w:sz w:val="18"/>
              </w:rPr>
            </w:pPr>
            <w:r>
              <w:rPr>
                <w:sz w:val="18"/>
              </w:rPr>
              <w:t>NCT00499369</w:t>
            </w:r>
          </w:p>
        </w:tc>
        <w:tc>
          <w:tcPr>
            <w:tcW w:w="991" w:type="dxa"/>
          </w:tcPr>
          <w:p>
            <w:pPr>
              <w:pStyle w:val="TableParagraph"/>
              <w:spacing w:line="223" w:lineRule="exact"/>
              <w:ind w:left="109" w:right="107"/>
              <w:jc w:val="center"/>
              <w:rPr>
                <w:sz w:val="20"/>
              </w:rPr>
            </w:pPr>
            <w:r>
              <w:rPr>
                <w:sz w:val="20"/>
              </w:rPr>
              <w:t>1129</w:t>
            </w:r>
          </w:p>
        </w:tc>
      </w:tr>
      <w:tr>
        <w:trPr>
          <w:trHeight w:val="760" w:hRule="atLeast"/>
        </w:trPr>
        <w:tc>
          <w:tcPr>
            <w:tcW w:w="1560" w:type="dxa"/>
          </w:tcPr>
          <w:p>
            <w:pPr>
              <w:pStyle w:val="TableParagraph"/>
              <w:spacing w:line="252" w:lineRule="exact"/>
              <w:ind w:left="96" w:right="92"/>
              <w:jc w:val="center"/>
              <w:rPr>
                <w:b/>
                <w:sz w:val="22"/>
              </w:rPr>
            </w:pPr>
            <w:r>
              <w:rPr>
                <w:b/>
                <w:sz w:val="22"/>
              </w:rPr>
              <w:t>EZN-2968</w:t>
            </w:r>
          </w:p>
        </w:tc>
        <w:tc>
          <w:tcPr>
            <w:tcW w:w="2835" w:type="dxa"/>
          </w:tcPr>
          <w:p>
            <w:pPr>
              <w:pStyle w:val="TableParagraph"/>
              <w:spacing w:line="247" w:lineRule="exact"/>
              <w:ind w:left="101" w:right="103"/>
              <w:jc w:val="center"/>
              <w:rPr>
                <w:sz w:val="22"/>
              </w:rPr>
            </w:pPr>
            <w:r>
              <w:rPr>
                <w:sz w:val="22"/>
              </w:rPr>
              <w:t>Perfusion de 2 h toutes les</w:t>
            </w:r>
          </w:p>
          <w:p>
            <w:pPr>
              <w:pStyle w:val="TableParagraph"/>
              <w:spacing w:line="252" w:lineRule="exact" w:before="5"/>
              <w:ind w:left="101" w:right="103"/>
              <w:jc w:val="center"/>
              <w:rPr>
                <w:sz w:val="22"/>
              </w:rPr>
            </w:pPr>
            <w:r>
              <w:rPr>
                <w:sz w:val="22"/>
              </w:rPr>
              <w:t>semaines pendant 3 semaines (cycle de 6 semaines)</w:t>
            </w:r>
          </w:p>
        </w:tc>
        <w:tc>
          <w:tcPr>
            <w:tcW w:w="2131" w:type="dxa"/>
          </w:tcPr>
          <w:p>
            <w:pPr>
              <w:pStyle w:val="TableParagraph"/>
              <w:spacing w:line="247" w:lineRule="exact"/>
              <w:ind w:left="96" w:right="96"/>
              <w:jc w:val="center"/>
              <w:rPr>
                <w:sz w:val="22"/>
              </w:rPr>
            </w:pPr>
            <w:r>
              <w:rPr>
                <w:sz w:val="22"/>
              </w:rPr>
              <w:t>Différents types</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right="306"/>
              <w:jc w:val="right"/>
              <w:rPr>
                <w:sz w:val="22"/>
              </w:rPr>
            </w:pPr>
            <w:r>
              <w:rPr>
                <w:sz w:val="22"/>
              </w:rPr>
              <w:t>Phase I</w:t>
            </w:r>
          </w:p>
        </w:tc>
        <w:tc>
          <w:tcPr>
            <w:tcW w:w="3121" w:type="dxa"/>
          </w:tcPr>
          <w:p>
            <w:pPr>
              <w:pStyle w:val="TableParagraph"/>
              <w:spacing w:line="247" w:lineRule="exact"/>
              <w:ind w:left="93" w:right="93"/>
              <w:jc w:val="center"/>
              <w:rPr>
                <w:sz w:val="22"/>
              </w:rPr>
            </w:pPr>
            <w:r>
              <w:rPr>
                <w:sz w:val="22"/>
              </w:rPr>
              <w:t>Résultats non postés</w:t>
            </w:r>
          </w:p>
        </w:tc>
        <w:tc>
          <w:tcPr>
            <w:tcW w:w="1844" w:type="dxa"/>
          </w:tcPr>
          <w:p>
            <w:pPr>
              <w:pStyle w:val="TableParagraph"/>
              <w:spacing w:line="203" w:lineRule="exact"/>
              <w:ind w:left="108" w:right="108"/>
              <w:jc w:val="center"/>
              <w:rPr>
                <w:sz w:val="18"/>
              </w:rPr>
            </w:pPr>
            <w:r>
              <w:rPr>
                <w:sz w:val="18"/>
              </w:rPr>
              <w:t>NCT00466583</w:t>
            </w:r>
          </w:p>
        </w:tc>
        <w:tc>
          <w:tcPr>
            <w:tcW w:w="991" w:type="dxa"/>
          </w:tcPr>
          <w:p>
            <w:pPr>
              <w:pStyle w:val="TableParagraph"/>
              <w:spacing w:line="268" w:lineRule="exact"/>
              <w:jc w:val="center"/>
              <w:rPr>
                <w:sz w:val="24"/>
              </w:rPr>
            </w:pPr>
            <w:r>
              <w:rPr>
                <w:sz w:val="24"/>
              </w:rPr>
              <w:t>3</w:t>
            </w:r>
          </w:p>
        </w:tc>
      </w:tr>
      <w:tr>
        <w:trPr>
          <w:trHeight w:val="500" w:hRule="atLeast"/>
        </w:trPr>
        <w:tc>
          <w:tcPr>
            <w:tcW w:w="1560" w:type="dxa"/>
          </w:tcPr>
          <w:p>
            <w:pPr>
              <w:pStyle w:val="TableParagraph"/>
              <w:spacing w:line="251" w:lineRule="exact"/>
              <w:ind w:left="96" w:right="92"/>
              <w:jc w:val="center"/>
              <w:rPr>
                <w:b/>
                <w:sz w:val="22"/>
              </w:rPr>
            </w:pPr>
            <w:r>
              <w:rPr>
                <w:b/>
                <w:sz w:val="22"/>
              </w:rPr>
              <w:t>EZN-2208</w:t>
            </w:r>
          </w:p>
        </w:tc>
        <w:tc>
          <w:tcPr>
            <w:tcW w:w="2835" w:type="dxa"/>
          </w:tcPr>
          <w:p>
            <w:pPr>
              <w:pStyle w:val="TableParagraph"/>
              <w:spacing w:line="246" w:lineRule="exact"/>
              <w:ind w:left="102" w:right="103"/>
              <w:jc w:val="center"/>
              <w:rPr>
                <w:sz w:val="22"/>
              </w:rPr>
            </w:pPr>
            <w:r>
              <w:rPr>
                <w:sz w:val="22"/>
              </w:rPr>
              <w:t>12-30 mg/m² IV 1 h tous les</w:t>
            </w:r>
          </w:p>
          <w:p>
            <w:pPr>
              <w:pStyle w:val="TableParagraph"/>
              <w:spacing w:line="240" w:lineRule="exact"/>
              <w:ind w:left="101" w:right="103"/>
              <w:jc w:val="center"/>
              <w:rPr>
                <w:sz w:val="22"/>
              </w:rPr>
            </w:pPr>
            <w:r>
              <w:rPr>
                <w:sz w:val="22"/>
              </w:rPr>
              <w:t>21 j</w:t>
            </w:r>
          </w:p>
        </w:tc>
        <w:tc>
          <w:tcPr>
            <w:tcW w:w="2131" w:type="dxa"/>
          </w:tcPr>
          <w:p>
            <w:pPr>
              <w:pStyle w:val="TableParagraph"/>
              <w:spacing w:line="247" w:lineRule="exact"/>
              <w:ind w:left="96" w:right="96"/>
              <w:jc w:val="center"/>
              <w:rPr>
                <w:sz w:val="22"/>
              </w:rPr>
            </w:pPr>
            <w:r>
              <w:rPr>
                <w:sz w:val="22"/>
              </w:rPr>
              <w:t>Neuroblastome</w:t>
            </w:r>
          </w:p>
        </w:tc>
        <w:tc>
          <w:tcPr>
            <w:tcW w:w="1556" w:type="dxa"/>
          </w:tcPr>
          <w:p>
            <w:pPr>
              <w:pStyle w:val="TableParagraph"/>
              <w:spacing w:line="247" w:lineRule="exact"/>
              <w:ind w:left="122" w:right="123"/>
              <w:jc w:val="center"/>
              <w:rPr>
                <w:sz w:val="22"/>
              </w:rPr>
            </w:pPr>
            <w:r>
              <w:rPr>
                <w:sz w:val="22"/>
              </w:rPr>
              <w:t>Filgrastime</w:t>
            </w:r>
          </w:p>
        </w:tc>
        <w:tc>
          <w:tcPr>
            <w:tcW w:w="1274" w:type="dxa"/>
          </w:tcPr>
          <w:p>
            <w:pPr>
              <w:pStyle w:val="TableParagraph"/>
              <w:spacing w:line="247" w:lineRule="exact"/>
              <w:ind w:right="306"/>
              <w:jc w:val="right"/>
              <w:rPr>
                <w:sz w:val="22"/>
              </w:rPr>
            </w:pPr>
            <w:r>
              <w:rPr>
                <w:sz w:val="22"/>
              </w:rPr>
              <w:t>Phase I</w:t>
            </w:r>
          </w:p>
        </w:tc>
        <w:tc>
          <w:tcPr>
            <w:tcW w:w="3121" w:type="dxa"/>
          </w:tcPr>
          <w:p>
            <w:pPr>
              <w:pStyle w:val="TableParagraph"/>
              <w:spacing w:line="247" w:lineRule="exact"/>
              <w:ind w:left="93" w:right="92"/>
              <w:jc w:val="center"/>
              <w:rPr>
                <w:sz w:val="22"/>
              </w:rPr>
            </w:pPr>
            <w:r>
              <w:rPr>
                <w:sz w:val="22"/>
              </w:rPr>
              <w:t>24 mg/m² dose retenue</w:t>
            </w:r>
          </w:p>
        </w:tc>
        <w:tc>
          <w:tcPr>
            <w:tcW w:w="1844" w:type="dxa"/>
          </w:tcPr>
          <w:p>
            <w:pPr>
              <w:pStyle w:val="TableParagraph"/>
              <w:spacing w:line="202" w:lineRule="exact"/>
              <w:ind w:left="108" w:right="108"/>
              <w:jc w:val="center"/>
              <w:rPr>
                <w:sz w:val="18"/>
              </w:rPr>
            </w:pPr>
            <w:r>
              <w:rPr>
                <w:sz w:val="18"/>
              </w:rPr>
              <w:t>Norris et al., 2014</w:t>
            </w:r>
          </w:p>
        </w:tc>
        <w:tc>
          <w:tcPr>
            <w:tcW w:w="991" w:type="dxa"/>
          </w:tcPr>
          <w:p>
            <w:pPr>
              <w:pStyle w:val="TableParagraph"/>
              <w:spacing w:line="223" w:lineRule="exact"/>
              <w:ind w:right="1"/>
              <w:jc w:val="center"/>
              <w:rPr>
                <w:sz w:val="20"/>
              </w:rPr>
            </w:pPr>
            <w:r>
              <w:rPr>
                <w:w w:val="99"/>
                <w:sz w:val="20"/>
              </w:rPr>
              <w:t>6</w:t>
            </w:r>
          </w:p>
        </w:tc>
      </w:tr>
    </w:tbl>
    <w:p>
      <w:pPr>
        <w:spacing w:after="0" w:line="223" w:lineRule="exact"/>
        <w:jc w:val="center"/>
        <w:rPr>
          <w:sz w:val="20"/>
        </w:rPr>
        <w:sectPr>
          <w:pgSz w:w="16840" w:h="11910" w:orient="landscape"/>
          <w:pgMar w:header="0" w:footer="998" w:top="1100" w:bottom="1180" w:left="640" w:right="640"/>
        </w:sectPr>
      </w:pPr>
    </w:p>
    <w:p>
      <w:pPr>
        <w:pStyle w:val="BodyText"/>
        <w:spacing w:before="1" w:after="1"/>
        <w:rPr>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835"/>
        <w:gridCol w:w="2131"/>
        <w:gridCol w:w="1556"/>
        <w:gridCol w:w="1274"/>
        <w:gridCol w:w="3121"/>
        <w:gridCol w:w="1844"/>
        <w:gridCol w:w="991"/>
      </w:tblGrid>
      <w:tr>
        <w:trPr>
          <w:trHeight w:val="740" w:hRule="atLeast"/>
        </w:trPr>
        <w:tc>
          <w:tcPr>
            <w:tcW w:w="1560" w:type="dxa"/>
          </w:tcPr>
          <w:p>
            <w:pPr>
              <w:pStyle w:val="TableParagraph"/>
              <w:rPr>
                <w:sz w:val="20"/>
              </w:rPr>
            </w:pPr>
          </w:p>
        </w:tc>
        <w:tc>
          <w:tcPr>
            <w:tcW w:w="2835" w:type="dxa"/>
          </w:tcPr>
          <w:p>
            <w:pPr>
              <w:pStyle w:val="TableParagraph"/>
              <w:ind w:left="883" w:right="160" w:hanging="706"/>
              <w:rPr>
                <w:sz w:val="22"/>
              </w:rPr>
            </w:pPr>
            <w:r>
              <w:rPr>
                <w:sz w:val="22"/>
              </w:rPr>
              <w:t>9 mg/m² les jours 1, 8, et 15 tous les 28 j</w:t>
            </w:r>
          </w:p>
        </w:tc>
        <w:tc>
          <w:tcPr>
            <w:tcW w:w="2131" w:type="dxa"/>
          </w:tcPr>
          <w:p>
            <w:pPr>
              <w:pStyle w:val="TableParagraph"/>
              <w:spacing w:line="247" w:lineRule="exact"/>
              <w:ind w:left="96" w:right="96"/>
              <w:jc w:val="center"/>
              <w:rPr>
                <w:sz w:val="22"/>
              </w:rPr>
            </w:pPr>
            <w:r>
              <w:rPr>
                <w:sz w:val="22"/>
              </w:rPr>
              <w:t>Cancer colorectal</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6" w:lineRule="exact"/>
              <w:ind w:left="93" w:right="93"/>
              <w:jc w:val="center"/>
              <w:rPr>
                <w:sz w:val="22"/>
              </w:rPr>
            </w:pPr>
            <w:r>
              <w:rPr>
                <w:sz w:val="22"/>
              </w:rPr>
              <w:t>Bonne tolérance</w:t>
            </w:r>
          </w:p>
          <w:p>
            <w:pPr>
              <w:pStyle w:val="TableParagraph"/>
              <w:spacing w:line="254" w:lineRule="exact" w:before="1"/>
              <w:ind w:left="92" w:right="93"/>
              <w:jc w:val="center"/>
              <w:rPr>
                <w:sz w:val="22"/>
              </w:rPr>
            </w:pPr>
            <w:r>
              <w:rPr>
                <w:sz w:val="22"/>
              </w:rPr>
              <w:t>Même survie que le groupe qui avait du cetuximab en plus</w:t>
            </w:r>
          </w:p>
        </w:tc>
        <w:tc>
          <w:tcPr>
            <w:tcW w:w="1844" w:type="dxa"/>
          </w:tcPr>
          <w:p>
            <w:pPr>
              <w:pStyle w:val="TableParagraph"/>
              <w:spacing w:line="202" w:lineRule="exact"/>
              <w:ind w:left="107" w:right="108"/>
              <w:jc w:val="center"/>
              <w:rPr>
                <w:sz w:val="18"/>
              </w:rPr>
            </w:pPr>
            <w:r>
              <w:rPr>
                <w:sz w:val="18"/>
              </w:rPr>
              <w:t>Garrett et al., 2013</w:t>
            </w:r>
          </w:p>
        </w:tc>
        <w:tc>
          <w:tcPr>
            <w:tcW w:w="991" w:type="dxa"/>
          </w:tcPr>
          <w:p>
            <w:pPr>
              <w:pStyle w:val="TableParagraph"/>
              <w:rPr>
                <w:sz w:val="20"/>
              </w:rPr>
            </w:pPr>
          </w:p>
        </w:tc>
      </w:tr>
      <w:tr>
        <w:trPr>
          <w:trHeight w:val="500" w:hRule="atLeast"/>
        </w:trPr>
        <w:tc>
          <w:tcPr>
            <w:tcW w:w="1560" w:type="dxa"/>
            <w:vMerge w:val="restart"/>
          </w:tcPr>
          <w:p>
            <w:pPr>
              <w:pStyle w:val="TableParagraph"/>
              <w:spacing w:line="251" w:lineRule="exact"/>
              <w:ind w:left="362"/>
              <w:rPr>
                <w:b/>
                <w:sz w:val="22"/>
              </w:rPr>
            </w:pPr>
            <w:r>
              <w:rPr>
                <w:b/>
                <w:sz w:val="22"/>
              </w:rPr>
              <w:t>Digoxine</w:t>
            </w:r>
          </w:p>
        </w:tc>
        <w:tc>
          <w:tcPr>
            <w:tcW w:w="2835" w:type="dxa"/>
          </w:tcPr>
          <w:p>
            <w:pPr>
              <w:pStyle w:val="TableParagraph"/>
              <w:spacing w:line="247" w:lineRule="exact"/>
              <w:ind w:left="103" w:right="103"/>
              <w:jc w:val="center"/>
              <w:rPr>
                <w:sz w:val="22"/>
              </w:rPr>
            </w:pPr>
            <w:r>
              <w:rPr>
                <w:sz w:val="22"/>
              </w:rPr>
              <w:t>Tous les jours deux semaines</w:t>
            </w:r>
          </w:p>
          <w:p>
            <w:pPr>
              <w:pStyle w:val="TableParagraph"/>
              <w:spacing w:line="238" w:lineRule="exact" w:before="1"/>
              <w:ind w:left="103" w:right="103"/>
              <w:jc w:val="center"/>
              <w:rPr>
                <w:sz w:val="22"/>
              </w:rPr>
            </w:pPr>
            <w:r>
              <w:rPr>
                <w:sz w:val="22"/>
              </w:rPr>
              <w:t>avant la chirurgie</w:t>
            </w:r>
          </w:p>
        </w:tc>
        <w:tc>
          <w:tcPr>
            <w:tcW w:w="2131" w:type="dxa"/>
          </w:tcPr>
          <w:p>
            <w:pPr>
              <w:pStyle w:val="TableParagraph"/>
              <w:spacing w:line="247" w:lineRule="exact"/>
              <w:ind w:left="96" w:right="96"/>
              <w:jc w:val="center"/>
              <w:rPr>
                <w:sz w:val="22"/>
              </w:rPr>
            </w:pPr>
            <w:r>
              <w:rPr>
                <w:sz w:val="22"/>
              </w:rPr>
              <w:t>Cancer du sein</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7" w:lineRule="exact"/>
              <w:ind w:left="93" w:right="93"/>
              <w:jc w:val="center"/>
              <w:rPr>
                <w:sz w:val="22"/>
              </w:rPr>
            </w:pPr>
            <w:r>
              <w:rPr>
                <w:sz w:val="22"/>
              </w:rPr>
              <w:t>En cours</w:t>
            </w:r>
          </w:p>
        </w:tc>
        <w:tc>
          <w:tcPr>
            <w:tcW w:w="1844" w:type="dxa"/>
          </w:tcPr>
          <w:p>
            <w:pPr>
              <w:pStyle w:val="TableParagraph"/>
              <w:spacing w:line="202" w:lineRule="exact"/>
              <w:ind w:left="108" w:right="108"/>
              <w:jc w:val="center"/>
              <w:rPr>
                <w:sz w:val="18"/>
              </w:rPr>
            </w:pPr>
            <w:r>
              <w:rPr>
                <w:sz w:val="18"/>
              </w:rPr>
              <w:t>NCT01763931</w:t>
            </w:r>
          </w:p>
        </w:tc>
        <w:tc>
          <w:tcPr>
            <w:tcW w:w="991" w:type="dxa"/>
            <w:vMerge w:val="restart"/>
          </w:tcPr>
          <w:p>
            <w:pPr>
              <w:pStyle w:val="TableParagraph"/>
              <w:spacing w:line="223" w:lineRule="exact"/>
              <w:ind w:left="109" w:right="107"/>
              <w:jc w:val="center"/>
              <w:rPr>
                <w:sz w:val="20"/>
              </w:rPr>
            </w:pPr>
            <w:r>
              <w:rPr>
                <w:sz w:val="20"/>
              </w:rPr>
              <w:t>18</w:t>
            </w:r>
          </w:p>
        </w:tc>
      </w:tr>
      <w:tr>
        <w:trPr>
          <w:trHeight w:val="240" w:hRule="atLeast"/>
        </w:trPr>
        <w:tc>
          <w:tcPr>
            <w:tcW w:w="1560" w:type="dxa"/>
            <w:vMerge/>
            <w:tcBorders>
              <w:top w:val="nil"/>
            </w:tcBorders>
          </w:tcPr>
          <w:p>
            <w:pPr>
              <w:rPr>
                <w:sz w:val="2"/>
                <w:szCs w:val="2"/>
              </w:rPr>
            </w:pPr>
          </w:p>
        </w:tc>
        <w:tc>
          <w:tcPr>
            <w:tcW w:w="2835" w:type="dxa"/>
          </w:tcPr>
          <w:p>
            <w:pPr>
              <w:pStyle w:val="TableParagraph"/>
              <w:spacing w:line="234" w:lineRule="exact"/>
              <w:ind w:left="103" w:right="102"/>
              <w:jc w:val="center"/>
              <w:rPr>
                <w:sz w:val="22"/>
              </w:rPr>
            </w:pPr>
            <w:r>
              <w:rPr>
                <w:sz w:val="22"/>
              </w:rPr>
              <w:t>Non communiqué</w:t>
            </w:r>
          </w:p>
        </w:tc>
        <w:tc>
          <w:tcPr>
            <w:tcW w:w="2131" w:type="dxa"/>
          </w:tcPr>
          <w:p>
            <w:pPr>
              <w:pStyle w:val="TableParagraph"/>
              <w:spacing w:line="234" w:lineRule="exact"/>
              <w:ind w:left="96" w:right="96"/>
              <w:jc w:val="center"/>
              <w:rPr>
                <w:sz w:val="22"/>
              </w:rPr>
            </w:pPr>
            <w:r>
              <w:rPr>
                <w:sz w:val="22"/>
              </w:rPr>
              <w:t>Cancer du poumon</w:t>
            </w:r>
          </w:p>
        </w:tc>
        <w:tc>
          <w:tcPr>
            <w:tcW w:w="1556" w:type="dxa"/>
          </w:tcPr>
          <w:p>
            <w:pPr>
              <w:pStyle w:val="TableParagraph"/>
              <w:spacing w:line="234" w:lineRule="exact"/>
              <w:ind w:left="123" w:right="122"/>
              <w:jc w:val="center"/>
              <w:rPr>
                <w:sz w:val="22"/>
              </w:rPr>
            </w:pPr>
            <w:r>
              <w:rPr>
                <w:sz w:val="22"/>
              </w:rPr>
              <w:t>Erlotinib</w:t>
            </w:r>
          </w:p>
        </w:tc>
        <w:tc>
          <w:tcPr>
            <w:tcW w:w="1274" w:type="dxa"/>
          </w:tcPr>
          <w:p>
            <w:pPr>
              <w:pStyle w:val="TableParagraph"/>
              <w:spacing w:line="234" w:lineRule="exact"/>
              <w:ind w:left="113" w:right="114"/>
              <w:jc w:val="center"/>
              <w:rPr>
                <w:sz w:val="22"/>
              </w:rPr>
            </w:pPr>
            <w:r>
              <w:rPr>
                <w:sz w:val="22"/>
              </w:rPr>
              <w:t>Phase II</w:t>
            </w:r>
          </w:p>
        </w:tc>
        <w:tc>
          <w:tcPr>
            <w:tcW w:w="3121" w:type="dxa"/>
          </w:tcPr>
          <w:p>
            <w:pPr>
              <w:pStyle w:val="TableParagraph"/>
              <w:spacing w:line="234" w:lineRule="exact"/>
              <w:ind w:left="93" w:right="93"/>
              <w:jc w:val="center"/>
              <w:rPr>
                <w:sz w:val="22"/>
              </w:rPr>
            </w:pPr>
            <w:r>
              <w:rPr>
                <w:sz w:val="22"/>
              </w:rPr>
              <w:t>Réponse partielle pour 1 patient</w:t>
            </w:r>
          </w:p>
        </w:tc>
        <w:tc>
          <w:tcPr>
            <w:tcW w:w="1844" w:type="dxa"/>
          </w:tcPr>
          <w:p>
            <w:pPr>
              <w:pStyle w:val="TableParagraph"/>
              <w:spacing w:line="202" w:lineRule="exact"/>
              <w:ind w:left="108" w:right="108"/>
              <w:jc w:val="center"/>
              <w:rPr>
                <w:sz w:val="18"/>
              </w:rPr>
            </w:pPr>
            <w:r>
              <w:rPr>
                <w:sz w:val="18"/>
              </w:rPr>
              <w:t>NCT00281021</w:t>
            </w:r>
          </w:p>
        </w:tc>
        <w:tc>
          <w:tcPr>
            <w:tcW w:w="991" w:type="dxa"/>
            <w:vMerge/>
            <w:tcBorders>
              <w:top w:val="nil"/>
            </w:tcBorders>
          </w:tcPr>
          <w:p>
            <w:pPr>
              <w:rPr>
                <w:sz w:val="2"/>
                <w:szCs w:val="2"/>
              </w:rPr>
            </w:pPr>
          </w:p>
        </w:tc>
      </w:tr>
      <w:tr>
        <w:trPr>
          <w:trHeight w:val="74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125-250 µg PO pendant 28 j</w:t>
            </w:r>
          </w:p>
        </w:tc>
        <w:tc>
          <w:tcPr>
            <w:tcW w:w="2131" w:type="dxa"/>
          </w:tcPr>
          <w:p>
            <w:pPr>
              <w:pStyle w:val="TableParagraph"/>
              <w:spacing w:line="247" w:lineRule="exact"/>
              <w:ind w:left="96" w:right="97"/>
              <w:jc w:val="center"/>
              <w:rPr>
                <w:sz w:val="22"/>
              </w:rPr>
            </w:pPr>
            <w:r>
              <w:rPr>
                <w:sz w:val="22"/>
              </w:rPr>
              <w:t>Cancer de la prostate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ind w:left="90" w:right="93"/>
              <w:jc w:val="center"/>
              <w:rPr>
                <w:sz w:val="22"/>
              </w:rPr>
            </w:pPr>
            <w:r>
              <w:rPr>
                <w:sz w:val="22"/>
              </w:rPr>
              <w:t>Bonne tolérance, pas de différence significative avec</w:t>
            </w:r>
          </w:p>
          <w:p>
            <w:pPr>
              <w:pStyle w:val="TableParagraph"/>
              <w:spacing w:line="238" w:lineRule="exact" w:before="8"/>
              <w:ind w:left="93" w:right="93"/>
              <w:jc w:val="center"/>
              <w:rPr>
                <w:sz w:val="22"/>
              </w:rPr>
            </w:pPr>
            <w:r>
              <w:rPr>
                <w:sz w:val="22"/>
              </w:rPr>
              <w:t>contrôles historiques</w:t>
            </w:r>
          </w:p>
        </w:tc>
        <w:tc>
          <w:tcPr>
            <w:tcW w:w="1844" w:type="dxa"/>
          </w:tcPr>
          <w:p>
            <w:pPr>
              <w:pStyle w:val="TableParagraph"/>
              <w:ind w:left="376" w:right="305" w:hanging="53"/>
              <w:rPr>
                <w:sz w:val="18"/>
              </w:rPr>
            </w:pPr>
            <w:r>
              <w:rPr>
                <w:sz w:val="18"/>
              </w:rPr>
              <w:t>Lin et al., 2014b NCT01162135</w:t>
            </w:r>
          </w:p>
        </w:tc>
        <w:tc>
          <w:tcPr>
            <w:tcW w:w="991" w:type="dxa"/>
            <w:vMerge/>
            <w:tcBorders>
              <w:top w:val="nil"/>
            </w:tcBorders>
          </w:tcPr>
          <w:p>
            <w:pPr>
              <w:rPr>
                <w:sz w:val="2"/>
                <w:szCs w:val="2"/>
              </w:rPr>
            </w:pPr>
          </w:p>
        </w:tc>
      </w:tr>
      <w:tr>
        <w:trPr>
          <w:trHeight w:val="240" w:hRule="atLeast"/>
        </w:trPr>
        <w:tc>
          <w:tcPr>
            <w:tcW w:w="1560" w:type="dxa"/>
            <w:vMerge w:val="restart"/>
          </w:tcPr>
          <w:p>
            <w:pPr>
              <w:pStyle w:val="TableParagraph"/>
              <w:spacing w:line="252" w:lineRule="exact"/>
              <w:ind w:left="280"/>
              <w:rPr>
                <w:b/>
                <w:sz w:val="22"/>
              </w:rPr>
            </w:pPr>
            <w:r>
              <w:rPr>
                <w:b/>
                <w:sz w:val="22"/>
              </w:rPr>
              <w:t>Topotecan</w:t>
            </w:r>
          </w:p>
        </w:tc>
        <w:tc>
          <w:tcPr>
            <w:tcW w:w="2835" w:type="dxa"/>
          </w:tcPr>
          <w:p>
            <w:pPr>
              <w:pStyle w:val="TableParagraph"/>
              <w:spacing w:line="235" w:lineRule="exact"/>
              <w:ind w:left="103" w:right="103"/>
              <w:jc w:val="center"/>
              <w:rPr>
                <w:sz w:val="22"/>
              </w:rPr>
            </w:pPr>
            <w:r>
              <w:rPr>
                <w:sz w:val="22"/>
              </w:rPr>
              <w:t>IV – dose non connue</w:t>
            </w:r>
          </w:p>
        </w:tc>
        <w:tc>
          <w:tcPr>
            <w:tcW w:w="2131" w:type="dxa"/>
          </w:tcPr>
          <w:p>
            <w:pPr>
              <w:pStyle w:val="TableParagraph"/>
              <w:spacing w:line="235" w:lineRule="exact"/>
              <w:ind w:left="96" w:right="96"/>
              <w:jc w:val="center"/>
              <w:rPr>
                <w:sz w:val="22"/>
              </w:rPr>
            </w:pPr>
            <w:r>
              <w:rPr>
                <w:sz w:val="22"/>
              </w:rPr>
              <w:t>Différents types</w:t>
            </w:r>
          </w:p>
        </w:tc>
        <w:tc>
          <w:tcPr>
            <w:tcW w:w="1556" w:type="dxa"/>
          </w:tcPr>
          <w:p>
            <w:pPr>
              <w:pStyle w:val="TableParagraph"/>
              <w:spacing w:line="235" w:lineRule="exact"/>
              <w:ind w:left="98" w:right="99"/>
              <w:jc w:val="center"/>
              <w:rPr>
                <w:sz w:val="22"/>
              </w:rPr>
            </w:pPr>
            <w:r>
              <w:rPr>
                <w:sz w:val="22"/>
              </w:rPr>
              <w:t>Acétylcystéine</w:t>
            </w:r>
          </w:p>
        </w:tc>
        <w:tc>
          <w:tcPr>
            <w:tcW w:w="1274" w:type="dxa"/>
          </w:tcPr>
          <w:p>
            <w:pPr>
              <w:pStyle w:val="TableParagraph"/>
              <w:spacing w:line="235" w:lineRule="exact"/>
              <w:ind w:left="113" w:right="114"/>
              <w:jc w:val="center"/>
              <w:rPr>
                <w:sz w:val="22"/>
              </w:rPr>
            </w:pPr>
            <w:r>
              <w:rPr>
                <w:sz w:val="22"/>
              </w:rPr>
              <w:t>Phase II</w:t>
            </w:r>
          </w:p>
        </w:tc>
        <w:tc>
          <w:tcPr>
            <w:tcW w:w="3121" w:type="dxa"/>
          </w:tcPr>
          <w:p>
            <w:pPr>
              <w:pStyle w:val="TableParagraph"/>
              <w:spacing w:line="235" w:lineRule="exact"/>
              <w:ind w:left="93" w:right="93"/>
              <w:jc w:val="center"/>
              <w:rPr>
                <w:sz w:val="22"/>
              </w:rPr>
            </w:pPr>
            <w:r>
              <w:rPr>
                <w:sz w:val="22"/>
              </w:rPr>
              <w:t>En cours</w:t>
            </w:r>
          </w:p>
        </w:tc>
        <w:tc>
          <w:tcPr>
            <w:tcW w:w="1844" w:type="dxa"/>
          </w:tcPr>
          <w:p>
            <w:pPr>
              <w:pStyle w:val="TableParagraph"/>
              <w:spacing w:line="203" w:lineRule="exact"/>
              <w:ind w:left="108" w:right="108"/>
              <w:jc w:val="center"/>
              <w:rPr>
                <w:sz w:val="18"/>
              </w:rPr>
            </w:pPr>
            <w:r>
              <w:rPr>
                <w:sz w:val="18"/>
              </w:rPr>
              <w:t>NCT02569957</w:t>
            </w:r>
          </w:p>
        </w:tc>
        <w:tc>
          <w:tcPr>
            <w:tcW w:w="991" w:type="dxa"/>
            <w:vMerge w:val="restart"/>
          </w:tcPr>
          <w:p>
            <w:pPr>
              <w:pStyle w:val="TableParagraph"/>
              <w:spacing w:line="224" w:lineRule="exact"/>
              <w:ind w:left="109" w:right="107"/>
              <w:jc w:val="center"/>
              <w:rPr>
                <w:sz w:val="20"/>
              </w:rPr>
            </w:pPr>
            <w:r>
              <w:rPr>
                <w:sz w:val="20"/>
              </w:rPr>
              <w:t>349</w:t>
            </w: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1 mg/m² pendant 3 j</w:t>
            </w:r>
          </w:p>
        </w:tc>
        <w:tc>
          <w:tcPr>
            <w:tcW w:w="2131" w:type="dxa"/>
          </w:tcPr>
          <w:p>
            <w:pPr>
              <w:pStyle w:val="TableParagraph"/>
              <w:spacing w:line="247" w:lineRule="exact"/>
              <w:ind w:left="96" w:right="96"/>
              <w:jc w:val="center"/>
              <w:rPr>
                <w:sz w:val="22"/>
              </w:rPr>
            </w:pPr>
            <w:r>
              <w:rPr>
                <w:sz w:val="22"/>
              </w:rPr>
              <w:t>Cancer du poumon</w:t>
            </w:r>
          </w:p>
        </w:tc>
        <w:tc>
          <w:tcPr>
            <w:tcW w:w="1556" w:type="dxa"/>
          </w:tcPr>
          <w:p>
            <w:pPr>
              <w:pStyle w:val="TableParagraph"/>
              <w:spacing w:line="246" w:lineRule="exact"/>
              <w:ind w:left="123" w:right="122"/>
              <w:jc w:val="center"/>
              <w:rPr>
                <w:sz w:val="22"/>
              </w:rPr>
            </w:pPr>
            <w:r>
              <w:rPr>
                <w:sz w:val="22"/>
              </w:rPr>
              <w:t>Cisplatine</w:t>
            </w:r>
          </w:p>
          <w:p>
            <w:pPr>
              <w:pStyle w:val="TableParagraph"/>
              <w:spacing w:line="240" w:lineRule="exact"/>
              <w:ind w:left="123" w:right="122"/>
              <w:jc w:val="center"/>
              <w:rPr>
                <w:sz w:val="22"/>
              </w:rPr>
            </w:pPr>
            <w:r>
              <w:rPr>
                <w:sz w:val="22"/>
              </w:rPr>
              <w:t>Radiothérapie</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6" w:lineRule="exact"/>
              <w:ind w:left="93" w:right="93"/>
              <w:jc w:val="center"/>
              <w:rPr>
                <w:sz w:val="22"/>
              </w:rPr>
            </w:pPr>
            <w:r>
              <w:rPr>
                <w:sz w:val="22"/>
              </w:rPr>
              <w:t>Neutropénie</w:t>
            </w:r>
          </w:p>
          <w:p>
            <w:pPr>
              <w:pStyle w:val="TableParagraph"/>
              <w:spacing w:line="240" w:lineRule="exact"/>
              <w:ind w:left="93" w:right="93"/>
              <w:jc w:val="center"/>
              <w:rPr>
                <w:sz w:val="22"/>
              </w:rPr>
            </w:pPr>
            <w:r>
              <w:rPr>
                <w:sz w:val="22"/>
              </w:rPr>
              <w:t>Survie augmentée</w:t>
            </w:r>
          </w:p>
        </w:tc>
        <w:tc>
          <w:tcPr>
            <w:tcW w:w="1844" w:type="dxa"/>
          </w:tcPr>
          <w:p>
            <w:pPr>
              <w:pStyle w:val="TableParagraph"/>
              <w:spacing w:line="202" w:lineRule="exact"/>
              <w:ind w:left="107" w:right="108"/>
              <w:jc w:val="center"/>
              <w:rPr>
                <w:sz w:val="18"/>
              </w:rPr>
            </w:pPr>
            <w:r>
              <w:rPr>
                <w:sz w:val="18"/>
              </w:rPr>
              <w:t>Kubo et al., 2016</w:t>
            </w:r>
          </w:p>
        </w:tc>
        <w:tc>
          <w:tcPr>
            <w:tcW w:w="991" w:type="dxa"/>
            <w:vMerge/>
            <w:tcBorders>
              <w:top w:val="nil"/>
            </w:tcBorders>
          </w:tcPr>
          <w:p>
            <w:pPr>
              <w:rPr>
                <w:sz w:val="2"/>
                <w:szCs w:val="2"/>
              </w:rPr>
            </w:pPr>
          </w:p>
        </w:tc>
      </w:tr>
      <w:tr>
        <w:trPr>
          <w:trHeight w:val="1000" w:hRule="atLeast"/>
        </w:trPr>
        <w:tc>
          <w:tcPr>
            <w:tcW w:w="1560" w:type="dxa"/>
            <w:vMerge/>
            <w:tcBorders>
              <w:top w:val="nil"/>
            </w:tcBorders>
          </w:tcPr>
          <w:p>
            <w:pPr>
              <w:rPr>
                <w:sz w:val="2"/>
                <w:szCs w:val="2"/>
              </w:rPr>
            </w:pPr>
          </w:p>
        </w:tc>
        <w:tc>
          <w:tcPr>
            <w:tcW w:w="2835" w:type="dxa"/>
          </w:tcPr>
          <w:p>
            <w:pPr>
              <w:pStyle w:val="TableParagraph"/>
              <w:ind w:left="177" w:right="177"/>
              <w:jc w:val="center"/>
              <w:rPr>
                <w:sz w:val="22"/>
              </w:rPr>
            </w:pPr>
            <w:r>
              <w:rPr>
                <w:sz w:val="22"/>
              </w:rPr>
              <w:t>4,0 mg/m²/jour les jours 1-8 et 15 d’un cycle de 28 j</w:t>
            </w:r>
          </w:p>
          <w:p>
            <w:pPr>
              <w:pStyle w:val="TableParagraph"/>
              <w:spacing w:line="252" w:lineRule="exact" w:before="11"/>
              <w:ind w:left="102" w:right="103"/>
              <w:jc w:val="center"/>
              <w:rPr>
                <w:sz w:val="22"/>
              </w:rPr>
            </w:pPr>
            <w:r>
              <w:rPr>
                <w:sz w:val="22"/>
              </w:rPr>
              <w:t>OU 1,25 mg/m²/jour pendant 5 jours tous les 21 j</w:t>
            </w:r>
          </w:p>
        </w:tc>
        <w:tc>
          <w:tcPr>
            <w:tcW w:w="2131" w:type="dxa"/>
          </w:tcPr>
          <w:p>
            <w:pPr>
              <w:pStyle w:val="TableParagraph"/>
              <w:ind w:left="369" w:right="272" w:hanging="80"/>
              <w:rPr>
                <w:sz w:val="22"/>
              </w:rPr>
            </w:pPr>
            <w:r>
              <w:rPr>
                <w:sz w:val="22"/>
              </w:rPr>
              <w:t>Différents types - gynécologiques</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ind w:left="158" w:right="158"/>
              <w:jc w:val="center"/>
              <w:rPr>
                <w:sz w:val="22"/>
              </w:rPr>
            </w:pPr>
            <w:r>
              <w:rPr>
                <w:sz w:val="22"/>
              </w:rPr>
              <w:t>Toxicité moins importante pour traitement (J1, J8, J15) mais aussi moins d’efficacité</w:t>
            </w:r>
          </w:p>
        </w:tc>
        <w:tc>
          <w:tcPr>
            <w:tcW w:w="1844" w:type="dxa"/>
          </w:tcPr>
          <w:p>
            <w:pPr>
              <w:pStyle w:val="TableParagraph"/>
              <w:ind w:left="376" w:right="212" w:hanging="149"/>
              <w:rPr>
                <w:sz w:val="18"/>
              </w:rPr>
            </w:pPr>
            <w:r>
              <w:rPr>
                <w:sz w:val="18"/>
              </w:rPr>
              <w:t>Herzog et al., 2011 NCT00114166</w:t>
            </w:r>
          </w:p>
        </w:tc>
        <w:tc>
          <w:tcPr>
            <w:tcW w:w="991" w:type="dxa"/>
            <w:vMerge/>
            <w:tcBorders>
              <w:top w:val="nil"/>
            </w:tcBorders>
          </w:tcPr>
          <w:p>
            <w:pPr>
              <w:rPr>
                <w:sz w:val="2"/>
                <w:szCs w:val="2"/>
              </w:rPr>
            </w:pPr>
          </w:p>
        </w:tc>
      </w:tr>
      <w:tr>
        <w:trPr>
          <w:trHeight w:val="740" w:hRule="atLeast"/>
        </w:trPr>
        <w:tc>
          <w:tcPr>
            <w:tcW w:w="1560" w:type="dxa"/>
          </w:tcPr>
          <w:p>
            <w:pPr>
              <w:pStyle w:val="TableParagraph"/>
              <w:spacing w:line="251" w:lineRule="exact"/>
              <w:ind w:left="429"/>
              <w:rPr>
                <w:b/>
                <w:sz w:val="22"/>
              </w:rPr>
            </w:pPr>
            <w:r>
              <w:rPr>
                <w:b/>
                <w:sz w:val="22"/>
              </w:rPr>
              <w:t>PX-478</w:t>
            </w:r>
          </w:p>
        </w:tc>
        <w:tc>
          <w:tcPr>
            <w:tcW w:w="2835" w:type="dxa"/>
          </w:tcPr>
          <w:p>
            <w:pPr>
              <w:pStyle w:val="TableParagraph"/>
              <w:ind w:left="100" w:right="103"/>
              <w:jc w:val="center"/>
              <w:rPr>
                <w:sz w:val="22"/>
              </w:rPr>
            </w:pPr>
            <w:r>
              <w:rPr>
                <w:sz w:val="22"/>
              </w:rPr>
              <w:t>PO, doses croissantes 5 premiers jours cycle de 21</w:t>
            </w:r>
          </w:p>
          <w:p>
            <w:pPr>
              <w:pStyle w:val="TableParagraph"/>
              <w:spacing w:line="238" w:lineRule="exact" w:before="8"/>
              <w:ind w:left="103" w:right="102"/>
              <w:jc w:val="center"/>
              <w:rPr>
                <w:sz w:val="22"/>
              </w:rPr>
            </w:pPr>
            <w:r>
              <w:rPr>
                <w:sz w:val="22"/>
              </w:rPr>
              <w:t>jours</w:t>
            </w:r>
          </w:p>
        </w:tc>
        <w:tc>
          <w:tcPr>
            <w:tcW w:w="2131" w:type="dxa"/>
          </w:tcPr>
          <w:p>
            <w:pPr>
              <w:pStyle w:val="TableParagraph"/>
              <w:ind w:left="96" w:right="95"/>
              <w:jc w:val="center"/>
              <w:rPr>
                <w:sz w:val="22"/>
              </w:rPr>
            </w:pPr>
            <w:r>
              <w:rPr>
                <w:sz w:val="22"/>
              </w:rPr>
              <w:t>Tumeurs solides avancées</w:t>
            </w:r>
          </w:p>
          <w:p>
            <w:pPr>
              <w:pStyle w:val="TableParagraph"/>
              <w:spacing w:line="238" w:lineRule="exact" w:before="8"/>
              <w:ind w:left="94" w:right="97"/>
              <w:jc w:val="center"/>
              <w:rPr>
                <w:sz w:val="22"/>
              </w:rPr>
            </w:pPr>
            <w:r>
              <w:rPr>
                <w:sz w:val="22"/>
              </w:rPr>
              <w:t>Lymphome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0"/>
              <w:jc w:val="center"/>
              <w:rPr>
                <w:sz w:val="22"/>
              </w:rPr>
            </w:pPr>
            <w:r>
              <w:rPr>
                <w:sz w:val="22"/>
              </w:rPr>
              <w:t>Phase I</w:t>
            </w:r>
          </w:p>
        </w:tc>
        <w:tc>
          <w:tcPr>
            <w:tcW w:w="3121" w:type="dxa"/>
          </w:tcPr>
          <w:p>
            <w:pPr>
              <w:pStyle w:val="TableParagraph"/>
              <w:spacing w:line="247" w:lineRule="exact"/>
              <w:ind w:left="93" w:right="93"/>
              <w:jc w:val="center"/>
              <w:rPr>
                <w:sz w:val="22"/>
              </w:rPr>
            </w:pPr>
            <w:r>
              <w:rPr>
                <w:sz w:val="22"/>
              </w:rPr>
              <w:t>En cours</w:t>
            </w:r>
          </w:p>
        </w:tc>
        <w:tc>
          <w:tcPr>
            <w:tcW w:w="1844" w:type="dxa"/>
          </w:tcPr>
          <w:p>
            <w:pPr>
              <w:pStyle w:val="TableParagraph"/>
              <w:spacing w:line="202" w:lineRule="exact"/>
              <w:ind w:left="108" w:right="108"/>
              <w:jc w:val="center"/>
              <w:rPr>
                <w:sz w:val="18"/>
              </w:rPr>
            </w:pPr>
            <w:r>
              <w:rPr>
                <w:sz w:val="18"/>
              </w:rPr>
              <w:t>NCT0022652</w:t>
            </w:r>
          </w:p>
        </w:tc>
        <w:tc>
          <w:tcPr>
            <w:tcW w:w="991" w:type="dxa"/>
          </w:tcPr>
          <w:p>
            <w:pPr>
              <w:pStyle w:val="TableParagraph"/>
              <w:spacing w:line="223" w:lineRule="exact"/>
              <w:ind w:right="1"/>
              <w:jc w:val="center"/>
              <w:rPr>
                <w:sz w:val="20"/>
              </w:rPr>
            </w:pPr>
            <w:r>
              <w:rPr>
                <w:w w:val="99"/>
                <w:sz w:val="20"/>
              </w:rPr>
              <w:t>1</w:t>
            </w:r>
          </w:p>
        </w:tc>
      </w:tr>
      <w:tr>
        <w:trPr>
          <w:trHeight w:val="500" w:hRule="atLeast"/>
        </w:trPr>
        <w:tc>
          <w:tcPr>
            <w:tcW w:w="14321" w:type="dxa"/>
            <w:gridSpan w:val="7"/>
          </w:tcPr>
          <w:p>
            <w:pPr>
              <w:pStyle w:val="TableParagraph"/>
              <w:spacing w:line="273" w:lineRule="exact"/>
              <w:ind w:left="5148" w:right="5145"/>
              <w:jc w:val="center"/>
              <w:rPr>
                <w:b/>
                <w:i/>
                <w:sz w:val="24"/>
              </w:rPr>
            </w:pPr>
            <w:r>
              <w:rPr>
                <w:b/>
                <w:i/>
                <w:sz w:val="24"/>
              </w:rPr>
              <w:t>Cibler la voie AMPK – m TOR</w:t>
            </w:r>
          </w:p>
        </w:tc>
        <w:tc>
          <w:tcPr>
            <w:tcW w:w="991" w:type="dxa"/>
          </w:tcPr>
          <w:p>
            <w:pPr>
              <w:pStyle w:val="TableParagraph"/>
              <w:rPr>
                <w:sz w:val="20"/>
              </w:rPr>
            </w:pPr>
          </w:p>
        </w:tc>
      </w:tr>
      <w:tr>
        <w:trPr>
          <w:trHeight w:val="400" w:hRule="atLeast"/>
        </w:trPr>
        <w:tc>
          <w:tcPr>
            <w:tcW w:w="1560" w:type="dxa"/>
            <w:vMerge w:val="restart"/>
          </w:tcPr>
          <w:p>
            <w:pPr>
              <w:pStyle w:val="TableParagraph"/>
              <w:spacing w:line="251" w:lineRule="exact"/>
              <w:ind w:left="215"/>
              <w:rPr>
                <w:b/>
                <w:sz w:val="22"/>
              </w:rPr>
            </w:pPr>
            <w:r>
              <w:rPr>
                <w:b/>
                <w:sz w:val="22"/>
              </w:rPr>
              <w:t>Metformine</w:t>
            </w:r>
          </w:p>
        </w:tc>
        <w:tc>
          <w:tcPr>
            <w:tcW w:w="2835" w:type="dxa"/>
          </w:tcPr>
          <w:p>
            <w:pPr>
              <w:pStyle w:val="TableParagraph"/>
              <w:spacing w:line="247" w:lineRule="exact"/>
              <w:ind w:left="101" w:right="103"/>
              <w:jc w:val="center"/>
              <w:rPr>
                <w:sz w:val="22"/>
              </w:rPr>
            </w:pPr>
            <w:r>
              <w:rPr>
                <w:sz w:val="22"/>
              </w:rPr>
              <w:t>250 mg PO SID</w:t>
            </w:r>
          </w:p>
        </w:tc>
        <w:tc>
          <w:tcPr>
            <w:tcW w:w="2131" w:type="dxa"/>
          </w:tcPr>
          <w:p>
            <w:pPr>
              <w:pStyle w:val="TableParagraph"/>
              <w:spacing w:line="247" w:lineRule="exact"/>
              <w:ind w:left="96" w:right="97"/>
              <w:jc w:val="center"/>
              <w:rPr>
                <w:sz w:val="22"/>
              </w:rPr>
            </w:pPr>
            <w:r>
              <w:rPr>
                <w:sz w:val="22"/>
              </w:rPr>
              <w:t>Polypes colorectaux</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III</w:t>
            </w:r>
          </w:p>
        </w:tc>
        <w:tc>
          <w:tcPr>
            <w:tcW w:w="3121" w:type="dxa"/>
          </w:tcPr>
          <w:p>
            <w:pPr>
              <w:pStyle w:val="TableParagraph"/>
              <w:spacing w:line="247" w:lineRule="exact"/>
              <w:ind w:left="93" w:right="92"/>
              <w:jc w:val="center"/>
              <w:rPr>
                <w:sz w:val="22"/>
              </w:rPr>
            </w:pPr>
            <w:r>
              <w:rPr>
                <w:sz w:val="22"/>
              </w:rPr>
              <w:t>Moins de polypes - prévention</w:t>
            </w:r>
          </w:p>
        </w:tc>
        <w:tc>
          <w:tcPr>
            <w:tcW w:w="1844" w:type="dxa"/>
          </w:tcPr>
          <w:p>
            <w:pPr>
              <w:pStyle w:val="TableParagraph"/>
              <w:spacing w:line="202" w:lineRule="exact"/>
              <w:ind w:left="108" w:right="108"/>
              <w:jc w:val="center"/>
              <w:rPr>
                <w:sz w:val="18"/>
              </w:rPr>
            </w:pPr>
            <w:r>
              <w:rPr>
                <w:sz w:val="18"/>
              </w:rPr>
              <w:t>Higurashi et al., 2016</w:t>
            </w:r>
          </w:p>
          <w:p>
            <w:pPr>
              <w:pStyle w:val="TableParagraph"/>
              <w:spacing w:line="191" w:lineRule="exact"/>
              <w:ind w:left="108" w:right="108"/>
              <w:jc w:val="center"/>
              <w:rPr>
                <w:sz w:val="18"/>
              </w:rPr>
            </w:pPr>
            <w:r>
              <w:rPr>
                <w:sz w:val="18"/>
              </w:rPr>
              <w:t>UMIN000006254</w:t>
            </w:r>
          </w:p>
        </w:tc>
        <w:tc>
          <w:tcPr>
            <w:tcW w:w="991" w:type="dxa"/>
            <w:vMerge w:val="restart"/>
          </w:tcPr>
          <w:p>
            <w:pPr>
              <w:pStyle w:val="TableParagraph"/>
              <w:spacing w:line="223" w:lineRule="exact"/>
              <w:ind w:left="109" w:right="107"/>
              <w:jc w:val="center"/>
              <w:rPr>
                <w:sz w:val="20"/>
              </w:rPr>
            </w:pPr>
            <w:r>
              <w:rPr>
                <w:sz w:val="20"/>
              </w:rPr>
              <w:t>283</w:t>
            </w:r>
          </w:p>
        </w:tc>
      </w:tr>
      <w:tr>
        <w:trPr>
          <w:trHeight w:val="10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500 mg TID</w:t>
            </w:r>
          </w:p>
        </w:tc>
        <w:tc>
          <w:tcPr>
            <w:tcW w:w="2131" w:type="dxa"/>
          </w:tcPr>
          <w:p>
            <w:pPr>
              <w:pStyle w:val="TableParagraph"/>
              <w:spacing w:line="242" w:lineRule="auto"/>
              <w:ind w:left="722" w:right="388" w:hanging="317"/>
              <w:rPr>
                <w:sz w:val="22"/>
              </w:rPr>
            </w:pPr>
            <w:r>
              <w:rPr>
                <w:sz w:val="22"/>
              </w:rPr>
              <w:t>Cancer du sein HER2+</w:t>
            </w:r>
          </w:p>
        </w:tc>
        <w:tc>
          <w:tcPr>
            <w:tcW w:w="1556" w:type="dxa"/>
          </w:tcPr>
          <w:p>
            <w:pPr>
              <w:pStyle w:val="TableParagraph"/>
              <w:ind w:left="136" w:right="134"/>
              <w:jc w:val="center"/>
              <w:rPr>
                <w:sz w:val="22"/>
              </w:rPr>
            </w:pPr>
            <w:r>
              <w:rPr>
                <w:sz w:val="22"/>
              </w:rPr>
              <w:t>Chimiothérapi e néo adjuvante</w:t>
            </w:r>
          </w:p>
          <w:p>
            <w:pPr>
              <w:pStyle w:val="TableParagraph"/>
              <w:spacing w:line="238" w:lineRule="exact" w:before="8"/>
              <w:ind w:left="120" w:right="123"/>
              <w:jc w:val="center"/>
              <w:rPr>
                <w:sz w:val="22"/>
              </w:rPr>
            </w:pPr>
            <w:r>
              <w:rPr>
                <w:sz w:val="22"/>
              </w:rPr>
              <w:t>Trastuzumab</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7" w:lineRule="exact"/>
              <w:ind w:left="93" w:right="93"/>
              <w:jc w:val="center"/>
              <w:rPr>
                <w:sz w:val="22"/>
              </w:rPr>
            </w:pPr>
            <w:r>
              <w:rPr>
                <w:sz w:val="22"/>
              </w:rPr>
              <w:t>Non retrouvés</w:t>
            </w:r>
          </w:p>
        </w:tc>
        <w:tc>
          <w:tcPr>
            <w:tcW w:w="1844" w:type="dxa"/>
          </w:tcPr>
          <w:p>
            <w:pPr>
              <w:pStyle w:val="TableParagraph"/>
              <w:spacing w:line="242" w:lineRule="auto"/>
              <w:ind w:left="736" w:right="125" w:hanging="598"/>
              <w:rPr>
                <w:sz w:val="18"/>
              </w:rPr>
            </w:pPr>
            <w:r>
              <w:rPr>
                <w:sz w:val="18"/>
              </w:rPr>
              <w:t>Martin-Castillo et al., 2010</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1500 mg</w:t>
            </w:r>
          </w:p>
        </w:tc>
        <w:tc>
          <w:tcPr>
            <w:tcW w:w="2131" w:type="dxa"/>
          </w:tcPr>
          <w:p>
            <w:pPr>
              <w:pStyle w:val="TableParagraph"/>
              <w:spacing w:line="247" w:lineRule="exact"/>
              <w:ind w:left="503" w:hanging="99"/>
              <w:rPr>
                <w:sz w:val="22"/>
              </w:rPr>
            </w:pPr>
            <w:r>
              <w:rPr>
                <w:sz w:val="22"/>
              </w:rPr>
              <w:t>Cancer du sein</w:t>
            </w:r>
          </w:p>
          <w:p>
            <w:pPr>
              <w:pStyle w:val="TableParagraph"/>
              <w:spacing w:line="238" w:lineRule="exact" w:before="1"/>
              <w:ind w:left="503"/>
              <w:rPr>
                <w:sz w:val="22"/>
              </w:rPr>
            </w:pPr>
            <w:r>
              <w:rPr>
                <w:sz w:val="22"/>
              </w:rPr>
              <w:t>métastatique</w:t>
            </w:r>
          </w:p>
        </w:tc>
        <w:tc>
          <w:tcPr>
            <w:tcW w:w="1556" w:type="dxa"/>
          </w:tcPr>
          <w:p>
            <w:pPr>
              <w:pStyle w:val="TableParagraph"/>
              <w:spacing w:line="247" w:lineRule="exact"/>
              <w:ind w:left="167" w:firstLine="72"/>
              <w:rPr>
                <w:sz w:val="22"/>
              </w:rPr>
            </w:pPr>
            <w:r>
              <w:rPr>
                <w:sz w:val="22"/>
              </w:rPr>
              <w:t>Exemestane</w:t>
            </w:r>
          </w:p>
          <w:p>
            <w:pPr>
              <w:pStyle w:val="TableParagraph"/>
              <w:spacing w:line="238" w:lineRule="exact" w:before="1"/>
              <w:ind w:left="167"/>
              <w:rPr>
                <w:sz w:val="22"/>
              </w:rPr>
            </w:pPr>
            <w:r>
              <w:rPr>
                <w:sz w:val="22"/>
              </w:rPr>
              <w:t>Rosiglitazone</w:t>
            </w:r>
          </w:p>
        </w:tc>
        <w:tc>
          <w:tcPr>
            <w:tcW w:w="1274" w:type="dxa"/>
          </w:tcPr>
          <w:p>
            <w:pPr>
              <w:pStyle w:val="TableParagraph"/>
              <w:spacing w:line="247" w:lineRule="exact"/>
              <w:ind w:left="113" w:right="110"/>
              <w:jc w:val="center"/>
              <w:rPr>
                <w:sz w:val="22"/>
              </w:rPr>
            </w:pPr>
            <w:r>
              <w:rPr>
                <w:sz w:val="22"/>
              </w:rPr>
              <w:t>Phase I</w:t>
            </w:r>
          </w:p>
        </w:tc>
        <w:tc>
          <w:tcPr>
            <w:tcW w:w="3121" w:type="dxa"/>
          </w:tcPr>
          <w:p>
            <w:pPr>
              <w:pStyle w:val="TableParagraph"/>
              <w:spacing w:line="247" w:lineRule="exact"/>
              <w:ind w:left="93" w:right="93"/>
              <w:jc w:val="center"/>
              <w:rPr>
                <w:sz w:val="22"/>
              </w:rPr>
            </w:pPr>
            <w:r>
              <w:rPr>
                <w:sz w:val="22"/>
              </w:rPr>
              <w:t>Bonne tolérance</w:t>
            </w:r>
          </w:p>
          <w:p>
            <w:pPr>
              <w:pStyle w:val="TableParagraph"/>
              <w:spacing w:line="238" w:lineRule="exact" w:before="1"/>
              <w:ind w:left="93" w:right="93"/>
              <w:jc w:val="center"/>
              <w:rPr>
                <w:sz w:val="22"/>
              </w:rPr>
            </w:pPr>
            <w:r>
              <w:rPr>
                <w:sz w:val="22"/>
              </w:rPr>
              <w:t>30% maladie stable</w:t>
            </w:r>
          </w:p>
        </w:tc>
        <w:tc>
          <w:tcPr>
            <w:tcW w:w="1844" w:type="dxa"/>
          </w:tcPr>
          <w:p>
            <w:pPr>
              <w:pStyle w:val="TableParagraph"/>
              <w:spacing w:line="202" w:lineRule="exact"/>
              <w:ind w:left="108" w:right="108"/>
              <w:jc w:val="center"/>
              <w:rPr>
                <w:sz w:val="18"/>
              </w:rPr>
            </w:pPr>
            <w:r>
              <w:rPr>
                <w:sz w:val="18"/>
              </w:rPr>
              <w:t>Esteva et al., 2012</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850 mg PO BID (5 ans)</w:t>
            </w:r>
          </w:p>
        </w:tc>
        <w:tc>
          <w:tcPr>
            <w:tcW w:w="2131" w:type="dxa"/>
          </w:tcPr>
          <w:p>
            <w:pPr>
              <w:pStyle w:val="TableParagraph"/>
              <w:spacing w:line="247" w:lineRule="exact"/>
              <w:ind w:left="96" w:right="97"/>
              <w:jc w:val="center"/>
              <w:rPr>
                <w:sz w:val="22"/>
              </w:rPr>
            </w:pPr>
            <w:r>
              <w:rPr>
                <w:sz w:val="22"/>
              </w:rPr>
              <w:t>Cancer du sein (stade</w:t>
            </w:r>
          </w:p>
          <w:p>
            <w:pPr>
              <w:pStyle w:val="TableParagraph"/>
              <w:spacing w:line="238" w:lineRule="exact" w:before="2"/>
              <w:ind w:left="96" w:right="97"/>
              <w:jc w:val="center"/>
              <w:rPr>
                <w:sz w:val="22"/>
              </w:rPr>
            </w:pPr>
            <w:r>
              <w:rPr>
                <w:sz w:val="22"/>
              </w:rPr>
              <w:t>précoce)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III</w:t>
            </w:r>
          </w:p>
        </w:tc>
        <w:tc>
          <w:tcPr>
            <w:tcW w:w="3121" w:type="dxa"/>
          </w:tcPr>
          <w:p>
            <w:pPr>
              <w:pStyle w:val="TableParagraph"/>
              <w:spacing w:line="247" w:lineRule="exact"/>
              <w:ind w:left="90" w:right="93"/>
              <w:jc w:val="center"/>
              <w:rPr>
                <w:sz w:val="22"/>
              </w:rPr>
            </w:pPr>
            <w:r>
              <w:rPr>
                <w:sz w:val="22"/>
              </w:rPr>
              <w:t>En cours - Amélioration poids /</w:t>
            </w:r>
          </w:p>
          <w:p>
            <w:pPr>
              <w:pStyle w:val="TableParagraph"/>
              <w:spacing w:line="238" w:lineRule="exact" w:before="2"/>
              <w:ind w:left="93" w:right="93"/>
              <w:jc w:val="center"/>
              <w:rPr>
                <w:sz w:val="22"/>
              </w:rPr>
            </w:pPr>
            <w:r>
              <w:rPr>
                <w:sz w:val="22"/>
              </w:rPr>
              <w:t>insuline / glucose</w:t>
            </w:r>
          </w:p>
        </w:tc>
        <w:tc>
          <w:tcPr>
            <w:tcW w:w="1844" w:type="dxa"/>
          </w:tcPr>
          <w:p>
            <w:pPr>
              <w:pStyle w:val="TableParagraph"/>
              <w:ind w:left="376" w:right="141" w:hanging="219"/>
              <w:rPr>
                <w:sz w:val="18"/>
              </w:rPr>
            </w:pPr>
            <w:r>
              <w:rPr>
                <w:sz w:val="18"/>
              </w:rPr>
              <w:t>Goodwin et al., 2015 NCT01101438</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230"/>
              <w:rPr>
                <w:sz w:val="22"/>
              </w:rPr>
            </w:pPr>
            <w:r>
              <w:rPr>
                <w:sz w:val="22"/>
              </w:rPr>
              <w:t>500 mg pendant 1 semaine</w:t>
            </w:r>
          </w:p>
          <w:p>
            <w:pPr>
              <w:pStyle w:val="TableParagraph"/>
              <w:spacing w:line="238" w:lineRule="exact" w:before="1"/>
              <w:ind w:left="218"/>
              <w:rPr>
                <w:sz w:val="22"/>
              </w:rPr>
            </w:pPr>
            <w:r>
              <w:rPr>
                <w:sz w:val="22"/>
              </w:rPr>
              <w:t>puis 1 g pendant 1 semaine</w:t>
            </w:r>
          </w:p>
        </w:tc>
        <w:tc>
          <w:tcPr>
            <w:tcW w:w="2131" w:type="dxa"/>
          </w:tcPr>
          <w:p>
            <w:pPr>
              <w:pStyle w:val="TableParagraph"/>
              <w:spacing w:line="247" w:lineRule="exact"/>
              <w:ind w:left="95" w:right="97"/>
              <w:jc w:val="center"/>
              <w:rPr>
                <w:sz w:val="22"/>
              </w:rPr>
            </w:pPr>
            <w:r>
              <w:rPr>
                <w:sz w:val="22"/>
              </w:rPr>
              <w:t>Cancer du sein avant</w:t>
            </w:r>
          </w:p>
          <w:p>
            <w:pPr>
              <w:pStyle w:val="TableParagraph"/>
              <w:spacing w:line="238" w:lineRule="exact" w:before="1"/>
              <w:ind w:left="96" w:right="94"/>
              <w:jc w:val="center"/>
              <w:rPr>
                <w:sz w:val="22"/>
              </w:rPr>
            </w:pPr>
            <w:r>
              <w:rPr>
                <w:sz w:val="22"/>
              </w:rPr>
              <w:t>opération</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84" w:firstLine="45"/>
              <w:rPr>
                <w:sz w:val="22"/>
              </w:rPr>
            </w:pPr>
            <w:r>
              <w:rPr>
                <w:sz w:val="22"/>
              </w:rPr>
              <w:t>Essai pré</w:t>
            </w:r>
          </w:p>
          <w:p>
            <w:pPr>
              <w:pStyle w:val="TableParagraph"/>
              <w:spacing w:line="238" w:lineRule="exact" w:before="1"/>
              <w:ind w:left="184"/>
              <w:rPr>
                <w:sz w:val="22"/>
              </w:rPr>
            </w:pPr>
            <w:r>
              <w:rPr>
                <w:sz w:val="22"/>
              </w:rPr>
              <w:t>opératoire</w:t>
            </w:r>
          </w:p>
        </w:tc>
        <w:tc>
          <w:tcPr>
            <w:tcW w:w="3121" w:type="dxa"/>
          </w:tcPr>
          <w:p>
            <w:pPr>
              <w:pStyle w:val="TableParagraph"/>
              <w:spacing w:line="247" w:lineRule="exact"/>
              <w:ind w:left="93" w:right="93"/>
              <w:jc w:val="center"/>
              <w:rPr>
                <w:sz w:val="22"/>
              </w:rPr>
            </w:pPr>
            <w:r>
              <w:rPr>
                <w:sz w:val="22"/>
              </w:rPr>
              <w:t>Bonne tolérance – étude</w:t>
            </w:r>
          </w:p>
          <w:p>
            <w:pPr>
              <w:pStyle w:val="TableParagraph"/>
              <w:spacing w:line="238" w:lineRule="exact" w:before="1"/>
              <w:ind w:left="93" w:right="93"/>
              <w:jc w:val="center"/>
              <w:rPr>
                <w:sz w:val="22"/>
              </w:rPr>
            </w:pPr>
            <w:r>
              <w:rPr>
                <w:sz w:val="22"/>
              </w:rPr>
              <w:t>biomarqueurs</w:t>
            </w:r>
          </w:p>
        </w:tc>
        <w:tc>
          <w:tcPr>
            <w:tcW w:w="1844" w:type="dxa"/>
          </w:tcPr>
          <w:p>
            <w:pPr>
              <w:pStyle w:val="TableParagraph"/>
              <w:spacing w:line="202" w:lineRule="exact"/>
              <w:ind w:left="108" w:right="108"/>
              <w:jc w:val="center"/>
              <w:rPr>
                <w:sz w:val="18"/>
              </w:rPr>
            </w:pPr>
            <w:r>
              <w:rPr>
                <w:sz w:val="18"/>
              </w:rPr>
              <w:t>Hadad et al., 2015</w:t>
            </w:r>
          </w:p>
        </w:tc>
        <w:tc>
          <w:tcPr>
            <w:tcW w:w="991" w:type="dxa"/>
            <w:vMerge/>
            <w:tcBorders>
              <w:top w:val="nil"/>
            </w:tcBorders>
          </w:tcPr>
          <w:p>
            <w:pPr>
              <w:rPr>
                <w:sz w:val="2"/>
                <w:szCs w:val="2"/>
              </w:rPr>
            </w:pPr>
          </w:p>
        </w:tc>
      </w:tr>
    </w:tbl>
    <w:p>
      <w:pPr>
        <w:spacing w:after="0"/>
        <w:rPr>
          <w:sz w:val="2"/>
          <w:szCs w:val="2"/>
        </w:rPr>
        <w:sectPr>
          <w:pgSz w:w="16840" w:h="11910" w:orient="landscape"/>
          <w:pgMar w:header="0" w:footer="998" w:top="1100" w:bottom="1180" w:left="640" w:right="640"/>
        </w:sectPr>
      </w:pPr>
    </w:p>
    <w:p>
      <w:pPr>
        <w:pStyle w:val="BodyText"/>
        <w:spacing w:before="1" w:after="1"/>
        <w:rPr>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835"/>
        <w:gridCol w:w="2131"/>
        <w:gridCol w:w="1556"/>
        <w:gridCol w:w="1274"/>
        <w:gridCol w:w="3121"/>
        <w:gridCol w:w="1844"/>
        <w:gridCol w:w="991"/>
      </w:tblGrid>
      <w:tr>
        <w:trPr>
          <w:trHeight w:val="740" w:hRule="atLeast"/>
        </w:trPr>
        <w:tc>
          <w:tcPr>
            <w:tcW w:w="1560" w:type="dxa"/>
            <w:vMerge w:val="restart"/>
          </w:tcPr>
          <w:p>
            <w:pPr>
              <w:pStyle w:val="TableParagraph"/>
              <w:rPr>
                <w:sz w:val="20"/>
              </w:rPr>
            </w:pPr>
          </w:p>
        </w:tc>
        <w:tc>
          <w:tcPr>
            <w:tcW w:w="2835" w:type="dxa"/>
          </w:tcPr>
          <w:p>
            <w:pPr>
              <w:pStyle w:val="TableParagraph"/>
              <w:ind w:left="103" w:right="103"/>
              <w:jc w:val="center"/>
              <w:rPr>
                <w:sz w:val="22"/>
              </w:rPr>
            </w:pPr>
            <w:r>
              <w:rPr>
                <w:sz w:val="22"/>
              </w:rPr>
              <w:t>2 g PO répartis en (500 mg matin – 1g midi -500 mg</w:t>
            </w:r>
          </w:p>
          <w:p>
            <w:pPr>
              <w:pStyle w:val="TableParagraph"/>
              <w:spacing w:line="238" w:lineRule="exact" w:before="8"/>
              <w:ind w:left="102" w:right="103"/>
              <w:jc w:val="center"/>
              <w:rPr>
                <w:sz w:val="22"/>
              </w:rPr>
            </w:pPr>
            <w:r>
              <w:rPr>
                <w:sz w:val="22"/>
              </w:rPr>
              <w:t>soir)</w:t>
            </w:r>
          </w:p>
        </w:tc>
        <w:tc>
          <w:tcPr>
            <w:tcW w:w="2131" w:type="dxa"/>
          </w:tcPr>
          <w:p>
            <w:pPr>
              <w:pStyle w:val="TableParagraph"/>
              <w:spacing w:line="247" w:lineRule="exact"/>
              <w:ind w:left="96" w:right="96"/>
              <w:jc w:val="center"/>
              <w:rPr>
                <w:sz w:val="22"/>
              </w:rPr>
            </w:pPr>
            <w:r>
              <w:rPr>
                <w:sz w:val="22"/>
              </w:rPr>
              <w:t>Cancer du poumon</w:t>
            </w:r>
          </w:p>
        </w:tc>
        <w:tc>
          <w:tcPr>
            <w:tcW w:w="1556" w:type="dxa"/>
          </w:tcPr>
          <w:p>
            <w:pPr>
              <w:pStyle w:val="TableParagraph"/>
              <w:spacing w:line="247" w:lineRule="exact"/>
              <w:ind w:left="123" w:right="122"/>
              <w:jc w:val="center"/>
              <w:rPr>
                <w:sz w:val="22"/>
              </w:rPr>
            </w:pPr>
            <w:r>
              <w:rPr>
                <w:sz w:val="22"/>
              </w:rPr>
              <w:t>Radiothérapie</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7" w:lineRule="exact"/>
              <w:ind w:left="93" w:right="93"/>
              <w:jc w:val="center"/>
              <w:rPr>
                <w:sz w:val="22"/>
              </w:rPr>
            </w:pPr>
            <w:r>
              <w:rPr>
                <w:sz w:val="22"/>
              </w:rPr>
              <w:t>En cours</w:t>
            </w:r>
          </w:p>
        </w:tc>
        <w:tc>
          <w:tcPr>
            <w:tcW w:w="1844" w:type="dxa"/>
          </w:tcPr>
          <w:p>
            <w:pPr>
              <w:pStyle w:val="TableParagraph"/>
              <w:spacing w:line="202" w:lineRule="exact"/>
              <w:ind w:left="108" w:right="108"/>
              <w:jc w:val="center"/>
              <w:rPr>
                <w:sz w:val="18"/>
              </w:rPr>
            </w:pPr>
            <w:r>
              <w:rPr>
                <w:sz w:val="18"/>
              </w:rPr>
              <w:t>NCT02285855</w:t>
            </w:r>
          </w:p>
        </w:tc>
        <w:tc>
          <w:tcPr>
            <w:tcW w:w="991" w:type="dxa"/>
            <w:vMerge w:val="restart"/>
          </w:tcPr>
          <w:p>
            <w:pPr>
              <w:pStyle w:val="TableParagraph"/>
              <w:rPr>
                <w:sz w:val="20"/>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500 mg</w:t>
            </w:r>
          </w:p>
        </w:tc>
        <w:tc>
          <w:tcPr>
            <w:tcW w:w="2131" w:type="dxa"/>
          </w:tcPr>
          <w:p>
            <w:pPr>
              <w:pStyle w:val="TableParagraph"/>
              <w:spacing w:line="247" w:lineRule="exact"/>
              <w:ind w:left="96" w:right="97"/>
              <w:jc w:val="center"/>
              <w:rPr>
                <w:sz w:val="22"/>
              </w:rPr>
            </w:pPr>
            <w:r>
              <w:rPr>
                <w:sz w:val="22"/>
              </w:rPr>
              <w:t>Cancers stades</w:t>
            </w:r>
          </w:p>
          <w:p>
            <w:pPr>
              <w:pStyle w:val="TableParagraph"/>
              <w:spacing w:line="238" w:lineRule="exact" w:before="1"/>
              <w:ind w:left="96" w:right="95"/>
              <w:jc w:val="center"/>
              <w:rPr>
                <w:sz w:val="22"/>
              </w:rPr>
            </w:pPr>
            <w:r>
              <w:rPr>
                <w:sz w:val="22"/>
              </w:rPr>
              <w:t>avancés</w:t>
            </w:r>
          </w:p>
        </w:tc>
        <w:tc>
          <w:tcPr>
            <w:tcW w:w="1556" w:type="dxa"/>
          </w:tcPr>
          <w:p>
            <w:pPr>
              <w:pStyle w:val="TableParagraph"/>
              <w:spacing w:line="247" w:lineRule="exact"/>
              <w:ind w:left="122" w:right="123"/>
              <w:jc w:val="center"/>
              <w:rPr>
                <w:sz w:val="22"/>
              </w:rPr>
            </w:pPr>
            <w:r>
              <w:rPr>
                <w:sz w:val="22"/>
              </w:rPr>
              <w:t>Temsirolimus</w:t>
            </w:r>
          </w:p>
        </w:tc>
        <w:tc>
          <w:tcPr>
            <w:tcW w:w="1274" w:type="dxa"/>
          </w:tcPr>
          <w:p>
            <w:pPr>
              <w:pStyle w:val="TableParagraph"/>
              <w:spacing w:line="247" w:lineRule="exact"/>
              <w:ind w:left="113" w:right="110"/>
              <w:jc w:val="center"/>
              <w:rPr>
                <w:sz w:val="22"/>
              </w:rPr>
            </w:pPr>
            <w:r>
              <w:rPr>
                <w:sz w:val="22"/>
              </w:rPr>
              <w:t>Phase I</w:t>
            </w:r>
          </w:p>
        </w:tc>
        <w:tc>
          <w:tcPr>
            <w:tcW w:w="3121" w:type="dxa"/>
          </w:tcPr>
          <w:p>
            <w:pPr>
              <w:pStyle w:val="TableParagraph"/>
              <w:spacing w:line="247" w:lineRule="exact"/>
              <w:ind w:left="93" w:right="93"/>
              <w:jc w:val="center"/>
              <w:rPr>
                <w:sz w:val="22"/>
              </w:rPr>
            </w:pPr>
            <w:r>
              <w:rPr>
                <w:sz w:val="22"/>
              </w:rPr>
              <w:t>En cours</w:t>
            </w:r>
          </w:p>
        </w:tc>
        <w:tc>
          <w:tcPr>
            <w:tcW w:w="1844" w:type="dxa"/>
          </w:tcPr>
          <w:p>
            <w:pPr>
              <w:pStyle w:val="TableParagraph"/>
              <w:spacing w:line="202" w:lineRule="exact"/>
              <w:ind w:left="108" w:right="108"/>
              <w:jc w:val="center"/>
              <w:rPr>
                <w:sz w:val="18"/>
              </w:rPr>
            </w:pPr>
            <w:r>
              <w:rPr>
                <w:sz w:val="18"/>
              </w:rPr>
              <w:t>NCT01529593</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101" w:right="103"/>
              <w:jc w:val="center"/>
              <w:rPr>
                <w:sz w:val="22"/>
              </w:rPr>
            </w:pPr>
            <w:r>
              <w:rPr>
                <w:sz w:val="22"/>
              </w:rPr>
              <w:t>850 mg PO BID</w:t>
            </w:r>
          </w:p>
        </w:tc>
        <w:tc>
          <w:tcPr>
            <w:tcW w:w="2131" w:type="dxa"/>
          </w:tcPr>
          <w:p>
            <w:pPr>
              <w:pStyle w:val="TableParagraph"/>
              <w:spacing w:line="247" w:lineRule="exact"/>
              <w:ind w:left="95" w:right="97"/>
              <w:jc w:val="center"/>
              <w:rPr>
                <w:sz w:val="22"/>
              </w:rPr>
            </w:pPr>
            <w:r>
              <w:rPr>
                <w:sz w:val="22"/>
              </w:rPr>
              <w:t>Cancer du sein avant</w:t>
            </w:r>
          </w:p>
          <w:p>
            <w:pPr>
              <w:pStyle w:val="TableParagraph"/>
              <w:spacing w:line="238" w:lineRule="exact" w:before="1"/>
              <w:ind w:left="96" w:right="97"/>
              <w:jc w:val="center"/>
              <w:rPr>
                <w:sz w:val="22"/>
              </w:rPr>
            </w:pPr>
            <w:r>
              <w:rPr>
                <w:sz w:val="22"/>
              </w:rPr>
              <w:t>chirurgie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0"/>
              <w:jc w:val="center"/>
              <w:rPr>
                <w:sz w:val="22"/>
              </w:rPr>
            </w:pPr>
            <w:r>
              <w:rPr>
                <w:sz w:val="22"/>
              </w:rPr>
              <w:t>Phase I</w:t>
            </w:r>
          </w:p>
        </w:tc>
        <w:tc>
          <w:tcPr>
            <w:tcW w:w="3121" w:type="dxa"/>
          </w:tcPr>
          <w:p>
            <w:pPr>
              <w:pStyle w:val="TableParagraph"/>
              <w:spacing w:line="247" w:lineRule="exact"/>
              <w:ind w:left="93" w:right="93"/>
              <w:jc w:val="center"/>
              <w:rPr>
                <w:sz w:val="22"/>
              </w:rPr>
            </w:pPr>
            <w:r>
              <w:rPr>
                <w:sz w:val="22"/>
              </w:rPr>
              <w:t>Trop peu de patients</w:t>
            </w:r>
          </w:p>
        </w:tc>
        <w:tc>
          <w:tcPr>
            <w:tcW w:w="1844" w:type="dxa"/>
          </w:tcPr>
          <w:p>
            <w:pPr>
              <w:pStyle w:val="TableParagraph"/>
              <w:spacing w:line="202" w:lineRule="exact"/>
              <w:ind w:left="108" w:right="108"/>
              <w:jc w:val="center"/>
              <w:rPr>
                <w:sz w:val="18"/>
              </w:rPr>
            </w:pPr>
            <w:r>
              <w:rPr>
                <w:sz w:val="18"/>
              </w:rPr>
              <w:t>NCT00984490</w:t>
            </w:r>
          </w:p>
        </w:tc>
        <w:tc>
          <w:tcPr>
            <w:tcW w:w="991" w:type="dxa"/>
            <w:vMerge/>
            <w:tcBorders>
              <w:top w:val="nil"/>
            </w:tcBorders>
          </w:tcPr>
          <w:p>
            <w:pPr>
              <w:rPr>
                <w:sz w:val="2"/>
                <w:szCs w:val="2"/>
              </w:rPr>
            </w:pPr>
          </w:p>
        </w:tc>
      </w:tr>
      <w:tr>
        <w:trPr>
          <w:trHeight w:val="760" w:hRule="atLeast"/>
        </w:trPr>
        <w:tc>
          <w:tcPr>
            <w:tcW w:w="1560" w:type="dxa"/>
            <w:vMerge w:val="restart"/>
          </w:tcPr>
          <w:p>
            <w:pPr>
              <w:pStyle w:val="TableParagraph"/>
              <w:ind w:left="345" w:right="215" w:hanging="106"/>
              <w:rPr>
                <w:b/>
                <w:sz w:val="22"/>
              </w:rPr>
            </w:pPr>
            <w:r>
              <w:rPr>
                <w:b/>
                <w:sz w:val="22"/>
              </w:rPr>
              <w:t>Everolimus RAD 001</w:t>
            </w:r>
          </w:p>
        </w:tc>
        <w:tc>
          <w:tcPr>
            <w:tcW w:w="2835" w:type="dxa"/>
          </w:tcPr>
          <w:p>
            <w:pPr>
              <w:pStyle w:val="TableParagraph"/>
              <w:spacing w:line="247" w:lineRule="exact"/>
              <w:ind w:left="101" w:right="103"/>
              <w:jc w:val="center"/>
              <w:rPr>
                <w:sz w:val="22"/>
              </w:rPr>
            </w:pPr>
            <w:r>
              <w:rPr>
                <w:sz w:val="22"/>
              </w:rPr>
              <w:t>10 mg PO SID</w:t>
            </w:r>
          </w:p>
        </w:tc>
        <w:tc>
          <w:tcPr>
            <w:tcW w:w="2131" w:type="dxa"/>
          </w:tcPr>
          <w:p>
            <w:pPr>
              <w:pStyle w:val="TableParagraph"/>
              <w:spacing w:line="247" w:lineRule="exact"/>
              <w:ind w:left="383" w:firstLine="19"/>
              <w:rPr>
                <w:sz w:val="22"/>
              </w:rPr>
            </w:pPr>
            <w:r>
              <w:rPr>
                <w:sz w:val="22"/>
              </w:rPr>
              <w:t>Carcinome des</w:t>
            </w:r>
          </w:p>
          <w:p>
            <w:pPr>
              <w:pStyle w:val="TableParagraph"/>
              <w:spacing w:line="252" w:lineRule="exact" w:before="5"/>
              <w:ind w:left="460" w:right="368" w:hanging="77"/>
              <w:rPr>
                <w:sz w:val="22"/>
              </w:rPr>
            </w:pPr>
            <w:r>
              <w:rPr>
                <w:sz w:val="22"/>
              </w:rPr>
              <w:t>cellules rénales métastatiques</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III</w:t>
            </w:r>
          </w:p>
        </w:tc>
        <w:tc>
          <w:tcPr>
            <w:tcW w:w="3121" w:type="dxa"/>
          </w:tcPr>
          <w:p>
            <w:pPr>
              <w:pStyle w:val="TableParagraph"/>
              <w:spacing w:line="247" w:lineRule="exact"/>
              <w:ind w:left="93" w:right="93"/>
              <w:jc w:val="center"/>
              <w:rPr>
                <w:sz w:val="22"/>
              </w:rPr>
            </w:pPr>
            <w:r>
              <w:rPr>
                <w:sz w:val="22"/>
              </w:rPr>
              <w:t>Survie augmentée</w:t>
            </w:r>
          </w:p>
          <w:p>
            <w:pPr>
              <w:pStyle w:val="TableParagraph"/>
              <w:spacing w:line="252" w:lineRule="exact" w:before="5"/>
              <w:ind w:left="92" w:right="93"/>
              <w:jc w:val="center"/>
              <w:rPr>
                <w:sz w:val="22"/>
              </w:rPr>
            </w:pPr>
            <w:r>
              <w:rPr>
                <w:sz w:val="22"/>
              </w:rPr>
              <w:t>Fatigue, développement d’infections</w:t>
            </w:r>
          </w:p>
        </w:tc>
        <w:tc>
          <w:tcPr>
            <w:tcW w:w="1844" w:type="dxa"/>
          </w:tcPr>
          <w:p>
            <w:pPr>
              <w:pStyle w:val="TableParagraph"/>
              <w:spacing w:line="242" w:lineRule="auto"/>
              <w:ind w:left="376" w:right="217" w:hanging="144"/>
              <w:rPr>
                <w:sz w:val="18"/>
              </w:rPr>
            </w:pPr>
            <w:r>
              <w:rPr>
                <w:sz w:val="18"/>
              </w:rPr>
              <w:t>Motzer et al., 2010 NCT00410124</w:t>
            </w:r>
          </w:p>
        </w:tc>
        <w:tc>
          <w:tcPr>
            <w:tcW w:w="991" w:type="dxa"/>
            <w:vMerge w:val="restart"/>
          </w:tcPr>
          <w:p>
            <w:pPr>
              <w:pStyle w:val="TableParagraph"/>
              <w:spacing w:line="223" w:lineRule="exact"/>
              <w:ind w:left="290"/>
              <w:rPr>
                <w:sz w:val="20"/>
              </w:rPr>
            </w:pPr>
            <w:r>
              <w:rPr>
                <w:sz w:val="20"/>
              </w:rPr>
              <w:t>1090</w:t>
            </w:r>
          </w:p>
        </w:tc>
      </w:tr>
      <w:tr>
        <w:trPr>
          <w:trHeight w:val="6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5 mg PO SID</w:t>
            </w:r>
          </w:p>
        </w:tc>
        <w:tc>
          <w:tcPr>
            <w:tcW w:w="2131" w:type="dxa"/>
          </w:tcPr>
          <w:p>
            <w:pPr>
              <w:pStyle w:val="TableParagraph"/>
              <w:ind w:left="503" w:right="117" w:hanging="370"/>
              <w:rPr>
                <w:sz w:val="22"/>
              </w:rPr>
            </w:pPr>
            <w:r>
              <w:rPr>
                <w:sz w:val="22"/>
              </w:rPr>
              <w:t>Cancer de la prostate métastatique</w:t>
            </w:r>
          </w:p>
        </w:tc>
        <w:tc>
          <w:tcPr>
            <w:tcW w:w="1556" w:type="dxa"/>
          </w:tcPr>
          <w:p>
            <w:pPr>
              <w:pStyle w:val="TableParagraph"/>
              <w:ind w:left="283" w:right="186" w:hanging="80"/>
              <w:rPr>
                <w:sz w:val="22"/>
              </w:rPr>
            </w:pPr>
            <w:r>
              <w:rPr>
                <w:sz w:val="22"/>
              </w:rPr>
              <w:t>Carboplatine Prednisone</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ind w:left="479" w:right="461" w:firstLine="357"/>
              <w:rPr>
                <w:sz w:val="22"/>
              </w:rPr>
            </w:pPr>
            <w:r>
              <w:rPr>
                <w:sz w:val="22"/>
              </w:rPr>
              <w:t>Bonne  tolérance Peu d’efficacité clinique</w:t>
            </w:r>
          </w:p>
        </w:tc>
        <w:tc>
          <w:tcPr>
            <w:tcW w:w="1844" w:type="dxa"/>
          </w:tcPr>
          <w:p>
            <w:pPr>
              <w:pStyle w:val="TableParagraph"/>
              <w:ind w:left="107" w:right="108"/>
              <w:jc w:val="center"/>
              <w:rPr>
                <w:sz w:val="18"/>
              </w:rPr>
            </w:pPr>
            <w:r>
              <w:rPr>
                <w:sz w:val="18"/>
              </w:rPr>
              <w:t>Vaishampayan et al., 2015</w:t>
            </w:r>
          </w:p>
          <w:p>
            <w:pPr>
              <w:pStyle w:val="TableParagraph"/>
              <w:spacing w:line="190" w:lineRule="exact" w:before="5"/>
              <w:ind w:left="108" w:right="108"/>
              <w:jc w:val="center"/>
              <w:rPr>
                <w:sz w:val="18"/>
              </w:rPr>
            </w:pPr>
            <w:r>
              <w:rPr>
                <w:sz w:val="18"/>
              </w:rPr>
              <w:t>NCT01051570</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52" w:lineRule="exact"/>
              <w:ind w:left="1192" w:right="305" w:hanging="874"/>
              <w:rPr>
                <w:sz w:val="22"/>
              </w:rPr>
            </w:pPr>
            <w:r>
              <w:rPr>
                <w:sz w:val="22"/>
              </w:rPr>
              <w:t>5-10 mg/jour pendant 21 jours</w:t>
            </w:r>
          </w:p>
        </w:tc>
        <w:tc>
          <w:tcPr>
            <w:tcW w:w="2131" w:type="dxa"/>
          </w:tcPr>
          <w:p>
            <w:pPr>
              <w:pStyle w:val="TableParagraph"/>
              <w:spacing w:line="249" w:lineRule="exact"/>
              <w:ind w:left="96" w:right="96"/>
              <w:jc w:val="center"/>
              <w:rPr>
                <w:sz w:val="22"/>
              </w:rPr>
            </w:pPr>
            <w:r>
              <w:rPr>
                <w:sz w:val="22"/>
              </w:rPr>
              <w:t>Cancer du poumon</w:t>
            </w:r>
          </w:p>
        </w:tc>
        <w:tc>
          <w:tcPr>
            <w:tcW w:w="1556" w:type="dxa"/>
          </w:tcPr>
          <w:p>
            <w:pPr>
              <w:pStyle w:val="TableParagraph"/>
              <w:spacing w:line="249" w:lineRule="exact"/>
              <w:ind w:left="123" w:right="122"/>
              <w:jc w:val="center"/>
              <w:rPr>
                <w:sz w:val="22"/>
              </w:rPr>
            </w:pPr>
            <w:r>
              <w:rPr>
                <w:sz w:val="22"/>
              </w:rPr>
              <w:t>Aucun</w:t>
            </w:r>
          </w:p>
        </w:tc>
        <w:tc>
          <w:tcPr>
            <w:tcW w:w="1274" w:type="dxa"/>
          </w:tcPr>
          <w:p>
            <w:pPr>
              <w:pStyle w:val="TableParagraph"/>
              <w:spacing w:line="249" w:lineRule="exact"/>
              <w:ind w:left="113" w:right="110"/>
              <w:jc w:val="center"/>
              <w:rPr>
                <w:sz w:val="22"/>
              </w:rPr>
            </w:pPr>
            <w:r>
              <w:rPr>
                <w:sz w:val="22"/>
              </w:rPr>
              <w:t>Phase I</w:t>
            </w:r>
          </w:p>
        </w:tc>
        <w:tc>
          <w:tcPr>
            <w:tcW w:w="3121" w:type="dxa"/>
          </w:tcPr>
          <w:p>
            <w:pPr>
              <w:pStyle w:val="TableParagraph"/>
              <w:spacing w:line="249" w:lineRule="exact"/>
              <w:ind w:left="93" w:right="93"/>
              <w:jc w:val="center"/>
              <w:rPr>
                <w:sz w:val="22"/>
              </w:rPr>
            </w:pPr>
            <w:r>
              <w:rPr>
                <w:sz w:val="22"/>
              </w:rPr>
              <w:t>Bonne tolérance</w:t>
            </w:r>
          </w:p>
        </w:tc>
        <w:tc>
          <w:tcPr>
            <w:tcW w:w="1844" w:type="dxa"/>
          </w:tcPr>
          <w:p>
            <w:pPr>
              <w:pStyle w:val="TableParagraph"/>
              <w:spacing w:line="204" w:lineRule="exact"/>
              <w:ind w:left="108" w:right="108"/>
              <w:jc w:val="center"/>
              <w:rPr>
                <w:sz w:val="18"/>
              </w:rPr>
            </w:pPr>
            <w:r>
              <w:rPr>
                <w:sz w:val="18"/>
              </w:rPr>
              <w:t>NCT00401778</w:t>
            </w:r>
          </w:p>
        </w:tc>
        <w:tc>
          <w:tcPr>
            <w:tcW w:w="991" w:type="dxa"/>
            <w:vMerge/>
            <w:tcBorders>
              <w:top w:val="nil"/>
            </w:tcBorders>
          </w:tcPr>
          <w:p>
            <w:pPr>
              <w:rPr>
                <w:sz w:val="2"/>
                <w:szCs w:val="2"/>
              </w:rPr>
            </w:pPr>
          </w:p>
        </w:tc>
      </w:tr>
      <w:tr>
        <w:trPr>
          <w:trHeight w:val="760" w:hRule="atLeast"/>
        </w:trPr>
        <w:tc>
          <w:tcPr>
            <w:tcW w:w="1560" w:type="dxa"/>
            <w:vMerge/>
            <w:tcBorders>
              <w:top w:val="nil"/>
            </w:tcBorders>
          </w:tcPr>
          <w:p>
            <w:pPr>
              <w:rPr>
                <w:sz w:val="2"/>
                <w:szCs w:val="2"/>
              </w:rPr>
            </w:pPr>
          </w:p>
        </w:tc>
        <w:tc>
          <w:tcPr>
            <w:tcW w:w="2835" w:type="dxa"/>
          </w:tcPr>
          <w:p>
            <w:pPr>
              <w:pStyle w:val="TableParagraph"/>
              <w:spacing w:line="249" w:lineRule="exact"/>
              <w:ind w:left="101" w:right="103"/>
              <w:jc w:val="center"/>
              <w:rPr>
                <w:sz w:val="22"/>
              </w:rPr>
            </w:pPr>
            <w:r>
              <w:rPr>
                <w:sz w:val="22"/>
              </w:rPr>
              <w:t>10 mg PO SID</w:t>
            </w:r>
          </w:p>
        </w:tc>
        <w:tc>
          <w:tcPr>
            <w:tcW w:w="2131" w:type="dxa"/>
          </w:tcPr>
          <w:p>
            <w:pPr>
              <w:pStyle w:val="TableParagraph"/>
              <w:ind w:left="755" w:right="205" w:hanging="533"/>
              <w:rPr>
                <w:sz w:val="22"/>
              </w:rPr>
            </w:pPr>
            <w:r>
              <w:rPr>
                <w:sz w:val="22"/>
              </w:rPr>
              <w:t>Cancer du poumon avancé</w:t>
            </w:r>
          </w:p>
        </w:tc>
        <w:tc>
          <w:tcPr>
            <w:tcW w:w="1556" w:type="dxa"/>
          </w:tcPr>
          <w:p>
            <w:pPr>
              <w:pStyle w:val="TableParagraph"/>
              <w:spacing w:line="249" w:lineRule="exact"/>
              <w:ind w:left="122" w:right="123"/>
              <w:jc w:val="center"/>
              <w:rPr>
                <w:sz w:val="22"/>
              </w:rPr>
            </w:pPr>
            <w:r>
              <w:rPr>
                <w:sz w:val="22"/>
              </w:rPr>
              <w:t>Octreotide</w:t>
            </w:r>
          </w:p>
        </w:tc>
        <w:tc>
          <w:tcPr>
            <w:tcW w:w="1274" w:type="dxa"/>
          </w:tcPr>
          <w:p>
            <w:pPr>
              <w:pStyle w:val="TableParagraph"/>
              <w:spacing w:line="249" w:lineRule="exact"/>
              <w:ind w:left="113" w:right="114"/>
              <w:jc w:val="center"/>
              <w:rPr>
                <w:sz w:val="22"/>
              </w:rPr>
            </w:pPr>
            <w:r>
              <w:rPr>
                <w:sz w:val="22"/>
              </w:rPr>
              <w:t>Phase III</w:t>
            </w:r>
          </w:p>
        </w:tc>
        <w:tc>
          <w:tcPr>
            <w:tcW w:w="3121" w:type="dxa"/>
          </w:tcPr>
          <w:p>
            <w:pPr>
              <w:pStyle w:val="TableParagraph"/>
              <w:ind w:left="92" w:right="93"/>
              <w:jc w:val="center"/>
              <w:rPr>
                <w:sz w:val="22"/>
              </w:rPr>
            </w:pPr>
            <w:r>
              <w:rPr>
                <w:sz w:val="22"/>
              </w:rPr>
              <w:t>Plus d’efficacité que l’octreotide seul</w:t>
            </w:r>
          </w:p>
          <w:p>
            <w:pPr>
              <w:pStyle w:val="TableParagraph"/>
              <w:spacing w:line="239" w:lineRule="exact" w:before="4"/>
              <w:ind w:left="93" w:right="93"/>
              <w:jc w:val="center"/>
              <w:rPr>
                <w:sz w:val="22"/>
              </w:rPr>
            </w:pPr>
            <w:r>
              <w:rPr>
                <w:sz w:val="22"/>
              </w:rPr>
              <w:t>Bonne tolérance</w:t>
            </w:r>
          </w:p>
        </w:tc>
        <w:tc>
          <w:tcPr>
            <w:tcW w:w="1844" w:type="dxa"/>
          </w:tcPr>
          <w:p>
            <w:pPr>
              <w:pStyle w:val="TableParagraph"/>
              <w:ind w:left="376" w:right="276" w:hanging="84"/>
              <w:rPr>
                <w:sz w:val="18"/>
              </w:rPr>
            </w:pPr>
            <w:r>
              <w:rPr>
                <w:sz w:val="18"/>
              </w:rPr>
              <w:t>Fazio et al., 2013 NCT00412061</w:t>
            </w:r>
          </w:p>
        </w:tc>
        <w:tc>
          <w:tcPr>
            <w:tcW w:w="991" w:type="dxa"/>
            <w:vMerge/>
            <w:tcBorders>
              <w:top w:val="nil"/>
            </w:tcBorders>
          </w:tcPr>
          <w:p>
            <w:pPr>
              <w:rPr>
                <w:sz w:val="2"/>
                <w:szCs w:val="2"/>
              </w:rPr>
            </w:pPr>
          </w:p>
        </w:tc>
      </w:tr>
      <w:tr>
        <w:trPr>
          <w:trHeight w:val="620" w:hRule="atLeast"/>
        </w:trPr>
        <w:tc>
          <w:tcPr>
            <w:tcW w:w="1560" w:type="dxa"/>
            <w:vMerge/>
            <w:tcBorders>
              <w:top w:val="nil"/>
            </w:tcBorders>
          </w:tcPr>
          <w:p>
            <w:pPr>
              <w:rPr>
                <w:sz w:val="2"/>
                <w:szCs w:val="2"/>
              </w:rPr>
            </w:pPr>
          </w:p>
        </w:tc>
        <w:tc>
          <w:tcPr>
            <w:tcW w:w="2835" w:type="dxa"/>
          </w:tcPr>
          <w:p>
            <w:pPr>
              <w:pStyle w:val="TableParagraph"/>
              <w:spacing w:line="247" w:lineRule="exact"/>
              <w:ind w:left="101" w:right="103"/>
              <w:jc w:val="center"/>
              <w:rPr>
                <w:sz w:val="22"/>
              </w:rPr>
            </w:pPr>
            <w:r>
              <w:rPr>
                <w:sz w:val="22"/>
              </w:rPr>
              <w:t>10 mg PO SID</w:t>
            </w:r>
          </w:p>
        </w:tc>
        <w:tc>
          <w:tcPr>
            <w:tcW w:w="2131" w:type="dxa"/>
          </w:tcPr>
          <w:p>
            <w:pPr>
              <w:pStyle w:val="TableParagraph"/>
              <w:ind w:left="333" w:right="314" w:firstLine="333"/>
              <w:rPr>
                <w:sz w:val="22"/>
              </w:rPr>
            </w:pPr>
            <w:r>
              <w:rPr>
                <w:sz w:val="22"/>
              </w:rPr>
              <w:t>Tumeurs neuroendocrines</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III</w:t>
            </w:r>
          </w:p>
        </w:tc>
        <w:tc>
          <w:tcPr>
            <w:tcW w:w="3121" w:type="dxa"/>
          </w:tcPr>
          <w:p>
            <w:pPr>
              <w:pStyle w:val="TableParagraph"/>
              <w:ind w:left="1132" w:right="415" w:hanging="699"/>
              <w:rPr>
                <w:sz w:val="22"/>
              </w:rPr>
            </w:pPr>
            <w:r>
              <w:rPr>
                <w:sz w:val="22"/>
              </w:rPr>
              <w:t>Amélioration de la survie Stomatite</w:t>
            </w:r>
          </w:p>
        </w:tc>
        <w:tc>
          <w:tcPr>
            <w:tcW w:w="1844" w:type="dxa"/>
          </w:tcPr>
          <w:p>
            <w:pPr>
              <w:pStyle w:val="TableParagraph"/>
              <w:ind w:left="110" w:right="108"/>
              <w:jc w:val="center"/>
              <w:rPr>
                <w:sz w:val="18"/>
              </w:rPr>
            </w:pPr>
            <w:r>
              <w:rPr>
                <w:sz w:val="18"/>
              </w:rPr>
              <w:t>Lombard-Bohas et al., 2015</w:t>
            </w:r>
          </w:p>
          <w:p>
            <w:pPr>
              <w:pStyle w:val="TableParagraph"/>
              <w:spacing w:line="193" w:lineRule="exact" w:before="5"/>
              <w:ind w:left="108" w:right="108"/>
              <w:jc w:val="center"/>
              <w:rPr>
                <w:sz w:val="18"/>
              </w:rPr>
            </w:pPr>
            <w:r>
              <w:rPr>
                <w:sz w:val="18"/>
              </w:rPr>
              <w:t>NCT00510068</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5 mg PO SID</w:t>
            </w:r>
          </w:p>
        </w:tc>
        <w:tc>
          <w:tcPr>
            <w:tcW w:w="2131" w:type="dxa"/>
          </w:tcPr>
          <w:p>
            <w:pPr>
              <w:pStyle w:val="TableParagraph"/>
              <w:spacing w:line="246" w:lineRule="exact"/>
              <w:ind w:left="170" w:hanging="24"/>
              <w:rPr>
                <w:sz w:val="22"/>
              </w:rPr>
            </w:pPr>
            <w:r>
              <w:rPr>
                <w:sz w:val="22"/>
              </w:rPr>
              <w:t>Cancer du sein triple</w:t>
            </w:r>
          </w:p>
          <w:p>
            <w:pPr>
              <w:pStyle w:val="TableParagraph"/>
              <w:spacing w:line="240" w:lineRule="exact"/>
              <w:ind w:left="170"/>
              <w:rPr>
                <w:sz w:val="22"/>
              </w:rPr>
            </w:pPr>
            <w:r>
              <w:rPr>
                <w:sz w:val="22"/>
              </w:rPr>
              <w:t>négatif métastatique</w:t>
            </w:r>
          </w:p>
        </w:tc>
        <w:tc>
          <w:tcPr>
            <w:tcW w:w="1556" w:type="dxa"/>
          </w:tcPr>
          <w:p>
            <w:pPr>
              <w:pStyle w:val="TableParagraph"/>
              <w:spacing w:line="247" w:lineRule="exact"/>
              <w:ind w:left="122" w:right="123"/>
              <w:jc w:val="center"/>
              <w:rPr>
                <w:sz w:val="22"/>
              </w:rPr>
            </w:pPr>
            <w:r>
              <w:rPr>
                <w:sz w:val="22"/>
              </w:rPr>
              <w:t>Carboplatine</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6" w:lineRule="exact"/>
              <w:ind w:left="93" w:right="93"/>
              <w:jc w:val="center"/>
              <w:rPr>
                <w:sz w:val="22"/>
              </w:rPr>
            </w:pPr>
            <w:r>
              <w:rPr>
                <w:sz w:val="22"/>
              </w:rPr>
              <w:t>Toxicité hématologique</w:t>
            </w:r>
          </w:p>
          <w:p>
            <w:pPr>
              <w:pStyle w:val="TableParagraph"/>
              <w:spacing w:line="240" w:lineRule="exact"/>
              <w:ind w:left="92" w:right="93"/>
              <w:jc w:val="center"/>
              <w:rPr>
                <w:sz w:val="22"/>
              </w:rPr>
            </w:pPr>
            <w:r>
              <w:rPr>
                <w:sz w:val="22"/>
              </w:rPr>
              <w:t>Bonne efficacité</w:t>
            </w:r>
          </w:p>
        </w:tc>
        <w:tc>
          <w:tcPr>
            <w:tcW w:w="1844" w:type="dxa"/>
          </w:tcPr>
          <w:p>
            <w:pPr>
              <w:pStyle w:val="TableParagraph"/>
              <w:ind w:left="376" w:right="266" w:hanging="94"/>
              <w:rPr>
                <w:sz w:val="18"/>
              </w:rPr>
            </w:pPr>
            <w:r>
              <w:rPr>
                <w:sz w:val="18"/>
              </w:rPr>
              <w:t>Singh et al., 2014 NCT01127763</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101" w:right="103"/>
              <w:jc w:val="center"/>
              <w:rPr>
                <w:sz w:val="22"/>
              </w:rPr>
            </w:pPr>
            <w:r>
              <w:rPr>
                <w:sz w:val="22"/>
              </w:rPr>
              <w:t>10 mg PO SID</w:t>
            </w:r>
          </w:p>
        </w:tc>
        <w:tc>
          <w:tcPr>
            <w:tcW w:w="2131" w:type="dxa"/>
            <w:vMerge w:val="restart"/>
          </w:tcPr>
          <w:p>
            <w:pPr>
              <w:pStyle w:val="TableParagraph"/>
              <w:ind w:left="722" w:right="388" w:hanging="317"/>
              <w:rPr>
                <w:sz w:val="22"/>
              </w:rPr>
            </w:pPr>
            <w:r>
              <w:rPr>
                <w:sz w:val="22"/>
              </w:rPr>
              <w:t>Cancer du sein HER2+</w:t>
            </w:r>
          </w:p>
        </w:tc>
        <w:tc>
          <w:tcPr>
            <w:tcW w:w="1556" w:type="dxa"/>
          </w:tcPr>
          <w:p>
            <w:pPr>
              <w:pStyle w:val="TableParagraph"/>
              <w:spacing w:line="246" w:lineRule="exact"/>
              <w:ind w:left="120" w:right="123"/>
              <w:jc w:val="center"/>
              <w:rPr>
                <w:sz w:val="22"/>
              </w:rPr>
            </w:pPr>
            <w:r>
              <w:rPr>
                <w:sz w:val="22"/>
              </w:rPr>
              <w:t>Paclitaxel</w:t>
            </w:r>
          </w:p>
          <w:p>
            <w:pPr>
              <w:pStyle w:val="TableParagraph"/>
              <w:spacing w:line="240" w:lineRule="exact"/>
              <w:ind w:left="120" w:right="123"/>
              <w:jc w:val="center"/>
              <w:rPr>
                <w:sz w:val="22"/>
              </w:rPr>
            </w:pPr>
            <w:r>
              <w:rPr>
                <w:sz w:val="22"/>
              </w:rPr>
              <w:t>Trastuzumab</w:t>
            </w:r>
          </w:p>
        </w:tc>
        <w:tc>
          <w:tcPr>
            <w:tcW w:w="1274" w:type="dxa"/>
          </w:tcPr>
          <w:p>
            <w:pPr>
              <w:pStyle w:val="TableParagraph"/>
              <w:spacing w:line="247" w:lineRule="exact"/>
              <w:ind w:left="113" w:right="114"/>
              <w:jc w:val="center"/>
              <w:rPr>
                <w:sz w:val="22"/>
              </w:rPr>
            </w:pPr>
            <w:r>
              <w:rPr>
                <w:sz w:val="22"/>
              </w:rPr>
              <w:t>Phase III</w:t>
            </w:r>
          </w:p>
        </w:tc>
        <w:tc>
          <w:tcPr>
            <w:tcW w:w="3121" w:type="dxa"/>
          </w:tcPr>
          <w:p>
            <w:pPr>
              <w:pStyle w:val="TableParagraph"/>
              <w:spacing w:line="246" w:lineRule="exact"/>
              <w:ind w:left="91" w:right="93"/>
              <w:jc w:val="center"/>
              <w:rPr>
                <w:sz w:val="22"/>
              </w:rPr>
            </w:pPr>
            <w:r>
              <w:rPr>
                <w:sz w:val="22"/>
              </w:rPr>
              <w:t>Amélioration survie</w:t>
            </w:r>
          </w:p>
          <w:p>
            <w:pPr>
              <w:pStyle w:val="TableParagraph"/>
              <w:spacing w:line="240" w:lineRule="exact"/>
              <w:ind w:left="91" w:right="93"/>
              <w:jc w:val="center"/>
              <w:rPr>
                <w:sz w:val="22"/>
              </w:rPr>
            </w:pPr>
            <w:r>
              <w:rPr>
                <w:sz w:val="22"/>
              </w:rPr>
              <w:t>Stomatite, diarrhée, alopécie</w:t>
            </w:r>
          </w:p>
        </w:tc>
        <w:tc>
          <w:tcPr>
            <w:tcW w:w="1844" w:type="dxa"/>
          </w:tcPr>
          <w:p>
            <w:pPr>
              <w:pStyle w:val="TableParagraph"/>
              <w:ind w:left="376" w:right="201" w:hanging="159"/>
              <w:rPr>
                <w:sz w:val="18"/>
              </w:rPr>
            </w:pPr>
            <w:r>
              <w:rPr>
                <w:sz w:val="18"/>
              </w:rPr>
              <w:t>Hurvitz et al., 2015 NCT01007942</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5 mg PO SID</w:t>
            </w:r>
          </w:p>
        </w:tc>
        <w:tc>
          <w:tcPr>
            <w:tcW w:w="2131" w:type="dxa"/>
            <w:vMerge/>
            <w:tcBorders>
              <w:top w:val="nil"/>
            </w:tcBorders>
          </w:tcPr>
          <w:p>
            <w:pPr>
              <w:rPr>
                <w:sz w:val="2"/>
                <w:szCs w:val="2"/>
              </w:rPr>
            </w:pPr>
          </w:p>
        </w:tc>
        <w:tc>
          <w:tcPr>
            <w:tcW w:w="1556" w:type="dxa"/>
          </w:tcPr>
          <w:p>
            <w:pPr>
              <w:pStyle w:val="TableParagraph"/>
              <w:spacing w:line="246" w:lineRule="exact"/>
              <w:ind w:left="196" w:firstLine="50"/>
              <w:rPr>
                <w:sz w:val="22"/>
              </w:rPr>
            </w:pPr>
            <w:r>
              <w:rPr>
                <w:sz w:val="22"/>
              </w:rPr>
              <w:t>Vinorelbine</w:t>
            </w:r>
          </w:p>
          <w:p>
            <w:pPr>
              <w:pStyle w:val="TableParagraph"/>
              <w:spacing w:line="240" w:lineRule="exact"/>
              <w:ind w:left="196"/>
              <w:rPr>
                <w:sz w:val="22"/>
              </w:rPr>
            </w:pPr>
            <w:r>
              <w:rPr>
                <w:sz w:val="22"/>
              </w:rPr>
              <w:t>Trastuzumab</w:t>
            </w:r>
          </w:p>
        </w:tc>
        <w:tc>
          <w:tcPr>
            <w:tcW w:w="1274" w:type="dxa"/>
          </w:tcPr>
          <w:p>
            <w:pPr>
              <w:pStyle w:val="TableParagraph"/>
              <w:spacing w:line="247" w:lineRule="exact"/>
              <w:ind w:left="113" w:right="114"/>
              <w:jc w:val="center"/>
              <w:rPr>
                <w:sz w:val="22"/>
              </w:rPr>
            </w:pPr>
            <w:r>
              <w:rPr>
                <w:sz w:val="22"/>
              </w:rPr>
              <w:t>Phase III</w:t>
            </w:r>
          </w:p>
        </w:tc>
        <w:tc>
          <w:tcPr>
            <w:tcW w:w="3121" w:type="dxa"/>
          </w:tcPr>
          <w:p>
            <w:pPr>
              <w:pStyle w:val="TableParagraph"/>
              <w:spacing w:line="246" w:lineRule="exact"/>
              <w:ind w:left="429" w:firstLine="4"/>
              <w:rPr>
                <w:sz w:val="22"/>
              </w:rPr>
            </w:pPr>
            <w:r>
              <w:rPr>
                <w:sz w:val="22"/>
              </w:rPr>
              <w:t>Amélioration de la survie</w:t>
            </w:r>
          </w:p>
          <w:p>
            <w:pPr>
              <w:pStyle w:val="TableParagraph"/>
              <w:spacing w:line="240" w:lineRule="exact"/>
              <w:ind w:left="429"/>
              <w:rPr>
                <w:sz w:val="22"/>
              </w:rPr>
            </w:pPr>
            <w:r>
              <w:rPr>
                <w:sz w:val="22"/>
              </w:rPr>
              <w:t>Leucopénie - neutropénie</w:t>
            </w:r>
          </w:p>
        </w:tc>
        <w:tc>
          <w:tcPr>
            <w:tcW w:w="1844" w:type="dxa"/>
          </w:tcPr>
          <w:p>
            <w:pPr>
              <w:pStyle w:val="TableParagraph"/>
              <w:ind w:left="376" w:right="250" w:hanging="108"/>
              <w:rPr>
                <w:sz w:val="18"/>
              </w:rPr>
            </w:pPr>
            <w:r>
              <w:rPr>
                <w:sz w:val="18"/>
              </w:rPr>
              <w:t>André et al., 2014 NCT01007942</w:t>
            </w:r>
          </w:p>
        </w:tc>
        <w:tc>
          <w:tcPr>
            <w:tcW w:w="991" w:type="dxa"/>
            <w:vMerge/>
            <w:tcBorders>
              <w:top w:val="nil"/>
            </w:tcBorders>
          </w:tcPr>
          <w:p>
            <w:pPr>
              <w:rPr>
                <w:sz w:val="2"/>
                <w:szCs w:val="2"/>
              </w:rPr>
            </w:pPr>
          </w:p>
        </w:tc>
      </w:tr>
      <w:tr>
        <w:trPr>
          <w:trHeight w:val="240" w:hRule="atLeast"/>
        </w:trPr>
        <w:tc>
          <w:tcPr>
            <w:tcW w:w="1560" w:type="dxa"/>
            <w:vMerge/>
            <w:tcBorders>
              <w:top w:val="nil"/>
            </w:tcBorders>
          </w:tcPr>
          <w:p>
            <w:pPr>
              <w:rPr>
                <w:sz w:val="2"/>
                <w:szCs w:val="2"/>
              </w:rPr>
            </w:pPr>
          </w:p>
        </w:tc>
        <w:tc>
          <w:tcPr>
            <w:tcW w:w="2835" w:type="dxa"/>
          </w:tcPr>
          <w:p>
            <w:pPr>
              <w:pStyle w:val="TableParagraph"/>
              <w:spacing w:line="232" w:lineRule="exact"/>
              <w:ind w:left="101" w:right="103"/>
              <w:jc w:val="center"/>
              <w:rPr>
                <w:sz w:val="22"/>
              </w:rPr>
            </w:pPr>
            <w:r>
              <w:rPr>
                <w:sz w:val="22"/>
              </w:rPr>
              <w:t>10 mg PO SID</w:t>
            </w:r>
          </w:p>
        </w:tc>
        <w:tc>
          <w:tcPr>
            <w:tcW w:w="2131" w:type="dxa"/>
            <w:vMerge w:val="restart"/>
          </w:tcPr>
          <w:p>
            <w:pPr>
              <w:pStyle w:val="TableParagraph"/>
              <w:ind w:left="748" w:right="389" w:hanging="344"/>
              <w:rPr>
                <w:sz w:val="22"/>
              </w:rPr>
            </w:pPr>
            <w:r>
              <w:rPr>
                <w:sz w:val="22"/>
              </w:rPr>
              <w:t>Cancer du sein HER2-</w:t>
            </w:r>
          </w:p>
        </w:tc>
        <w:tc>
          <w:tcPr>
            <w:tcW w:w="1556" w:type="dxa"/>
          </w:tcPr>
          <w:p>
            <w:pPr>
              <w:pStyle w:val="TableParagraph"/>
              <w:spacing w:line="232" w:lineRule="exact"/>
              <w:ind w:left="122" w:right="123"/>
              <w:jc w:val="center"/>
              <w:rPr>
                <w:sz w:val="22"/>
              </w:rPr>
            </w:pPr>
            <w:r>
              <w:rPr>
                <w:sz w:val="22"/>
              </w:rPr>
              <w:t>Tamoxifène</w:t>
            </w:r>
          </w:p>
        </w:tc>
        <w:tc>
          <w:tcPr>
            <w:tcW w:w="1274" w:type="dxa"/>
          </w:tcPr>
          <w:p>
            <w:pPr>
              <w:pStyle w:val="TableParagraph"/>
              <w:spacing w:line="232" w:lineRule="exact"/>
              <w:ind w:left="113" w:right="114"/>
              <w:jc w:val="center"/>
              <w:rPr>
                <w:sz w:val="22"/>
              </w:rPr>
            </w:pPr>
            <w:r>
              <w:rPr>
                <w:sz w:val="22"/>
              </w:rPr>
              <w:t>Phase II</w:t>
            </w:r>
          </w:p>
        </w:tc>
        <w:tc>
          <w:tcPr>
            <w:tcW w:w="3121" w:type="dxa"/>
          </w:tcPr>
          <w:p>
            <w:pPr>
              <w:pStyle w:val="TableParagraph"/>
              <w:spacing w:line="232" w:lineRule="exact"/>
              <w:ind w:left="93" w:right="93"/>
              <w:jc w:val="center"/>
              <w:rPr>
                <w:sz w:val="22"/>
              </w:rPr>
            </w:pPr>
            <w:r>
              <w:rPr>
                <w:sz w:val="22"/>
              </w:rPr>
              <w:t>Amélioration de la survie</w:t>
            </w:r>
          </w:p>
        </w:tc>
        <w:tc>
          <w:tcPr>
            <w:tcW w:w="1844" w:type="dxa"/>
          </w:tcPr>
          <w:p>
            <w:pPr>
              <w:pStyle w:val="TableParagraph"/>
              <w:spacing w:line="202" w:lineRule="exact"/>
              <w:ind w:left="107" w:right="108"/>
              <w:jc w:val="center"/>
              <w:rPr>
                <w:sz w:val="18"/>
              </w:rPr>
            </w:pPr>
            <w:r>
              <w:rPr>
                <w:sz w:val="18"/>
              </w:rPr>
              <w:t>Bachelot et al., 2012</w:t>
            </w:r>
          </w:p>
        </w:tc>
        <w:tc>
          <w:tcPr>
            <w:tcW w:w="991" w:type="dxa"/>
            <w:vMerge/>
            <w:tcBorders>
              <w:top w:val="nil"/>
            </w:tcBorders>
          </w:tcPr>
          <w:p>
            <w:pPr>
              <w:rPr>
                <w:sz w:val="2"/>
                <w:szCs w:val="2"/>
              </w:rPr>
            </w:pPr>
          </w:p>
        </w:tc>
      </w:tr>
      <w:tr>
        <w:trPr>
          <w:trHeight w:val="400" w:hRule="atLeast"/>
        </w:trPr>
        <w:tc>
          <w:tcPr>
            <w:tcW w:w="1560" w:type="dxa"/>
            <w:vMerge/>
            <w:tcBorders>
              <w:top w:val="nil"/>
            </w:tcBorders>
          </w:tcPr>
          <w:p>
            <w:pPr>
              <w:rPr>
                <w:sz w:val="2"/>
                <w:szCs w:val="2"/>
              </w:rPr>
            </w:pPr>
          </w:p>
        </w:tc>
        <w:tc>
          <w:tcPr>
            <w:tcW w:w="2835" w:type="dxa"/>
          </w:tcPr>
          <w:p>
            <w:pPr>
              <w:pStyle w:val="TableParagraph"/>
              <w:spacing w:line="247" w:lineRule="exact"/>
              <w:ind w:left="101" w:right="103"/>
              <w:jc w:val="center"/>
              <w:rPr>
                <w:sz w:val="22"/>
              </w:rPr>
            </w:pPr>
            <w:r>
              <w:rPr>
                <w:sz w:val="22"/>
              </w:rPr>
              <w:t>10 mg PO SID</w:t>
            </w:r>
          </w:p>
        </w:tc>
        <w:tc>
          <w:tcPr>
            <w:tcW w:w="2131" w:type="dxa"/>
            <w:vMerge/>
            <w:tcBorders>
              <w:top w:val="nil"/>
            </w:tcBorders>
          </w:tcPr>
          <w:p>
            <w:pPr>
              <w:rPr>
                <w:sz w:val="2"/>
                <w:szCs w:val="2"/>
              </w:rPr>
            </w:pPr>
          </w:p>
        </w:tc>
        <w:tc>
          <w:tcPr>
            <w:tcW w:w="1556" w:type="dxa"/>
          </w:tcPr>
          <w:p>
            <w:pPr>
              <w:pStyle w:val="TableParagraph"/>
              <w:spacing w:line="247" w:lineRule="exact"/>
              <w:ind w:left="122" w:right="123"/>
              <w:jc w:val="center"/>
              <w:rPr>
                <w:sz w:val="22"/>
              </w:rPr>
            </w:pPr>
            <w:r>
              <w:rPr>
                <w:sz w:val="22"/>
              </w:rPr>
              <w:t>Exemestane</w:t>
            </w:r>
          </w:p>
        </w:tc>
        <w:tc>
          <w:tcPr>
            <w:tcW w:w="1274" w:type="dxa"/>
          </w:tcPr>
          <w:p>
            <w:pPr>
              <w:pStyle w:val="TableParagraph"/>
              <w:spacing w:line="247" w:lineRule="exact"/>
              <w:ind w:left="113" w:right="114"/>
              <w:jc w:val="center"/>
              <w:rPr>
                <w:sz w:val="22"/>
              </w:rPr>
            </w:pPr>
            <w:r>
              <w:rPr>
                <w:sz w:val="22"/>
              </w:rPr>
              <w:t>Phase III</w:t>
            </w:r>
          </w:p>
        </w:tc>
        <w:tc>
          <w:tcPr>
            <w:tcW w:w="3121" w:type="dxa"/>
          </w:tcPr>
          <w:p>
            <w:pPr>
              <w:pStyle w:val="TableParagraph"/>
              <w:spacing w:line="247" w:lineRule="exact"/>
              <w:ind w:left="93" w:right="93"/>
              <w:jc w:val="center"/>
              <w:rPr>
                <w:sz w:val="22"/>
              </w:rPr>
            </w:pPr>
            <w:r>
              <w:rPr>
                <w:sz w:val="22"/>
              </w:rPr>
              <w:t>Amélioration de la survie</w:t>
            </w:r>
          </w:p>
        </w:tc>
        <w:tc>
          <w:tcPr>
            <w:tcW w:w="1844" w:type="dxa"/>
          </w:tcPr>
          <w:p>
            <w:pPr>
              <w:pStyle w:val="TableParagraph"/>
              <w:spacing w:line="202" w:lineRule="exact"/>
              <w:ind w:left="107" w:right="108"/>
              <w:jc w:val="center"/>
              <w:rPr>
                <w:sz w:val="18"/>
              </w:rPr>
            </w:pPr>
            <w:r>
              <w:rPr>
                <w:sz w:val="18"/>
              </w:rPr>
              <w:t>Baselga et al., 2012</w:t>
            </w:r>
          </w:p>
          <w:p>
            <w:pPr>
              <w:pStyle w:val="TableParagraph"/>
              <w:spacing w:line="191" w:lineRule="exact" w:before="2"/>
              <w:ind w:left="108" w:right="108"/>
              <w:jc w:val="center"/>
              <w:rPr>
                <w:sz w:val="18"/>
              </w:rPr>
            </w:pPr>
            <w:r>
              <w:rPr>
                <w:sz w:val="18"/>
              </w:rPr>
              <w:t>NCT00863655</w:t>
            </w:r>
          </w:p>
        </w:tc>
        <w:tc>
          <w:tcPr>
            <w:tcW w:w="991" w:type="dxa"/>
            <w:vMerge/>
            <w:tcBorders>
              <w:top w:val="nil"/>
            </w:tcBorders>
          </w:tcPr>
          <w:p>
            <w:pPr>
              <w:rPr>
                <w:sz w:val="2"/>
                <w:szCs w:val="2"/>
              </w:rPr>
            </w:pPr>
          </w:p>
        </w:tc>
      </w:tr>
      <w:tr>
        <w:trPr>
          <w:trHeight w:val="500" w:hRule="atLeast"/>
        </w:trPr>
        <w:tc>
          <w:tcPr>
            <w:tcW w:w="1560" w:type="dxa"/>
            <w:vMerge w:val="restart"/>
          </w:tcPr>
          <w:p>
            <w:pPr>
              <w:pStyle w:val="TableParagraph"/>
              <w:ind w:left="374" w:right="121" w:hanging="245"/>
              <w:rPr>
                <w:b/>
                <w:sz w:val="22"/>
              </w:rPr>
            </w:pPr>
            <w:r>
              <w:rPr>
                <w:b/>
                <w:sz w:val="22"/>
              </w:rPr>
              <w:t>Temsirolimus CCI-779</w:t>
            </w:r>
          </w:p>
        </w:tc>
        <w:tc>
          <w:tcPr>
            <w:tcW w:w="2835" w:type="dxa"/>
          </w:tcPr>
          <w:p>
            <w:pPr>
              <w:pStyle w:val="TableParagraph"/>
              <w:spacing w:line="246" w:lineRule="exact"/>
              <w:ind w:left="101" w:right="103"/>
              <w:jc w:val="center"/>
              <w:rPr>
                <w:sz w:val="22"/>
              </w:rPr>
            </w:pPr>
            <w:r>
              <w:rPr>
                <w:sz w:val="22"/>
              </w:rPr>
              <w:t>30 mg par jour 5 j toutes les</w:t>
            </w:r>
          </w:p>
          <w:p>
            <w:pPr>
              <w:pStyle w:val="TableParagraph"/>
              <w:spacing w:line="240" w:lineRule="exact"/>
              <w:ind w:left="103" w:right="103"/>
              <w:jc w:val="center"/>
              <w:rPr>
                <w:sz w:val="22"/>
              </w:rPr>
            </w:pPr>
            <w:r>
              <w:rPr>
                <w:sz w:val="22"/>
              </w:rPr>
              <w:t>2 semaines</w:t>
            </w:r>
          </w:p>
        </w:tc>
        <w:tc>
          <w:tcPr>
            <w:tcW w:w="2131" w:type="dxa"/>
            <w:vMerge/>
            <w:tcBorders>
              <w:top w:val="nil"/>
            </w:tcBorders>
          </w:tcPr>
          <w:p>
            <w:pPr>
              <w:rPr>
                <w:sz w:val="2"/>
                <w:szCs w:val="2"/>
              </w:rPr>
            </w:pPr>
          </w:p>
        </w:tc>
        <w:tc>
          <w:tcPr>
            <w:tcW w:w="1556" w:type="dxa"/>
          </w:tcPr>
          <w:p>
            <w:pPr>
              <w:pStyle w:val="TableParagraph"/>
              <w:spacing w:line="247" w:lineRule="exact"/>
              <w:ind w:left="122" w:right="123"/>
              <w:jc w:val="center"/>
              <w:rPr>
                <w:sz w:val="22"/>
              </w:rPr>
            </w:pPr>
            <w:r>
              <w:rPr>
                <w:sz w:val="22"/>
              </w:rPr>
              <w:t>Letrozole</w:t>
            </w:r>
          </w:p>
        </w:tc>
        <w:tc>
          <w:tcPr>
            <w:tcW w:w="1274" w:type="dxa"/>
          </w:tcPr>
          <w:p>
            <w:pPr>
              <w:pStyle w:val="TableParagraph"/>
              <w:spacing w:line="247" w:lineRule="exact"/>
              <w:ind w:left="113" w:right="114"/>
              <w:jc w:val="center"/>
              <w:rPr>
                <w:sz w:val="22"/>
              </w:rPr>
            </w:pPr>
            <w:r>
              <w:rPr>
                <w:sz w:val="22"/>
              </w:rPr>
              <w:t>Phase III</w:t>
            </w:r>
          </w:p>
        </w:tc>
        <w:tc>
          <w:tcPr>
            <w:tcW w:w="3121" w:type="dxa"/>
          </w:tcPr>
          <w:p>
            <w:pPr>
              <w:pStyle w:val="TableParagraph"/>
              <w:spacing w:line="247" w:lineRule="exact"/>
              <w:ind w:left="91" w:right="93"/>
              <w:jc w:val="center"/>
              <w:rPr>
                <w:sz w:val="22"/>
              </w:rPr>
            </w:pPr>
            <w:r>
              <w:rPr>
                <w:sz w:val="22"/>
              </w:rPr>
              <w:t>Pas d’amélioration de la survie</w:t>
            </w:r>
          </w:p>
        </w:tc>
        <w:tc>
          <w:tcPr>
            <w:tcW w:w="1844" w:type="dxa"/>
          </w:tcPr>
          <w:p>
            <w:pPr>
              <w:pStyle w:val="TableParagraph"/>
              <w:ind w:left="376" w:right="262" w:hanging="99"/>
              <w:rPr>
                <w:sz w:val="18"/>
              </w:rPr>
            </w:pPr>
            <w:r>
              <w:rPr>
                <w:sz w:val="18"/>
              </w:rPr>
              <w:t>Wolff et al., 2013 NCT00083993</w:t>
            </w:r>
          </w:p>
        </w:tc>
        <w:tc>
          <w:tcPr>
            <w:tcW w:w="991" w:type="dxa"/>
            <w:vMerge/>
            <w:tcBorders>
              <w:top w:val="nil"/>
            </w:tcBorders>
          </w:tcPr>
          <w:p>
            <w:pPr>
              <w:rPr>
                <w:sz w:val="2"/>
                <w:szCs w:val="2"/>
              </w:rPr>
            </w:pPr>
          </w:p>
        </w:tc>
      </w:tr>
      <w:tr>
        <w:trPr>
          <w:trHeight w:val="740" w:hRule="atLeast"/>
        </w:trPr>
        <w:tc>
          <w:tcPr>
            <w:tcW w:w="1560" w:type="dxa"/>
            <w:vMerge/>
            <w:tcBorders>
              <w:top w:val="nil"/>
            </w:tcBorders>
          </w:tcPr>
          <w:p>
            <w:pPr>
              <w:rPr>
                <w:sz w:val="2"/>
                <w:szCs w:val="2"/>
              </w:rPr>
            </w:pPr>
          </w:p>
        </w:tc>
        <w:tc>
          <w:tcPr>
            <w:tcW w:w="2835" w:type="dxa"/>
          </w:tcPr>
          <w:p>
            <w:pPr>
              <w:pStyle w:val="TableParagraph"/>
              <w:spacing w:line="247" w:lineRule="exact"/>
              <w:ind w:left="102" w:right="103"/>
              <w:jc w:val="center"/>
              <w:rPr>
                <w:sz w:val="22"/>
              </w:rPr>
            </w:pPr>
            <w:r>
              <w:rPr>
                <w:sz w:val="22"/>
              </w:rPr>
              <w:t>Pas de données trouvées</w:t>
            </w:r>
          </w:p>
        </w:tc>
        <w:tc>
          <w:tcPr>
            <w:tcW w:w="2131" w:type="dxa"/>
          </w:tcPr>
          <w:p>
            <w:pPr>
              <w:pStyle w:val="TableParagraph"/>
              <w:ind w:left="383" w:right="368" w:firstLine="19"/>
              <w:rPr>
                <w:sz w:val="22"/>
              </w:rPr>
            </w:pPr>
            <w:r>
              <w:rPr>
                <w:sz w:val="22"/>
              </w:rPr>
              <w:t>Carcinome des cellules rénales</w:t>
            </w:r>
          </w:p>
          <w:p>
            <w:pPr>
              <w:pStyle w:val="TableParagraph"/>
              <w:spacing w:line="238" w:lineRule="exact" w:before="7"/>
              <w:ind w:left="460"/>
              <w:rPr>
                <w:sz w:val="22"/>
              </w:rPr>
            </w:pPr>
            <w:r>
              <w:rPr>
                <w:sz w:val="22"/>
              </w:rPr>
              <w:t>métastatiques</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III</w:t>
            </w:r>
          </w:p>
        </w:tc>
        <w:tc>
          <w:tcPr>
            <w:tcW w:w="3121" w:type="dxa"/>
          </w:tcPr>
          <w:p>
            <w:pPr>
              <w:pStyle w:val="TableParagraph"/>
              <w:ind w:left="458" w:right="102" w:hanging="341"/>
              <w:rPr>
                <w:sz w:val="22"/>
              </w:rPr>
            </w:pPr>
            <w:r>
              <w:rPr>
                <w:sz w:val="22"/>
              </w:rPr>
              <w:t>Survie augmentée par rapport au traitement conventionnel</w:t>
            </w:r>
          </w:p>
        </w:tc>
        <w:tc>
          <w:tcPr>
            <w:tcW w:w="1844" w:type="dxa"/>
          </w:tcPr>
          <w:p>
            <w:pPr>
              <w:pStyle w:val="TableParagraph"/>
              <w:spacing w:line="202" w:lineRule="exact"/>
              <w:ind w:left="107" w:right="108"/>
              <w:jc w:val="center"/>
              <w:rPr>
                <w:sz w:val="18"/>
              </w:rPr>
            </w:pPr>
            <w:r>
              <w:rPr>
                <w:sz w:val="18"/>
              </w:rPr>
              <w:t>Ravaud et al., 2010</w:t>
            </w:r>
          </w:p>
        </w:tc>
        <w:tc>
          <w:tcPr>
            <w:tcW w:w="991" w:type="dxa"/>
            <w:vMerge/>
            <w:tcBorders>
              <w:top w:val="nil"/>
            </w:tcBorders>
          </w:tcPr>
          <w:p>
            <w:pPr>
              <w:rPr>
                <w:sz w:val="2"/>
                <w:szCs w:val="2"/>
              </w:rPr>
            </w:pPr>
          </w:p>
        </w:tc>
      </w:tr>
    </w:tbl>
    <w:p>
      <w:pPr>
        <w:spacing w:after="0"/>
        <w:rPr>
          <w:sz w:val="2"/>
          <w:szCs w:val="2"/>
        </w:rPr>
        <w:sectPr>
          <w:pgSz w:w="16840" w:h="11910" w:orient="landscape"/>
          <w:pgMar w:header="0" w:footer="998" w:top="1100" w:bottom="1180" w:left="640" w:right="640"/>
        </w:sectPr>
      </w:pPr>
    </w:p>
    <w:p>
      <w:pPr>
        <w:pStyle w:val="BodyText"/>
        <w:spacing w:before="1" w:after="1"/>
        <w:rPr>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835"/>
        <w:gridCol w:w="2131"/>
        <w:gridCol w:w="1556"/>
        <w:gridCol w:w="1274"/>
        <w:gridCol w:w="3121"/>
        <w:gridCol w:w="1844"/>
        <w:gridCol w:w="991"/>
      </w:tblGrid>
      <w:tr>
        <w:trPr>
          <w:trHeight w:val="500" w:hRule="atLeast"/>
        </w:trPr>
        <w:tc>
          <w:tcPr>
            <w:tcW w:w="1560" w:type="dxa"/>
          </w:tcPr>
          <w:p>
            <w:pPr>
              <w:pStyle w:val="TableParagraph"/>
              <w:rPr>
                <w:sz w:val="20"/>
              </w:rPr>
            </w:pPr>
          </w:p>
        </w:tc>
        <w:tc>
          <w:tcPr>
            <w:tcW w:w="2835" w:type="dxa"/>
          </w:tcPr>
          <w:p>
            <w:pPr>
              <w:pStyle w:val="TableParagraph"/>
              <w:spacing w:line="247" w:lineRule="exact"/>
              <w:ind w:left="103" w:right="103"/>
              <w:jc w:val="center"/>
              <w:rPr>
                <w:sz w:val="22"/>
              </w:rPr>
            </w:pPr>
            <w:r>
              <w:rPr>
                <w:sz w:val="22"/>
              </w:rPr>
              <w:t>IV jour 1, 8, 15, 22</w:t>
            </w:r>
          </w:p>
        </w:tc>
        <w:tc>
          <w:tcPr>
            <w:tcW w:w="2131" w:type="dxa"/>
          </w:tcPr>
          <w:p>
            <w:pPr>
              <w:pStyle w:val="TableParagraph"/>
              <w:spacing w:line="246" w:lineRule="exact"/>
              <w:ind w:left="95" w:right="97"/>
              <w:jc w:val="center"/>
              <w:rPr>
                <w:sz w:val="22"/>
              </w:rPr>
            </w:pPr>
            <w:r>
              <w:rPr>
                <w:sz w:val="22"/>
              </w:rPr>
              <w:t>Cancer de l’ovaire et</w:t>
            </w:r>
          </w:p>
          <w:p>
            <w:pPr>
              <w:pStyle w:val="TableParagraph"/>
              <w:spacing w:line="240" w:lineRule="exact"/>
              <w:ind w:left="96" w:right="97"/>
              <w:jc w:val="center"/>
              <w:rPr>
                <w:sz w:val="22"/>
              </w:rPr>
            </w:pPr>
            <w:r>
              <w:rPr>
                <w:sz w:val="22"/>
              </w:rPr>
              <w:t>autres</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6" w:lineRule="exact"/>
              <w:ind w:left="92" w:right="93"/>
              <w:jc w:val="center"/>
              <w:rPr>
                <w:sz w:val="22"/>
              </w:rPr>
            </w:pPr>
            <w:r>
              <w:rPr>
                <w:sz w:val="22"/>
              </w:rPr>
              <w:t>Bonne tolérance</w:t>
            </w:r>
          </w:p>
          <w:p>
            <w:pPr>
              <w:pStyle w:val="TableParagraph"/>
              <w:spacing w:line="240" w:lineRule="exact"/>
              <w:ind w:left="92" w:right="93"/>
              <w:jc w:val="center"/>
              <w:rPr>
                <w:sz w:val="22"/>
              </w:rPr>
            </w:pPr>
            <w:r>
              <w:rPr>
                <w:sz w:val="22"/>
              </w:rPr>
              <w:t>Efficacité modeste</w:t>
            </w:r>
          </w:p>
        </w:tc>
        <w:tc>
          <w:tcPr>
            <w:tcW w:w="1844" w:type="dxa"/>
          </w:tcPr>
          <w:p>
            <w:pPr>
              <w:pStyle w:val="TableParagraph"/>
              <w:ind w:left="376" w:right="130" w:hanging="228"/>
              <w:rPr>
                <w:sz w:val="18"/>
              </w:rPr>
            </w:pPr>
            <w:r>
              <w:rPr>
                <w:sz w:val="18"/>
              </w:rPr>
              <w:t>Behbakht et al., 2011 NCT00429793</w:t>
            </w:r>
          </w:p>
        </w:tc>
        <w:tc>
          <w:tcPr>
            <w:tcW w:w="991" w:type="dxa"/>
          </w:tcPr>
          <w:p>
            <w:pPr>
              <w:pStyle w:val="TableParagraph"/>
              <w:rPr>
                <w:sz w:val="20"/>
              </w:rPr>
            </w:pPr>
          </w:p>
        </w:tc>
      </w:tr>
      <w:tr>
        <w:trPr>
          <w:trHeight w:val="260" w:hRule="atLeast"/>
        </w:trPr>
        <w:tc>
          <w:tcPr>
            <w:tcW w:w="15312" w:type="dxa"/>
            <w:gridSpan w:val="8"/>
          </w:tcPr>
          <w:p>
            <w:pPr>
              <w:pStyle w:val="TableParagraph"/>
              <w:spacing w:line="256" w:lineRule="exact"/>
              <w:ind w:left="6001" w:right="6000"/>
              <w:jc w:val="center"/>
              <w:rPr>
                <w:b/>
                <w:i/>
                <w:sz w:val="24"/>
              </w:rPr>
            </w:pPr>
            <w:r>
              <w:rPr>
                <w:b/>
                <w:i/>
                <w:sz w:val="24"/>
              </w:rPr>
              <w:t>Cibler la formation d’acétyl-CoA</w:t>
            </w:r>
          </w:p>
        </w:tc>
      </w:tr>
      <w:tr>
        <w:trPr>
          <w:trHeight w:val="500" w:hRule="atLeast"/>
        </w:trPr>
        <w:tc>
          <w:tcPr>
            <w:tcW w:w="1560" w:type="dxa"/>
            <w:vMerge w:val="restart"/>
          </w:tcPr>
          <w:p>
            <w:pPr>
              <w:pStyle w:val="TableParagraph"/>
              <w:spacing w:line="251" w:lineRule="exact"/>
              <w:ind w:left="92" w:right="92"/>
              <w:jc w:val="center"/>
              <w:rPr>
                <w:b/>
                <w:sz w:val="22"/>
              </w:rPr>
            </w:pPr>
            <w:r>
              <w:rPr>
                <w:b/>
                <w:sz w:val="22"/>
              </w:rPr>
              <w:t>DCA</w:t>
            </w:r>
          </w:p>
        </w:tc>
        <w:tc>
          <w:tcPr>
            <w:tcW w:w="2835" w:type="dxa"/>
          </w:tcPr>
          <w:p>
            <w:pPr>
              <w:pStyle w:val="TableParagraph"/>
              <w:spacing w:line="247" w:lineRule="exact"/>
              <w:ind w:left="102" w:right="103"/>
              <w:jc w:val="center"/>
              <w:rPr>
                <w:sz w:val="22"/>
              </w:rPr>
            </w:pPr>
            <w:r>
              <w:rPr>
                <w:sz w:val="22"/>
              </w:rPr>
              <w:t>4 mg/kg BID 30 j</w:t>
            </w:r>
          </w:p>
          <w:p>
            <w:pPr>
              <w:pStyle w:val="TableParagraph"/>
              <w:spacing w:line="238" w:lineRule="exact" w:before="1"/>
              <w:ind w:left="103" w:right="103"/>
              <w:jc w:val="center"/>
              <w:rPr>
                <w:sz w:val="22"/>
              </w:rPr>
            </w:pPr>
            <w:r>
              <w:rPr>
                <w:sz w:val="22"/>
              </w:rPr>
              <w:t>12,5 mg/kg BID 30 j</w:t>
            </w:r>
          </w:p>
        </w:tc>
        <w:tc>
          <w:tcPr>
            <w:tcW w:w="2131" w:type="dxa"/>
          </w:tcPr>
          <w:p>
            <w:pPr>
              <w:pStyle w:val="TableParagraph"/>
              <w:spacing w:line="247" w:lineRule="exact"/>
              <w:ind w:left="467" w:hanging="89"/>
              <w:rPr>
                <w:sz w:val="22"/>
              </w:rPr>
            </w:pPr>
            <w:r>
              <w:rPr>
                <w:sz w:val="22"/>
              </w:rPr>
              <w:t>Cancer cerveau</w:t>
            </w:r>
          </w:p>
          <w:p>
            <w:pPr>
              <w:pStyle w:val="TableParagraph"/>
              <w:spacing w:line="238" w:lineRule="exact" w:before="1"/>
              <w:ind w:left="467"/>
              <w:rPr>
                <w:sz w:val="22"/>
              </w:rPr>
            </w:pPr>
            <w:r>
              <w:rPr>
                <w:sz w:val="22"/>
              </w:rPr>
              <w:t>Glioblastome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0"/>
              <w:jc w:val="center"/>
              <w:rPr>
                <w:sz w:val="22"/>
              </w:rPr>
            </w:pPr>
            <w:r>
              <w:rPr>
                <w:sz w:val="22"/>
              </w:rPr>
              <w:t>Phase I</w:t>
            </w:r>
          </w:p>
        </w:tc>
        <w:tc>
          <w:tcPr>
            <w:tcW w:w="3121" w:type="dxa"/>
          </w:tcPr>
          <w:p>
            <w:pPr>
              <w:pStyle w:val="TableParagraph"/>
              <w:spacing w:line="247" w:lineRule="exact"/>
              <w:ind w:left="93" w:right="93"/>
              <w:jc w:val="center"/>
              <w:rPr>
                <w:sz w:val="22"/>
              </w:rPr>
            </w:pPr>
            <w:r>
              <w:rPr>
                <w:sz w:val="22"/>
              </w:rPr>
              <w:t>Bonne tolérance</w:t>
            </w:r>
          </w:p>
        </w:tc>
        <w:tc>
          <w:tcPr>
            <w:tcW w:w="1844" w:type="dxa"/>
          </w:tcPr>
          <w:p>
            <w:pPr>
              <w:pStyle w:val="TableParagraph"/>
              <w:ind w:left="376" w:right="206" w:hanging="154"/>
              <w:rPr>
                <w:sz w:val="18"/>
              </w:rPr>
            </w:pPr>
            <w:r>
              <w:rPr>
                <w:sz w:val="18"/>
              </w:rPr>
              <w:t>Dunbar et al., 2014 NCT01111097</w:t>
            </w:r>
          </w:p>
        </w:tc>
        <w:tc>
          <w:tcPr>
            <w:tcW w:w="991" w:type="dxa"/>
            <w:vMerge w:val="restart"/>
          </w:tcPr>
          <w:p>
            <w:pPr>
              <w:pStyle w:val="TableParagraph"/>
              <w:spacing w:line="223" w:lineRule="exact"/>
              <w:ind w:right="1"/>
              <w:jc w:val="center"/>
              <w:rPr>
                <w:sz w:val="20"/>
              </w:rPr>
            </w:pPr>
            <w:r>
              <w:rPr>
                <w:w w:val="99"/>
                <w:sz w:val="20"/>
              </w:rPr>
              <w:t>9</w:t>
            </w:r>
          </w:p>
        </w:tc>
      </w:tr>
      <w:tr>
        <w:trPr>
          <w:trHeight w:val="1260" w:hRule="atLeast"/>
        </w:trPr>
        <w:tc>
          <w:tcPr>
            <w:tcW w:w="1560" w:type="dxa"/>
            <w:vMerge/>
            <w:tcBorders>
              <w:top w:val="nil"/>
            </w:tcBorders>
          </w:tcPr>
          <w:p>
            <w:pPr>
              <w:rPr>
                <w:sz w:val="2"/>
                <w:szCs w:val="2"/>
              </w:rPr>
            </w:pPr>
          </w:p>
        </w:tc>
        <w:tc>
          <w:tcPr>
            <w:tcW w:w="2835" w:type="dxa"/>
          </w:tcPr>
          <w:p>
            <w:pPr>
              <w:pStyle w:val="TableParagraph"/>
              <w:spacing w:before="6"/>
              <w:rPr>
                <w:sz w:val="21"/>
              </w:rPr>
            </w:pPr>
          </w:p>
          <w:p>
            <w:pPr>
              <w:pStyle w:val="TableParagraph"/>
              <w:ind w:left="103" w:right="103"/>
              <w:jc w:val="center"/>
              <w:rPr>
                <w:sz w:val="22"/>
              </w:rPr>
            </w:pPr>
            <w:r>
              <w:rPr>
                <w:sz w:val="22"/>
              </w:rPr>
              <w:t>6,25 mg/kg PO BID</w:t>
            </w:r>
          </w:p>
        </w:tc>
        <w:tc>
          <w:tcPr>
            <w:tcW w:w="2131" w:type="dxa"/>
          </w:tcPr>
          <w:p>
            <w:pPr>
              <w:pStyle w:val="TableParagraph"/>
              <w:ind w:left="167" w:right="166"/>
              <w:jc w:val="center"/>
              <w:rPr>
                <w:sz w:val="22"/>
              </w:rPr>
            </w:pPr>
            <w:r>
              <w:rPr>
                <w:sz w:val="22"/>
              </w:rPr>
              <w:t>Cancer poumon non à petites cellules stade III</w:t>
            </w:r>
          </w:p>
          <w:p>
            <w:pPr>
              <w:pStyle w:val="TableParagraph"/>
              <w:spacing w:line="256" w:lineRule="exact" w:before="6"/>
              <w:ind w:left="107" w:right="108" w:firstLine="2"/>
              <w:jc w:val="center"/>
              <w:rPr>
                <w:sz w:val="22"/>
              </w:rPr>
            </w:pPr>
            <w:r>
              <w:rPr>
                <w:sz w:val="22"/>
              </w:rPr>
              <w:t>Cancer du sein métastatique stade IV</w:t>
            </w:r>
          </w:p>
        </w:tc>
        <w:tc>
          <w:tcPr>
            <w:tcW w:w="1556" w:type="dxa"/>
          </w:tcPr>
          <w:p>
            <w:pPr>
              <w:pStyle w:val="TableParagraph"/>
              <w:spacing w:line="242" w:lineRule="auto"/>
              <w:ind w:left="326" w:right="307"/>
              <w:rPr>
                <w:sz w:val="22"/>
              </w:rPr>
            </w:pPr>
            <w:r>
              <w:rPr>
                <w:sz w:val="22"/>
              </w:rPr>
              <w:t>Cisplatine Docetaxel</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2" w:lineRule="auto"/>
              <w:ind w:left="597" w:right="195" w:hanging="384"/>
              <w:rPr>
                <w:sz w:val="22"/>
              </w:rPr>
            </w:pPr>
            <w:r>
              <w:rPr>
                <w:sz w:val="22"/>
              </w:rPr>
              <w:t>Mort des patients – arrêt étude (embolie pulmonaire)</w:t>
            </w:r>
          </w:p>
        </w:tc>
        <w:tc>
          <w:tcPr>
            <w:tcW w:w="1844" w:type="dxa"/>
          </w:tcPr>
          <w:p>
            <w:pPr>
              <w:pStyle w:val="TableParagraph"/>
              <w:ind w:left="376" w:right="250" w:hanging="108"/>
              <w:rPr>
                <w:sz w:val="18"/>
              </w:rPr>
            </w:pPr>
            <w:r>
              <w:rPr>
                <w:sz w:val="18"/>
              </w:rPr>
              <w:t>Garon et al., 2014 NCT01029925</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2"/>
              <w:jc w:val="center"/>
              <w:rPr>
                <w:sz w:val="22"/>
              </w:rPr>
            </w:pPr>
            <w:r>
              <w:rPr>
                <w:sz w:val="22"/>
              </w:rPr>
              <w:t>Non communiqué</w:t>
            </w:r>
          </w:p>
        </w:tc>
        <w:tc>
          <w:tcPr>
            <w:tcW w:w="2131" w:type="dxa"/>
          </w:tcPr>
          <w:p>
            <w:pPr>
              <w:pStyle w:val="TableParagraph"/>
              <w:spacing w:line="247" w:lineRule="exact"/>
              <w:ind w:left="96" w:right="97"/>
              <w:jc w:val="center"/>
              <w:rPr>
                <w:sz w:val="22"/>
              </w:rPr>
            </w:pPr>
            <w:r>
              <w:rPr>
                <w:sz w:val="22"/>
              </w:rPr>
              <w:t>Glioblastome</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3"/>
              <w:jc w:val="center"/>
              <w:rPr>
                <w:sz w:val="22"/>
              </w:rPr>
            </w:pPr>
            <w:r>
              <w:rPr>
                <w:sz w:val="22"/>
              </w:rPr>
              <w:t>Rapport de</w:t>
            </w:r>
          </w:p>
          <w:p>
            <w:pPr>
              <w:pStyle w:val="TableParagraph"/>
              <w:spacing w:line="238" w:lineRule="exact" w:before="1"/>
              <w:ind w:left="113" w:right="111"/>
              <w:jc w:val="center"/>
              <w:rPr>
                <w:sz w:val="22"/>
              </w:rPr>
            </w:pPr>
            <w:r>
              <w:rPr>
                <w:sz w:val="22"/>
              </w:rPr>
              <w:t>cas</w:t>
            </w:r>
          </w:p>
        </w:tc>
        <w:tc>
          <w:tcPr>
            <w:tcW w:w="3121" w:type="dxa"/>
          </w:tcPr>
          <w:p>
            <w:pPr>
              <w:pStyle w:val="TableParagraph"/>
              <w:spacing w:line="247" w:lineRule="exact"/>
              <w:ind w:left="92" w:right="93"/>
              <w:jc w:val="center"/>
              <w:rPr>
                <w:sz w:val="22"/>
              </w:rPr>
            </w:pPr>
            <w:r>
              <w:rPr>
                <w:sz w:val="22"/>
              </w:rPr>
              <w:t>Neuropathie réversible, dose</w:t>
            </w:r>
          </w:p>
          <w:p>
            <w:pPr>
              <w:pStyle w:val="TableParagraph"/>
              <w:spacing w:line="238" w:lineRule="exact" w:before="1"/>
              <w:ind w:left="92" w:right="93"/>
              <w:jc w:val="center"/>
              <w:rPr>
                <w:sz w:val="22"/>
              </w:rPr>
            </w:pPr>
            <w:r>
              <w:rPr>
                <w:sz w:val="22"/>
              </w:rPr>
              <w:t>dépendante</w:t>
            </w:r>
          </w:p>
        </w:tc>
        <w:tc>
          <w:tcPr>
            <w:tcW w:w="1844" w:type="dxa"/>
          </w:tcPr>
          <w:p>
            <w:pPr>
              <w:pStyle w:val="TableParagraph"/>
              <w:spacing w:line="242" w:lineRule="auto"/>
              <w:ind w:left="736" w:right="279" w:hanging="442"/>
              <w:rPr>
                <w:sz w:val="18"/>
              </w:rPr>
            </w:pPr>
            <w:r>
              <w:rPr>
                <w:sz w:val="18"/>
              </w:rPr>
              <w:t>Michelakis et al., 2010</w:t>
            </w:r>
          </w:p>
        </w:tc>
        <w:tc>
          <w:tcPr>
            <w:tcW w:w="991" w:type="dxa"/>
            <w:vMerge/>
            <w:tcBorders>
              <w:top w:val="nil"/>
            </w:tcBorders>
          </w:tcPr>
          <w:p>
            <w:pPr>
              <w:rPr>
                <w:sz w:val="2"/>
                <w:szCs w:val="2"/>
              </w:rPr>
            </w:pPr>
          </w:p>
        </w:tc>
      </w:tr>
      <w:tr>
        <w:trPr>
          <w:trHeight w:val="150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12,5 mg/kg PO BID</w:t>
            </w:r>
          </w:p>
        </w:tc>
        <w:tc>
          <w:tcPr>
            <w:tcW w:w="2131" w:type="dxa"/>
          </w:tcPr>
          <w:p>
            <w:pPr>
              <w:pStyle w:val="TableParagraph"/>
              <w:spacing w:line="242" w:lineRule="auto"/>
              <w:ind w:left="134" w:right="116" w:firstLine="444"/>
              <w:rPr>
                <w:sz w:val="22"/>
              </w:rPr>
            </w:pPr>
            <w:r>
              <w:rPr>
                <w:sz w:val="22"/>
              </w:rPr>
              <w:t>Carcinome épidermoïde tête/cou</w:t>
            </w:r>
          </w:p>
        </w:tc>
        <w:tc>
          <w:tcPr>
            <w:tcW w:w="1556" w:type="dxa"/>
          </w:tcPr>
          <w:p>
            <w:pPr>
              <w:pStyle w:val="TableParagraph"/>
              <w:spacing w:line="247" w:lineRule="exact"/>
              <w:ind w:left="131"/>
              <w:jc w:val="both"/>
              <w:rPr>
                <w:sz w:val="22"/>
              </w:rPr>
            </w:pPr>
            <w:r>
              <w:rPr>
                <w:sz w:val="22"/>
              </w:rPr>
              <w:t>Cisplatine 100</w:t>
            </w:r>
          </w:p>
          <w:p>
            <w:pPr>
              <w:pStyle w:val="TableParagraph"/>
              <w:spacing w:line="252" w:lineRule="exact" w:before="1"/>
              <w:ind w:left="129"/>
              <w:jc w:val="both"/>
              <w:rPr>
                <w:sz w:val="22"/>
              </w:rPr>
            </w:pPr>
            <w:r>
              <w:rPr>
                <w:sz w:val="22"/>
              </w:rPr>
              <w:t>mg/m² (jour 1,</w:t>
            </w:r>
          </w:p>
          <w:p>
            <w:pPr>
              <w:pStyle w:val="TableParagraph"/>
              <w:spacing w:line="252" w:lineRule="exact"/>
              <w:ind w:left="122" w:right="123"/>
              <w:jc w:val="center"/>
              <w:rPr>
                <w:sz w:val="22"/>
              </w:rPr>
            </w:pPr>
            <w:r>
              <w:rPr>
                <w:sz w:val="22"/>
              </w:rPr>
              <w:t>22, et 43)</w:t>
            </w:r>
          </w:p>
          <w:p>
            <w:pPr>
              <w:pStyle w:val="TableParagraph"/>
              <w:spacing w:line="252" w:lineRule="exact" w:before="5"/>
              <w:ind w:left="172" w:right="138" w:hanging="34"/>
              <w:jc w:val="both"/>
              <w:rPr>
                <w:sz w:val="22"/>
              </w:rPr>
            </w:pPr>
            <w:r>
              <w:rPr>
                <w:sz w:val="22"/>
              </w:rPr>
              <w:t>associé à de la radiothérapie (70 Gy/35 /7)</w:t>
            </w:r>
          </w:p>
        </w:tc>
        <w:tc>
          <w:tcPr>
            <w:tcW w:w="1274" w:type="dxa"/>
          </w:tcPr>
          <w:p>
            <w:pPr>
              <w:pStyle w:val="TableParagraph"/>
              <w:spacing w:line="247" w:lineRule="exact"/>
              <w:ind w:left="113" w:right="114"/>
              <w:jc w:val="center"/>
              <w:rPr>
                <w:sz w:val="22"/>
              </w:rPr>
            </w:pPr>
            <w:r>
              <w:rPr>
                <w:sz w:val="22"/>
              </w:rPr>
              <w:t>Phase II</w:t>
            </w:r>
          </w:p>
        </w:tc>
        <w:tc>
          <w:tcPr>
            <w:tcW w:w="3121" w:type="dxa"/>
          </w:tcPr>
          <w:p>
            <w:pPr>
              <w:pStyle w:val="TableParagraph"/>
              <w:spacing w:line="242" w:lineRule="auto"/>
              <w:ind w:left="739" w:right="278" w:hanging="444"/>
              <w:rPr>
                <w:sz w:val="22"/>
              </w:rPr>
            </w:pPr>
            <w:r>
              <w:rPr>
                <w:sz w:val="22"/>
              </w:rPr>
              <w:t>Effets secondaires similaires avec ou sans DCA</w:t>
            </w:r>
          </w:p>
        </w:tc>
        <w:tc>
          <w:tcPr>
            <w:tcW w:w="1844" w:type="dxa"/>
          </w:tcPr>
          <w:p>
            <w:pPr>
              <w:pStyle w:val="TableParagraph"/>
              <w:spacing w:line="202" w:lineRule="exact"/>
              <w:ind w:left="108" w:right="108"/>
              <w:jc w:val="center"/>
              <w:rPr>
                <w:sz w:val="18"/>
              </w:rPr>
            </w:pPr>
            <w:hyperlink r:id="rId45">
              <w:r>
                <w:rPr>
                  <w:sz w:val="18"/>
                </w:rPr>
                <w:t>NCT01386632</w:t>
              </w:r>
            </w:hyperlink>
          </w:p>
          <w:p>
            <w:pPr>
              <w:pStyle w:val="TableParagraph"/>
              <w:spacing w:before="2"/>
              <w:ind w:left="108" w:right="108"/>
              <w:jc w:val="center"/>
              <w:rPr>
                <w:sz w:val="18"/>
              </w:rPr>
            </w:pPr>
            <w:r>
              <w:rPr>
                <w:sz w:val="18"/>
              </w:rPr>
              <w:t>Powell et al., 2015</w:t>
            </w:r>
          </w:p>
        </w:tc>
        <w:tc>
          <w:tcPr>
            <w:tcW w:w="991" w:type="dxa"/>
            <w:vMerge/>
            <w:tcBorders>
              <w:top w:val="nil"/>
            </w:tcBorders>
          </w:tcPr>
          <w:p>
            <w:pPr>
              <w:rPr>
                <w:sz w:val="2"/>
                <w:szCs w:val="2"/>
              </w:rPr>
            </w:pPr>
          </w:p>
        </w:tc>
      </w:tr>
      <w:tr>
        <w:trPr>
          <w:trHeight w:val="1000" w:hRule="atLeast"/>
        </w:trPr>
        <w:tc>
          <w:tcPr>
            <w:tcW w:w="1560" w:type="dxa"/>
            <w:vMerge w:val="restart"/>
          </w:tcPr>
          <w:p>
            <w:pPr>
              <w:pStyle w:val="TableParagraph"/>
              <w:spacing w:line="251" w:lineRule="exact"/>
              <w:ind w:left="93" w:right="92"/>
              <w:jc w:val="center"/>
              <w:rPr>
                <w:b/>
                <w:sz w:val="22"/>
              </w:rPr>
            </w:pPr>
            <w:r>
              <w:rPr>
                <w:b/>
                <w:sz w:val="22"/>
              </w:rPr>
              <w:t>ALA</w:t>
            </w:r>
          </w:p>
        </w:tc>
        <w:tc>
          <w:tcPr>
            <w:tcW w:w="2835" w:type="dxa"/>
          </w:tcPr>
          <w:p>
            <w:pPr>
              <w:pStyle w:val="TableParagraph"/>
              <w:spacing w:line="247" w:lineRule="exact"/>
              <w:ind w:left="101" w:right="103"/>
              <w:jc w:val="center"/>
              <w:rPr>
                <w:sz w:val="22"/>
              </w:rPr>
            </w:pPr>
            <w:r>
              <w:rPr>
                <w:sz w:val="22"/>
              </w:rPr>
              <w:t>IV 600 mg IV</w:t>
            </w:r>
          </w:p>
        </w:tc>
        <w:tc>
          <w:tcPr>
            <w:tcW w:w="2131" w:type="dxa"/>
          </w:tcPr>
          <w:p>
            <w:pPr>
              <w:pStyle w:val="TableParagraph"/>
              <w:spacing w:line="247" w:lineRule="exact"/>
              <w:ind w:left="96" w:right="96"/>
              <w:jc w:val="center"/>
              <w:rPr>
                <w:sz w:val="22"/>
              </w:rPr>
            </w:pPr>
            <w:r>
              <w:rPr>
                <w:sz w:val="22"/>
              </w:rPr>
              <w:t>Différents types</w:t>
            </w:r>
          </w:p>
        </w:tc>
        <w:tc>
          <w:tcPr>
            <w:tcW w:w="1556" w:type="dxa"/>
          </w:tcPr>
          <w:p>
            <w:pPr>
              <w:pStyle w:val="TableParagraph"/>
              <w:ind w:left="587" w:right="160" w:hanging="408"/>
              <w:rPr>
                <w:sz w:val="22"/>
              </w:rPr>
            </w:pPr>
            <w:r>
              <w:rPr>
                <w:sz w:val="22"/>
              </w:rPr>
              <w:t>HCA 500 mg TID</w:t>
            </w:r>
          </w:p>
          <w:p>
            <w:pPr>
              <w:pStyle w:val="TableParagraph"/>
              <w:spacing w:line="252" w:lineRule="exact" w:before="11"/>
              <w:ind w:left="631" w:right="184" w:hanging="432"/>
              <w:rPr>
                <w:sz w:val="22"/>
              </w:rPr>
            </w:pPr>
            <w:r>
              <w:rPr>
                <w:sz w:val="22"/>
              </w:rPr>
              <w:t>Naltrexone 5 mg</w:t>
            </w:r>
          </w:p>
        </w:tc>
        <w:tc>
          <w:tcPr>
            <w:tcW w:w="1274" w:type="dxa"/>
          </w:tcPr>
          <w:p>
            <w:pPr>
              <w:pStyle w:val="TableParagraph"/>
              <w:ind w:left="491" w:right="129" w:hanging="348"/>
              <w:rPr>
                <w:sz w:val="22"/>
              </w:rPr>
            </w:pPr>
            <w:r>
              <w:rPr>
                <w:sz w:val="22"/>
              </w:rPr>
              <w:t>Rapport de cas</w:t>
            </w:r>
          </w:p>
        </w:tc>
        <w:tc>
          <w:tcPr>
            <w:tcW w:w="3121" w:type="dxa"/>
          </w:tcPr>
          <w:p>
            <w:pPr>
              <w:pStyle w:val="TableParagraph"/>
              <w:ind w:left="91" w:right="93"/>
              <w:jc w:val="center"/>
              <w:rPr>
                <w:sz w:val="22"/>
              </w:rPr>
            </w:pPr>
            <w:r>
              <w:rPr>
                <w:sz w:val="22"/>
              </w:rPr>
              <w:t>Progression tumorale stable ou lente</w:t>
            </w:r>
          </w:p>
          <w:p>
            <w:pPr>
              <w:pStyle w:val="TableParagraph"/>
              <w:spacing w:before="8"/>
              <w:ind w:left="91" w:right="93"/>
              <w:jc w:val="center"/>
              <w:rPr>
                <w:sz w:val="22"/>
              </w:rPr>
            </w:pPr>
            <w:r>
              <w:rPr>
                <w:sz w:val="22"/>
              </w:rPr>
              <w:t>Nausées, vomissements</w:t>
            </w:r>
          </w:p>
        </w:tc>
        <w:tc>
          <w:tcPr>
            <w:tcW w:w="1844" w:type="dxa"/>
          </w:tcPr>
          <w:p>
            <w:pPr>
              <w:pStyle w:val="TableParagraph"/>
              <w:spacing w:line="202" w:lineRule="exact"/>
              <w:ind w:left="107" w:right="108"/>
              <w:jc w:val="center"/>
              <w:rPr>
                <w:sz w:val="18"/>
              </w:rPr>
            </w:pPr>
            <w:r>
              <w:rPr>
                <w:sz w:val="18"/>
              </w:rPr>
              <w:t>Schwartz et al., 2014</w:t>
            </w:r>
          </w:p>
        </w:tc>
        <w:tc>
          <w:tcPr>
            <w:tcW w:w="991" w:type="dxa"/>
            <w:vMerge w:val="restart"/>
          </w:tcPr>
          <w:p>
            <w:pPr>
              <w:pStyle w:val="TableParagraph"/>
              <w:spacing w:line="223" w:lineRule="exact"/>
              <w:ind w:left="109" w:right="109"/>
              <w:jc w:val="center"/>
              <w:rPr>
                <w:sz w:val="20"/>
              </w:rPr>
            </w:pPr>
            <w:r>
              <w:rPr>
                <w:sz w:val="20"/>
              </w:rPr>
              <w:t>21</w:t>
            </w:r>
          </w:p>
        </w:tc>
      </w:tr>
      <w:tr>
        <w:trPr>
          <w:trHeight w:val="74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PO 1200 mg</w:t>
            </w:r>
          </w:p>
        </w:tc>
        <w:tc>
          <w:tcPr>
            <w:tcW w:w="2131" w:type="dxa"/>
          </w:tcPr>
          <w:p>
            <w:pPr>
              <w:pStyle w:val="TableParagraph"/>
              <w:ind w:left="96" w:right="95"/>
              <w:jc w:val="center"/>
              <w:rPr>
                <w:sz w:val="22"/>
              </w:rPr>
            </w:pPr>
            <w:r>
              <w:rPr>
                <w:sz w:val="22"/>
              </w:rPr>
              <w:t>Adénocarcinome pancréatique</w:t>
            </w:r>
          </w:p>
          <w:p>
            <w:pPr>
              <w:pStyle w:val="TableParagraph"/>
              <w:spacing w:line="238" w:lineRule="exact" w:before="8"/>
              <w:ind w:left="96" w:right="97"/>
              <w:jc w:val="center"/>
              <w:rPr>
                <w:sz w:val="22"/>
              </w:rPr>
            </w:pPr>
            <w:r>
              <w:rPr>
                <w:sz w:val="22"/>
              </w:rPr>
              <w:t>métastatique</w:t>
            </w:r>
          </w:p>
        </w:tc>
        <w:tc>
          <w:tcPr>
            <w:tcW w:w="1556" w:type="dxa"/>
          </w:tcPr>
          <w:p>
            <w:pPr>
              <w:pStyle w:val="TableParagraph"/>
              <w:spacing w:line="246" w:lineRule="exact"/>
              <w:ind w:left="179"/>
              <w:rPr>
                <w:sz w:val="22"/>
              </w:rPr>
            </w:pPr>
            <w:r>
              <w:rPr>
                <w:sz w:val="22"/>
              </w:rPr>
              <w:t>HCA 720 mg</w:t>
            </w:r>
          </w:p>
          <w:p>
            <w:pPr>
              <w:pStyle w:val="TableParagraph"/>
              <w:spacing w:line="254" w:lineRule="exact" w:before="1"/>
              <w:ind w:left="326" w:right="191" w:hanging="116"/>
              <w:rPr>
                <w:sz w:val="22"/>
              </w:rPr>
            </w:pPr>
            <w:r>
              <w:rPr>
                <w:sz w:val="22"/>
              </w:rPr>
              <w:t>Gemcitabine Celecoxib</w:t>
            </w:r>
          </w:p>
        </w:tc>
        <w:tc>
          <w:tcPr>
            <w:tcW w:w="1274" w:type="dxa"/>
          </w:tcPr>
          <w:p>
            <w:pPr>
              <w:pStyle w:val="TableParagraph"/>
              <w:ind w:left="491" w:right="129" w:hanging="348"/>
              <w:rPr>
                <w:sz w:val="22"/>
              </w:rPr>
            </w:pPr>
            <w:r>
              <w:rPr>
                <w:sz w:val="22"/>
              </w:rPr>
              <w:t>Rapport de cas</w:t>
            </w:r>
          </w:p>
        </w:tc>
        <w:tc>
          <w:tcPr>
            <w:tcW w:w="3121" w:type="dxa"/>
          </w:tcPr>
          <w:p>
            <w:pPr>
              <w:pStyle w:val="TableParagraph"/>
              <w:spacing w:line="247" w:lineRule="exact"/>
              <w:ind w:left="93" w:right="93"/>
              <w:jc w:val="center"/>
              <w:rPr>
                <w:sz w:val="22"/>
              </w:rPr>
            </w:pPr>
            <w:r>
              <w:rPr>
                <w:sz w:val="22"/>
              </w:rPr>
              <w:t>Amélioration de la survie</w:t>
            </w:r>
          </w:p>
        </w:tc>
        <w:tc>
          <w:tcPr>
            <w:tcW w:w="1844" w:type="dxa"/>
          </w:tcPr>
          <w:p>
            <w:pPr>
              <w:pStyle w:val="TableParagraph"/>
              <w:spacing w:line="202" w:lineRule="exact"/>
              <w:ind w:left="107" w:right="108"/>
              <w:jc w:val="center"/>
              <w:rPr>
                <w:sz w:val="18"/>
              </w:rPr>
            </w:pPr>
            <w:r>
              <w:rPr>
                <w:sz w:val="18"/>
              </w:rPr>
              <w:t>Guais et al., 2012</w:t>
            </w:r>
          </w:p>
        </w:tc>
        <w:tc>
          <w:tcPr>
            <w:tcW w:w="991" w:type="dxa"/>
            <w:vMerge/>
            <w:tcBorders>
              <w:top w:val="nil"/>
            </w:tcBorders>
          </w:tcPr>
          <w:p>
            <w:pPr>
              <w:rPr>
                <w:sz w:val="2"/>
                <w:szCs w:val="2"/>
              </w:rPr>
            </w:pPr>
          </w:p>
        </w:tc>
      </w:tr>
      <w:tr>
        <w:trPr>
          <w:trHeight w:val="1000" w:hRule="atLeast"/>
        </w:trPr>
        <w:tc>
          <w:tcPr>
            <w:tcW w:w="1560" w:type="dxa"/>
            <w:vMerge w:val="restart"/>
          </w:tcPr>
          <w:p>
            <w:pPr>
              <w:pStyle w:val="TableParagraph"/>
              <w:ind w:left="201" w:right="193" w:hanging="6"/>
              <w:jc w:val="center"/>
              <w:rPr>
                <w:b/>
                <w:sz w:val="22"/>
              </w:rPr>
            </w:pPr>
            <w:r>
              <w:rPr>
                <w:b/>
                <w:sz w:val="22"/>
              </w:rPr>
              <w:t>Analogue ALA = CPI- 613</w:t>
            </w:r>
          </w:p>
        </w:tc>
        <w:tc>
          <w:tcPr>
            <w:tcW w:w="2835" w:type="dxa"/>
          </w:tcPr>
          <w:p>
            <w:pPr>
              <w:pStyle w:val="TableParagraph"/>
              <w:spacing w:line="247" w:lineRule="exact"/>
              <w:ind w:left="103" w:right="103"/>
              <w:jc w:val="center"/>
              <w:rPr>
                <w:sz w:val="22"/>
              </w:rPr>
            </w:pPr>
            <w:r>
              <w:rPr>
                <w:sz w:val="22"/>
              </w:rPr>
              <w:t>Perfusion 2940 mg/m²</w:t>
            </w:r>
          </w:p>
          <w:p>
            <w:pPr>
              <w:pStyle w:val="TableParagraph"/>
              <w:spacing w:before="1"/>
              <w:ind w:left="102" w:right="103"/>
              <w:jc w:val="center"/>
              <w:rPr>
                <w:sz w:val="22"/>
              </w:rPr>
            </w:pPr>
            <w:r>
              <w:rPr>
                <w:sz w:val="22"/>
              </w:rPr>
              <w:t>pendant 2 h</w:t>
            </w:r>
          </w:p>
        </w:tc>
        <w:tc>
          <w:tcPr>
            <w:tcW w:w="2131" w:type="dxa"/>
          </w:tcPr>
          <w:p>
            <w:pPr>
              <w:pStyle w:val="TableParagraph"/>
              <w:spacing w:line="242" w:lineRule="auto"/>
              <w:ind w:left="96" w:right="97"/>
              <w:jc w:val="center"/>
              <w:rPr>
                <w:sz w:val="22"/>
              </w:rPr>
            </w:pPr>
            <w:r>
              <w:rPr>
                <w:sz w:val="22"/>
              </w:rPr>
              <w:t>Tumeurs hématologiques</w:t>
            </w:r>
          </w:p>
          <w:p>
            <w:pPr>
              <w:pStyle w:val="TableParagraph"/>
              <w:spacing w:line="252" w:lineRule="exact" w:before="6"/>
              <w:ind w:left="96" w:right="97"/>
              <w:jc w:val="center"/>
              <w:rPr>
                <w:sz w:val="22"/>
              </w:rPr>
            </w:pPr>
            <w:r>
              <w:rPr>
                <w:sz w:val="22"/>
              </w:rPr>
              <w:t>réfractaires ou récidivantes</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spacing w:line="247" w:lineRule="exact"/>
              <w:ind w:left="113" w:right="110"/>
              <w:jc w:val="center"/>
              <w:rPr>
                <w:sz w:val="22"/>
              </w:rPr>
            </w:pPr>
            <w:r>
              <w:rPr>
                <w:sz w:val="22"/>
              </w:rPr>
              <w:t>Phase I</w:t>
            </w:r>
          </w:p>
        </w:tc>
        <w:tc>
          <w:tcPr>
            <w:tcW w:w="3121" w:type="dxa"/>
          </w:tcPr>
          <w:p>
            <w:pPr>
              <w:pStyle w:val="TableParagraph"/>
              <w:spacing w:line="247" w:lineRule="exact"/>
              <w:ind w:left="91" w:right="93"/>
              <w:jc w:val="center"/>
              <w:rPr>
                <w:sz w:val="22"/>
              </w:rPr>
            </w:pPr>
            <w:r>
              <w:rPr>
                <w:sz w:val="22"/>
              </w:rPr>
              <w:t>Bonne tolérance à cette dose</w:t>
            </w:r>
          </w:p>
        </w:tc>
        <w:tc>
          <w:tcPr>
            <w:tcW w:w="1844" w:type="dxa"/>
          </w:tcPr>
          <w:p>
            <w:pPr>
              <w:pStyle w:val="TableParagraph"/>
              <w:spacing w:line="202" w:lineRule="exact"/>
              <w:ind w:left="108" w:right="108"/>
              <w:jc w:val="center"/>
              <w:rPr>
                <w:sz w:val="18"/>
              </w:rPr>
            </w:pPr>
            <w:r>
              <w:rPr>
                <w:sz w:val="18"/>
              </w:rPr>
              <w:t>Lee et al., 2013</w:t>
            </w:r>
          </w:p>
        </w:tc>
        <w:tc>
          <w:tcPr>
            <w:tcW w:w="991" w:type="dxa"/>
            <w:vMerge/>
            <w:tcBorders>
              <w:top w:val="nil"/>
            </w:tcBorders>
          </w:tcPr>
          <w:p>
            <w:pPr>
              <w:rPr>
                <w:sz w:val="2"/>
                <w:szCs w:val="2"/>
              </w:rPr>
            </w:pPr>
          </w:p>
        </w:tc>
      </w:tr>
      <w:tr>
        <w:trPr>
          <w:trHeight w:val="1260" w:hRule="atLeast"/>
        </w:trPr>
        <w:tc>
          <w:tcPr>
            <w:tcW w:w="1560" w:type="dxa"/>
            <w:vMerge/>
            <w:tcBorders>
              <w:top w:val="nil"/>
            </w:tcBorders>
          </w:tcPr>
          <w:p>
            <w:pPr>
              <w:rPr>
                <w:sz w:val="2"/>
                <w:szCs w:val="2"/>
              </w:rPr>
            </w:pPr>
          </w:p>
        </w:tc>
        <w:tc>
          <w:tcPr>
            <w:tcW w:w="2835" w:type="dxa"/>
          </w:tcPr>
          <w:p>
            <w:pPr>
              <w:pStyle w:val="TableParagraph"/>
              <w:spacing w:line="247" w:lineRule="exact"/>
              <w:ind w:left="101" w:right="103"/>
              <w:jc w:val="center"/>
              <w:rPr>
                <w:sz w:val="22"/>
              </w:rPr>
            </w:pPr>
            <w:r>
              <w:rPr>
                <w:sz w:val="22"/>
              </w:rPr>
              <w:t>Perfusion 500-1000 mg/m²</w:t>
            </w:r>
          </w:p>
          <w:p>
            <w:pPr>
              <w:pStyle w:val="TableParagraph"/>
              <w:ind w:left="134" w:right="134" w:hanging="1"/>
              <w:jc w:val="center"/>
              <w:rPr>
                <w:sz w:val="22"/>
              </w:rPr>
            </w:pPr>
            <w:r>
              <w:rPr>
                <w:sz w:val="22"/>
              </w:rPr>
              <w:t>pendant 2 h, 2 fois par semaine pendant 3 semaines, une semaine de repos</w:t>
            </w:r>
          </w:p>
        </w:tc>
        <w:tc>
          <w:tcPr>
            <w:tcW w:w="2131" w:type="dxa"/>
          </w:tcPr>
          <w:p>
            <w:pPr>
              <w:pStyle w:val="TableParagraph"/>
              <w:ind w:left="96" w:right="95"/>
              <w:jc w:val="center"/>
              <w:rPr>
                <w:sz w:val="22"/>
              </w:rPr>
            </w:pPr>
            <w:r>
              <w:rPr>
                <w:sz w:val="22"/>
              </w:rPr>
              <w:t>Tumeur pancréatique neuroendocrinienne stade IV</w:t>
            </w:r>
          </w:p>
        </w:tc>
        <w:tc>
          <w:tcPr>
            <w:tcW w:w="1556" w:type="dxa"/>
          </w:tcPr>
          <w:p>
            <w:pPr>
              <w:pStyle w:val="TableParagraph"/>
              <w:spacing w:line="247" w:lineRule="exact"/>
              <w:ind w:left="123" w:right="122"/>
              <w:jc w:val="center"/>
              <w:rPr>
                <w:sz w:val="22"/>
              </w:rPr>
            </w:pPr>
            <w:r>
              <w:rPr>
                <w:sz w:val="22"/>
              </w:rPr>
              <w:t>Aucun</w:t>
            </w:r>
          </w:p>
        </w:tc>
        <w:tc>
          <w:tcPr>
            <w:tcW w:w="1274" w:type="dxa"/>
          </w:tcPr>
          <w:p>
            <w:pPr>
              <w:pStyle w:val="TableParagraph"/>
              <w:ind w:left="491" w:right="129" w:hanging="348"/>
              <w:rPr>
                <w:sz w:val="22"/>
              </w:rPr>
            </w:pPr>
            <w:r>
              <w:rPr>
                <w:sz w:val="22"/>
              </w:rPr>
              <w:t>Rapport de cas</w:t>
            </w:r>
          </w:p>
        </w:tc>
        <w:tc>
          <w:tcPr>
            <w:tcW w:w="3121" w:type="dxa"/>
          </w:tcPr>
          <w:p>
            <w:pPr>
              <w:pStyle w:val="TableParagraph"/>
              <w:ind w:left="165" w:right="166" w:firstLine="2"/>
              <w:jc w:val="center"/>
              <w:rPr>
                <w:sz w:val="22"/>
              </w:rPr>
            </w:pPr>
            <w:r>
              <w:rPr>
                <w:sz w:val="22"/>
              </w:rPr>
              <w:t>2 effets secondaires de grade I Progression-Free-Survival &gt; 15 mois</w:t>
            </w:r>
          </w:p>
        </w:tc>
        <w:tc>
          <w:tcPr>
            <w:tcW w:w="1844" w:type="dxa"/>
          </w:tcPr>
          <w:p>
            <w:pPr>
              <w:pStyle w:val="TableParagraph"/>
              <w:spacing w:line="202" w:lineRule="exact"/>
              <w:ind w:left="108" w:right="108"/>
              <w:jc w:val="center"/>
              <w:rPr>
                <w:sz w:val="18"/>
              </w:rPr>
            </w:pPr>
            <w:r>
              <w:rPr>
                <w:sz w:val="18"/>
              </w:rPr>
              <w:t>Lee et al., 2011</w:t>
            </w:r>
          </w:p>
        </w:tc>
        <w:tc>
          <w:tcPr>
            <w:tcW w:w="991" w:type="dxa"/>
            <w:vMerge/>
            <w:tcBorders>
              <w:top w:val="nil"/>
            </w:tcBorders>
          </w:tcPr>
          <w:p>
            <w:pPr>
              <w:rPr>
                <w:sz w:val="2"/>
                <w:szCs w:val="2"/>
              </w:rPr>
            </w:pPr>
          </w:p>
        </w:tc>
      </w:tr>
    </w:tbl>
    <w:p>
      <w:pPr>
        <w:spacing w:after="0"/>
        <w:rPr>
          <w:sz w:val="2"/>
          <w:szCs w:val="2"/>
        </w:rPr>
        <w:sectPr>
          <w:pgSz w:w="16840" w:h="11910" w:orient="landscape"/>
          <w:pgMar w:header="0" w:footer="998" w:top="1100" w:bottom="1180" w:left="640" w:right="640"/>
        </w:sectPr>
      </w:pPr>
    </w:p>
    <w:p>
      <w:pPr>
        <w:pStyle w:val="BodyText"/>
        <w:spacing w:before="1" w:after="1"/>
        <w:rPr>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835"/>
        <w:gridCol w:w="2131"/>
        <w:gridCol w:w="1556"/>
        <w:gridCol w:w="1274"/>
        <w:gridCol w:w="3121"/>
        <w:gridCol w:w="1844"/>
        <w:gridCol w:w="991"/>
      </w:tblGrid>
      <w:tr>
        <w:trPr>
          <w:trHeight w:val="1260" w:hRule="atLeast"/>
        </w:trPr>
        <w:tc>
          <w:tcPr>
            <w:tcW w:w="1560" w:type="dxa"/>
          </w:tcPr>
          <w:p>
            <w:pPr>
              <w:pStyle w:val="TableParagraph"/>
              <w:rPr>
                <w:sz w:val="20"/>
              </w:rPr>
            </w:pPr>
          </w:p>
        </w:tc>
        <w:tc>
          <w:tcPr>
            <w:tcW w:w="2835" w:type="dxa"/>
          </w:tcPr>
          <w:p>
            <w:pPr>
              <w:pStyle w:val="TableParagraph"/>
              <w:spacing w:line="246" w:lineRule="exact"/>
              <w:ind w:left="101" w:right="103"/>
              <w:jc w:val="center"/>
              <w:rPr>
                <w:sz w:val="22"/>
              </w:rPr>
            </w:pPr>
            <w:r>
              <w:rPr>
                <w:sz w:val="22"/>
              </w:rPr>
              <w:t>Perfusion 1150-2300 mg/m²</w:t>
            </w:r>
          </w:p>
          <w:p>
            <w:pPr>
              <w:pStyle w:val="TableParagraph"/>
              <w:ind w:left="134" w:right="134" w:hanging="1"/>
              <w:jc w:val="center"/>
              <w:rPr>
                <w:sz w:val="22"/>
              </w:rPr>
            </w:pPr>
            <w:r>
              <w:rPr>
                <w:sz w:val="22"/>
              </w:rPr>
              <w:t>pendant 2 h, 2 fois par semaine pendant 3 semaines, une semaine de repos</w:t>
            </w:r>
          </w:p>
        </w:tc>
        <w:tc>
          <w:tcPr>
            <w:tcW w:w="2131" w:type="dxa"/>
          </w:tcPr>
          <w:p>
            <w:pPr>
              <w:pStyle w:val="TableParagraph"/>
              <w:ind w:left="102" w:right="103" w:firstLine="1"/>
              <w:jc w:val="center"/>
              <w:rPr>
                <w:sz w:val="22"/>
              </w:rPr>
            </w:pPr>
            <w:r>
              <w:rPr>
                <w:sz w:val="22"/>
              </w:rPr>
              <w:t>Carcinome hépatocellulaire stade IV</w:t>
            </w:r>
          </w:p>
        </w:tc>
        <w:tc>
          <w:tcPr>
            <w:tcW w:w="1556" w:type="dxa"/>
          </w:tcPr>
          <w:p>
            <w:pPr>
              <w:pStyle w:val="TableParagraph"/>
              <w:spacing w:line="247" w:lineRule="exact"/>
              <w:ind w:left="479"/>
              <w:rPr>
                <w:sz w:val="22"/>
              </w:rPr>
            </w:pPr>
            <w:r>
              <w:rPr>
                <w:sz w:val="22"/>
              </w:rPr>
              <w:t>Aucun</w:t>
            </w:r>
          </w:p>
        </w:tc>
        <w:tc>
          <w:tcPr>
            <w:tcW w:w="1274" w:type="dxa"/>
          </w:tcPr>
          <w:p>
            <w:pPr>
              <w:pStyle w:val="TableParagraph"/>
              <w:ind w:left="491" w:right="129" w:hanging="348"/>
              <w:rPr>
                <w:sz w:val="22"/>
              </w:rPr>
            </w:pPr>
            <w:r>
              <w:rPr>
                <w:sz w:val="22"/>
              </w:rPr>
              <w:t>Rapport de cas</w:t>
            </w:r>
          </w:p>
        </w:tc>
        <w:tc>
          <w:tcPr>
            <w:tcW w:w="3121" w:type="dxa"/>
          </w:tcPr>
          <w:p>
            <w:pPr>
              <w:pStyle w:val="TableParagraph"/>
              <w:ind w:left="259" w:right="259"/>
              <w:jc w:val="center"/>
              <w:rPr>
                <w:sz w:val="22"/>
              </w:rPr>
            </w:pPr>
            <w:r>
              <w:rPr>
                <w:sz w:val="22"/>
              </w:rPr>
              <w:t>Nausées, fatigue Stabilisation de la maladie</w:t>
            </w:r>
            <w:r>
              <w:rPr>
                <w:spacing w:val="-11"/>
                <w:sz w:val="22"/>
              </w:rPr>
              <w:t> </w:t>
            </w:r>
            <w:r>
              <w:rPr>
                <w:sz w:val="22"/>
              </w:rPr>
              <w:t>en progression</w:t>
            </w:r>
          </w:p>
        </w:tc>
        <w:tc>
          <w:tcPr>
            <w:tcW w:w="1844" w:type="dxa"/>
          </w:tcPr>
          <w:p>
            <w:pPr>
              <w:pStyle w:val="TableParagraph"/>
              <w:spacing w:line="202" w:lineRule="exact"/>
              <w:ind w:left="249"/>
              <w:rPr>
                <w:sz w:val="18"/>
              </w:rPr>
            </w:pPr>
            <w:r>
              <w:rPr>
                <w:sz w:val="18"/>
              </w:rPr>
              <w:t>Senzer et al., 2012</w:t>
            </w:r>
          </w:p>
        </w:tc>
        <w:tc>
          <w:tcPr>
            <w:tcW w:w="991" w:type="dxa"/>
          </w:tcPr>
          <w:p>
            <w:pPr>
              <w:pStyle w:val="TableParagraph"/>
              <w:rPr>
                <w:sz w:val="20"/>
              </w:rPr>
            </w:pPr>
          </w:p>
        </w:tc>
      </w:tr>
      <w:tr>
        <w:trPr>
          <w:trHeight w:val="1000" w:hRule="atLeast"/>
        </w:trPr>
        <w:tc>
          <w:tcPr>
            <w:tcW w:w="1560" w:type="dxa"/>
            <w:vMerge w:val="restart"/>
          </w:tcPr>
          <w:p>
            <w:pPr>
              <w:pStyle w:val="TableParagraph"/>
              <w:spacing w:line="251" w:lineRule="exact"/>
              <w:ind w:left="97" w:right="92"/>
              <w:jc w:val="center"/>
              <w:rPr>
                <w:b/>
                <w:sz w:val="22"/>
              </w:rPr>
            </w:pPr>
            <w:r>
              <w:rPr>
                <w:b/>
                <w:sz w:val="22"/>
              </w:rPr>
              <w:t>HCA</w:t>
            </w:r>
          </w:p>
        </w:tc>
        <w:tc>
          <w:tcPr>
            <w:tcW w:w="2835" w:type="dxa"/>
          </w:tcPr>
          <w:p>
            <w:pPr>
              <w:pStyle w:val="TableParagraph"/>
              <w:spacing w:line="247" w:lineRule="exact"/>
              <w:ind w:left="103" w:right="103"/>
              <w:jc w:val="center"/>
              <w:rPr>
                <w:sz w:val="22"/>
              </w:rPr>
            </w:pPr>
            <w:r>
              <w:rPr>
                <w:sz w:val="22"/>
              </w:rPr>
              <w:t>500 mg TID</w:t>
            </w:r>
          </w:p>
        </w:tc>
        <w:tc>
          <w:tcPr>
            <w:tcW w:w="2131" w:type="dxa"/>
          </w:tcPr>
          <w:p>
            <w:pPr>
              <w:pStyle w:val="TableParagraph"/>
              <w:spacing w:line="247" w:lineRule="exact"/>
              <w:ind w:left="96" w:right="96"/>
              <w:jc w:val="center"/>
              <w:rPr>
                <w:sz w:val="22"/>
              </w:rPr>
            </w:pPr>
            <w:r>
              <w:rPr>
                <w:sz w:val="22"/>
              </w:rPr>
              <w:t>Différents types</w:t>
            </w:r>
          </w:p>
        </w:tc>
        <w:tc>
          <w:tcPr>
            <w:tcW w:w="1556" w:type="dxa"/>
          </w:tcPr>
          <w:p>
            <w:pPr>
              <w:pStyle w:val="TableParagraph"/>
              <w:spacing w:line="242" w:lineRule="auto"/>
              <w:ind w:left="655" w:right="165" w:hanging="468"/>
              <w:rPr>
                <w:sz w:val="22"/>
              </w:rPr>
            </w:pPr>
            <w:r>
              <w:rPr>
                <w:sz w:val="22"/>
              </w:rPr>
              <w:t>ALA 600 mg IV</w:t>
            </w:r>
          </w:p>
          <w:p>
            <w:pPr>
              <w:pStyle w:val="TableParagraph"/>
              <w:spacing w:line="252" w:lineRule="exact" w:before="6"/>
              <w:ind w:left="631" w:right="184" w:hanging="432"/>
              <w:rPr>
                <w:sz w:val="22"/>
              </w:rPr>
            </w:pPr>
            <w:r>
              <w:rPr>
                <w:sz w:val="22"/>
              </w:rPr>
              <w:t>Naltrexone 5 mg</w:t>
            </w:r>
          </w:p>
        </w:tc>
        <w:tc>
          <w:tcPr>
            <w:tcW w:w="1274" w:type="dxa"/>
          </w:tcPr>
          <w:p>
            <w:pPr>
              <w:pStyle w:val="TableParagraph"/>
              <w:spacing w:line="242" w:lineRule="auto"/>
              <w:ind w:left="491" w:right="129" w:hanging="348"/>
              <w:rPr>
                <w:sz w:val="22"/>
              </w:rPr>
            </w:pPr>
            <w:r>
              <w:rPr>
                <w:sz w:val="22"/>
              </w:rPr>
              <w:t>Rapport de cas</w:t>
            </w:r>
          </w:p>
        </w:tc>
        <w:tc>
          <w:tcPr>
            <w:tcW w:w="3121" w:type="dxa"/>
          </w:tcPr>
          <w:p>
            <w:pPr>
              <w:pStyle w:val="TableParagraph"/>
              <w:spacing w:line="242" w:lineRule="auto"/>
              <w:ind w:left="91" w:right="93"/>
              <w:jc w:val="center"/>
              <w:rPr>
                <w:sz w:val="22"/>
              </w:rPr>
            </w:pPr>
            <w:r>
              <w:rPr>
                <w:sz w:val="22"/>
              </w:rPr>
              <w:t>Progression tumorale stable ou lente</w:t>
            </w:r>
          </w:p>
          <w:p>
            <w:pPr>
              <w:pStyle w:val="TableParagraph"/>
              <w:spacing w:line="250" w:lineRule="exact" w:before="6"/>
              <w:ind w:left="91" w:right="93"/>
              <w:jc w:val="center"/>
              <w:rPr>
                <w:sz w:val="22"/>
              </w:rPr>
            </w:pPr>
            <w:r>
              <w:rPr>
                <w:sz w:val="22"/>
              </w:rPr>
              <w:t>Nausées, vomissements</w:t>
            </w:r>
          </w:p>
        </w:tc>
        <w:tc>
          <w:tcPr>
            <w:tcW w:w="1844" w:type="dxa"/>
          </w:tcPr>
          <w:p>
            <w:pPr>
              <w:pStyle w:val="TableParagraph"/>
              <w:spacing w:line="202" w:lineRule="exact"/>
              <w:ind w:left="158"/>
              <w:rPr>
                <w:sz w:val="18"/>
              </w:rPr>
            </w:pPr>
            <w:r>
              <w:rPr>
                <w:sz w:val="18"/>
              </w:rPr>
              <w:t>Schwartz et al., 2014</w:t>
            </w:r>
          </w:p>
        </w:tc>
        <w:tc>
          <w:tcPr>
            <w:tcW w:w="991" w:type="dxa"/>
            <w:vMerge w:val="restart"/>
          </w:tcPr>
          <w:p>
            <w:pPr>
              <w:pStyle w:val="TableParagraph"/>
              <w:spacing w:line="223" w:lineRule="exact"/>
              <w:ind w:right="1"/>
              <w:jc w:val="center"/>
              <w:rPr>
                <w:sz w:val="20"/>
              </w:rPr>
            </w:pPr>
            <w:r>
              <w:rPr>
                <w:w w:val="99"/>
                <w:sz w:val="20"/>
              </w:rPr>
              <w:t>0</w:t>
            </w:r>
          </w:p>
        </w:tc>
      </w:tr>
      <w:tr>
        <w:trPr>
          <w:trHeight w:val="74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720 mg</w:t>
            </w:r>
          </w:p>
        </w:tc>
        <w:tc>
          <w:tcPr>
            <w:tcW w:w="2131" w:type="dxa"/>
          </w:tcPr>
          <w:p>
            <w:pPr>
              <w:pStyle w:val="TableParagraph"/>
              <w:ind w:left="96" w:right="95"/>
              <w:jc w:val="center"/>
              <w:rPr>
                <w:sz w:val="22"/>
              </w:rPr>
            </w:pPr>
            <w:r>
              <w:rPr>
                <w:sz w:val="22"/>
              </w:rPr>
              <w:t>Adénocarcinome pancréatique</w:t>
            </w:r>
          </w:p>
          <w:p>
            <w:pPr>
              <w:pStyle w:val="TableParagraph"/>
              <w:spacing w:line="238" w:lineRule="exact" w:before="7"/>
              <w:ind w:left="96" w:right="97"/>
              <w:jc w:val="center"/>
              <w:rPr>
                <w:sz w:val="22"/>
              </w:rPr>
            </w:pPr>
            <w:r>
              <w:rPr>
                <w:sz w:val="22"/>
              </w:rPr>
              <w:t>métastasique</w:t>
            </w:r>
          </w:p>
        </w:tc>
        <w:tc>
          <w:tcPr>
            <w:tcW w:w="1556" w:type="dxa"/>
          </w:tcPr>
          <w:p>
            <w:pPr>
              <w:pStyle w:val="TableParagraph"/>
              <w:spacing w:line="247" w:lineRule="exact"/>
              <w:ind w:left="129"/>
              <w:rPr>
                <w:sz w:val="22"/>
              </w:rPr>
            </w:pPr>
            <w:r>
              <w:rPr>
                <w:sz w:val="22"/>
              </w:rPr>
              <w:t>ALA 1200 mg</w:t>
            </w:r>
          </w:p>
          <w:p>
            <w:pPr>
              <w:pStyle w:val="TableParagraph"/>
              <w:spacing w:line="254" w:lineRule="exact" w:before="1"/>
              <w:ind w:left="326" w:right="191" w:hanging="116"/>
              <w:rPr>
                <w:sz w:val="22"/>
              </w:rPr>
            </w:pPr>
            <w:r>
              <w:rPr>
                <w:sz w:val="22"/>
              </w:rPr>
              <w:t>Gemcitabine Celecoxib</w:t>
            </w:r>
          </w:p>
        </w:tc>
        <w:tc>
          <w:tcPr>
            <w:tcW w:w="1274" w:type="dxa"/>
          </w:tcPr>
          <w:p>
            <w:pPr>
              <w:pStyle w:val="TableParagraph"/>
              <w:ind w:left="491" w:right="129" w:hanging="348"/>
              <w:rPr>
                <w:sz w:val="22"/>
              </w:rPr>
            </w:pPr>
            <w:r>
              <w:rPr>
                <w:sz w:val="22"/>
              </w:rPr>
              <w:t>Rapport de cas</w:t>
            </w:r>
          </w:p>
        </w:tc>
        <w:tc>
          <w:tcPr>
            <w:tcW w:w="3121" w:type="dxa"/>
          </w:tcPr>
          <w:p>
            <w:pPr>
              <w:pStyle w:val="TableParagraph"/>
              <w:spacing w:line="247" w:lineRule="exact"/>
              <w:ind w:left="434"/>
              <w:rPr>
                <w:sz w:val="22"/>
              </w:rPr>
            </w:pPr>
            <w:r>
              <w:rPr>
                <w:sz w:val="22"/>
              </w:rPr>
              <w:t>Amélioration de la survie</w:t>
            </w:r>
          </w:p>
        </w:tc>
        <w:tc>
          <w:tcPr>
            <w:tcW w:w="1844" w:type="dxa"/>
          </w:tcPr>
          <w:p>
            <w:pPr>
              <w:pStyle w:val="TableParagraph"/>
              <w:spacing w:line="203" w:lineRule="exact"/>
              <w:ind w:left="283"/>
              <w:rPr>
                <w:sz w:val="18"/>
              </w:rPr>
            </w:pPr>
            <w:r>
              <w:rPr>
                <w:sz w:val="18"/>
              </w:rPr>
              <w:t>Guais et al., 2012</w:t>
            </w:r>
          </w:p>
        </w:tc>
        <w:tc>
          <w:tcPr>
            <w:tcW w:w="991" w:type="dxa"/>
            <w:vMerge/>
            <w:tcBorders>
              <w:top w:val="nil"/>
            </w:tcBorders>
          </w:tcPr>
          <w:p>
            <w:pPr>
              <w:rPr>
                <w:sz w:val="2"/>
                <w:szCs w:val="2"/>
              </w:rPr>
            </w:pPr>
          </w:p>
        </w:tc>
      </w:tr>
      <w:tr>
        <w:trPr>
          <w:trHeight w:val="500" w:hRule="atLeast"/>
        </w:trPr>
        <w:tc>
          <w:tcPr>
            <w:tcW w:w="14321" w:type="dxa"/>
            <w:gridSpan w:val="7"/>
          </w:tcPr>
          <w:p>
            <w:pPr>
              <w:pStyle w:val="TableParagraph"/>
              <w:spacing w:line="273" w:lineRule="exact"/>
              <w:ind w:left="5148" w:right="5148"/>
              <w:jc w:val="center"/>
              <w:rPr>
                <w:b/>
                <w:i/>
                <w:sz w:val="24"/>
              </w:rPr>
            </w:pPr>
            <w:r>
              <w:rPr>
                <w:b/>
                <w:i/>
                <w:sz w:val="24"/>
              </w:rPr>
              <w:t>Cibler l’équilibre acido-basique</w:t>
            </w:r>
          </w:p>
        </w:tc>
        <w:tc>
          <w:tcPr>
            <w:tcW w:w="991" w:type="dxa"/>
          </w:tcPr>
          <w:p>
            <w:pPr>
              <w:pStyle w:val="TableParagraph"/>
              <w:rPr>
                <w:sz w:val="20"/>
              </w:rPr>
            </w:pPr>
          </w:p>
        </w:tc>
      </w:tr>
      <w:tr>
        <w:trPr>
          <w:trHeight w:val="500" w:hRule="atLeast"/>
        </w:trPr>
        <w:tc>
          <w:tcPr>
            <w:tcW w:w="1560" w:type="dxa"/>
            <w:vMerge w:val="restart"/>
          </w:tcPr>
          <w:p>
            <w:pPr>
              <w:pStyle w:val="TableParagraph"/>
              <w:spacing w:line="251" w:lineRule="exact"/>
              <w:ind w:left="96" w:right="92"/>
              <w:jc w:val="center"/>
              <w:rPr>
                <w:b/>
                <w:sz w:val="22"/>
              </w:rPr>
            </w:pPr>
            <w:r>
              <w:rPr>
                <w:b/>
                <w:sz w:val="22"/>
              </w:rPr>
              <w:t>AT 101</w:t>
            </w:r>
          </w:p>
          <w:p>
            <w:pPr>
              <w:pStyle w:val="TableParagraph"/>
              <w:spacing w:line="252" w:lineRule="exact"/>
              <w:ind w:left="97" w:right="92"/>
              <w:jc w:val="center"/>
              <w:rPr>
                <w:b/>
                <w:sz w:val="22"/>
              </w:rPr>
            </w:pPr>
            <w:r>
              <w:rPr>
                <w:b/>
                <w:sz w:val="22"/>
              </w:rPr>
              <w:t>R-(-)-gossypol</w:t>
            </w:r>
          </w:p>
        </w:tc>
        <w:tc>
          <w:tcPr>
            <w:tcW w:w="2835" w:type="dxa"/>
          </w:tcPr>
          <w:p>
            <w:pPr>
              <w:pStyle w:val="TableParagraph"/>
              <w:spacing w:line="247" w:lineRule="exact"/>
              <w:ind w:left="103" w:right="103"/>
              <w:jc w:val="center"/>
              <w:rPr>
                <w:sz w:val="22"/>
              </w:rPr>
            </w:pPr>
            <w:r>
              <w:rPr>
                <w:sz w:val="22"/>
              </w:rPr>
              <w:t>40 mg BID</w:t>
            </w:r>
          </w:p>
        </w:tc>
        <w:tc>
          <w:tcPr>
            <w:tcW w:w="2131" w:type="dxa"/>
          </w:tcPr>
          <w:p>
            <w:pPr>
              <w:pStyle w:val="TableParagraph"/>
              <w:spacing w:line="246" w:lineRule="exact"/>
              <w:ind w:left="96" w:right="97"/>
              <w:jc w:val="center"/>
              <w:rPr>
                <w:sz w:val="22"/>
              </w:rPr>
            </w:pPr>
            <w:r>
              <w:rPr>
                <w:sz w:val="22"/>
              </w:rPr>
              <w:t>Différents types de</w:t>
            </w:r>
          </w:p>
          <w:p>
            <w:pPr>
              <w:pStyle w:val="TableParagraph"/>
              <w:spacing w:line="240" w:lineRule="exact"/>
              <w:ind w:left="96" w:right="97"/>
              <w:jc w:val="center"/>
              <w:rPr>
                <w:sz w:val="22"/>
              </w:rPr>
            </w:pPr>
            <w:r>
              <w:rPr>
                <w:sz w:val="22"/>
              </w:rPr>
              <w:t>cancer</w:t>
            </w:r>
          </w:p>
        </w:tc>
        <w:tc>
          <w:tcPr>
            <w:tcW w:w="1556" w:type="dxa"/>
          </w:tcPr>
          <w:p>
            <w:pPr>
              <w:pStyle w:val="TableParagraph"/>
              <w:spacing w:line="246" w:lineRule="exact"/>
              <w:ind w:left="103"/>
              <w:rPr>
                <w:sz w:val="22"/>
              </w:rPr>
            </w:pPr>
            <w:r>
              <w:rPr>
                <w:sz w:val="22"/>
              </w:rPr>
              <w:t>Paclitaxel</w:t>
            </w:r>
          </w:p>
          <w:p>
            <w:pPr>
              <w:pStyle w:val="TableParagraph"/>
              <w:spacing w:line="240" w:lineRule="exact"/>
              <w:ind w:left="103"/>
              <w:rPr>
                <w:sz w:val="22"/>
              </w:rPr>
            </w:pPr>
            <w:r>
              <w:rPr>
                <w:sz w:val="22"/>
              </w:rPr>
              <w:t>Carboplatine</w:t>
            </w:r>
          </w:p>
        </w:tc>
        <w:tc>
          <w:tcPr>
            <w:tcW w:w="1274" w:type="dxa"/>
          </w:tcPr>
          <w:p>
            <w:pPr>
              <w:pStyle w:val="TableParagraph"/>
              <w:spacing w:line="247" w:lineRule="exact"/>
              <w:ind w:left="103"/>
              <w:rPr>
                <w:sz w:val="22"/>
              </w:rPr>
            </w:pPr>
            <w:r>
              <w:rPr>
                <w:sz w:val="22"/>
              </w:rPr>
              <w:t>Phase I</w:t>
            </w:r>
          </w:p>
        </w:tc>
        <w:tc>
          <w:tcPr>
            <w:tcW w:w="3121" w:type="dxa"/>
          </w:tcPr>
          <w:p>
            <w:pPr>
              <w:pStyle w:val="TableParagraph"/>
              <w:spacing w:line="247" w:lineRule="exact"/>
              <w:ind w:left="103"/>
              <w:rPr>
                <w:sz w:val="22"/>
              </w:rPr>
            </w:pPr>
            <w:r>
              <w:rPr>
                <w:sz w:val="22"/>
              </w:rPr>
              <w:t>Bonne tolérance</w:t>
            </w:r>
          </w:p>
        </w:tc>
        <w:tc>
          <w:tcPr>
            <w:tcW w:w="1844" w:type="dxa"/>
          </w:tcPr>
          <w:p>
            <w:pPr>
              <w:pStyle w:val="TableParagraph"/>
              <w:spacing w:line="223" w:lineRule="exact"/>
              <w:ind w:left="103"/>
              <w:rPr>
                <w:sz w:val="20"/>
              </w:rPr>
            </w:pPr>
            <w:r>
              <w:rPr>
                <w:sz w:val="20"/>
              </w:rPr>
              <w:t>Zhao et al., 2011b</w:t>
            </w:r>
          </w:p>
        </w:tc>
        <w:tc>
          <w:tcPr>
            <w:tcW w:w="991" w:type="dxa"/>
            <w:vMerge w:val="restart"/>
          </w:tcPr>
          <w:p>
            <w:pPr>
              <w:pStyle w:val="TableParagraph"/>
              <w:spacing w:line="223" w:lineRule="exact"/>
              <w:ind w:left="109" w:right="107"/>
              <w:jc w:val="center"/>
              <w:rPr>
                <w:sz w:val="20"/>
              </w:rPr>
            </w:pPr>
            <w:r>
              <w:rPr>
                <w:sz w:val="20"/>
              </w:rPr>
              <w:t>23</w:t>
            </w: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6" w:lineRule="exact"/>
              <w:ind w:left="210"/>
              <w:rPr>
                <w:sz w:val="22"/>
              </w:rPr>
            </w:pPr>
            <w:r>
              <w:rPr>
                <w:sz w:val="22"/>
              </w:rPr>
              <w:t>40 mg BID pendant 3 jours</w:t>
            </w:r>
          </w:p>
          <w:p>
            <w:pPr>
              <w:pStyle w:val="TableParagraph"/>
              <w:spacing w:line="240" w:lineRule="exact"/>
              <w:ind w:left="160"/>
              <w:rPr>
                <w:sz w:val="22"/>
              </w:rPr>
            </w:pPr>
            <w:r>
              <w:rPr>
                <w:sz w:val="22"/>
              </w:rPr>
              <w:t>puis 20 mg pendant 14 jours</w:t>
            </w:r>
          </w:p>
        </w:tc>
        <w:tc>
          <w:tcPr>
            <w:tcW w:w="2131" w:type="dxa"/>
          </w:tcPr>
          <w:p>
            <w:pPr>
              <w:pStyle w:val="TableParagraph"/>
              <w:spacing w:line="246" w:lineRule="exact"/>
              <w:ind w:left="96" w:right="97"/>
              <w:jc w:val="center"/>
              <w:rPr>
                <w:sz w:val="22"/>
              </w:rPr>
            </w:pPr>
            <w:r>
              <w:rPr>
                <w:sz w:val="22"/>
              </w:rPr>
              <w:t>Carcinome</w:t>
            </w:r>
          </w:p>
          <w:p>
            <w:pPr>
              <w:pStyle w:val="TableParagraph"/>
              <w:spacing w:line="240" w:lineRule="exact"/>
              <w:ind w:left="96" w:right="97"/>
              <w:jc w:val="center"/>
              <w:rPr>
                <w:sz w:val="22"/>
              </w:rPr>
            </w:pPr>
            <w:r>
              <w:rPr>
                <w:sz w:val="22"/>
              </w:rPr>
              <w:t>épidermoïde tête cou</w:t>
            </w:r>
          </w:p>
        </w:tc>
        <w:tc>
          <w:tcPr>
            <w:tcW w:w="1556" w:type="dxa"/>
          </w:tcPr>
          <w:p>
            <w:pPr>
              <w:pStyle w:val="TableParagraph"/>
              <w:spacing w:line="247" w:lineRule="exact"/>
              <w:ind w:left="103"/>
              <w:rPr>
                <w:sz w:val="22"/>
              </w:rPr>
            </w:pPr>
            <w:r>
              <w:rPr>
                <w:sz w:val="22"/>
              </w:rPr>
              <w:t>Docetaxel</w:t>
            </w:r>
          </w:p>
        </w:tc>
        <w:tc>
          <w:tcPr>
            <w:tcW w:w="1274" w:type="dxa"/>
          </w:tcPr>
          <w:p>
            <w:pPr>
              <w:pStyle w:val="TableParagraph"/>
              <w:spacing w:line="247" w:lineRule="exact"/>
              <w:ind w:left="103"/>
              <w:rPr>
                <w:sz w:val="22"/>
              </w:rPr>
            </w:pPr>
            <w:r>
              <w:rPr>
                <w:sz w:val="22"/>
              </w:rPr>
              <w:t>Phase II</w:t>
            </w:r>
          </w:p>
        </w:tc>
        <w:tc>
          <w:tcPr>
            <w:tcW w:w="3121" w:type="dxa"/>
          </w:tcPr>
          <w:p>
            <w:pPr>
              <w:pStyle w:val="TableParagraph"/>
              <w:spacing w:line="247" w:lineRule="exact"/>
              <w:ind w:left="103"/>
              <w:rPr>
                <w:sz w:val="22"/>
              </w:rPr>
            </w:pPr>
            <w:r>
              <w:rPr>
                <w:sz w:val="22"/>
              </w:rPr>
              <w:t>Pas d’amélioration de la survie</w:t>
            </w:r>
          </w:p>
        </w:tc>
        <w:tc>
          <w:tcPr>
            <w:tcW w:w="1844" w:type="dxa"/>
          </w:tcPr>
          <w:p>
            <w:pPr>
              <w:pStyle w:val="TableParagraph"/>
              <w:spacing w:line="223" w:lineRule="exact"/>
              <w:ind w:left="103"/>
              <w:rPr>
                <w:sz w:val="20"/>
              </w:rPr>
            </w:pPr>
            <w:hyperlink r:id="rId46">
              <w:r>
                <w:rPr>
                  <w:sz w:val="20"/>
                </w:rPr>
                <w:t>NCT01285635</w:t>
              </w:r>
            </w:hyperlink>
          </w:p>
          <w:p>
            <w:pPr>
              <w:pStyle w:val="TableParagraph"/>
              <w:ind w:left="103"/>
              <w:rPr>
                <w:sz w:val="20"/>
              </w:rPr>
            </w:pPr>
            <w:r>
              <w:rPr>
                <w:sz w:val="20"/>
              </w:rPr>
              <w:t>Sacco et al., 2014</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6" w:lineRule="exact"/>
              <w:ind w:left="102" w:right="103"/>
              <w:jc w:val="center"/>
              <w:rPr>
                <w:sz w:val="22"/>
              </w:rPr>
            </w:pPr>
            <w:r>
              <w:rPr>
                <w:sz w:val="22"/>
              </w:rPr>
              <w:t>20 mg BID –21 jours sur 28</w:t>
            </w:r>
          </w:p>
          <w:p>
            <w:pPr>
              <w:pStyle w:val="TableParagraph"/>
              <w:spacing w:line="240" w:lineRule="exact"/>
              <w:ind w:left="103" w:right="102"/>
              <w:jc w:val="center"/>
              <w:rPr>
                <w:sz w:val="22"/>
              </w:rPr>
            </w:pPr>
            <w:r>
              <w:rPr>
                <w:sz w:val="22"/>
              </w:rPr>
              <w:t>jours</w:t>
            </w:r>
          </w:p>
        </w:tc>
        <w:tc>
          <w:tcPr>
            <w:tcW w:w="2131" w:type="dxa"/>
          </w:tcPr>
          <w:p>
            <w:pPr>
              <w:pStyle w:val="TableParagraph"/>
              <w:spacing w:line="246" w:lineRule="exact"/>
              <w:ind w:left="566" w:hanging="99"/>
              <w:rPr>
                <w:sz w:val="22"/>
              </w:rPr>
            </w:pPr>
            <w:r>
              <w:rPr>
                <w:sz w:val="22"/>
              </w:rPr>
              <w:t>Glioblastome</w:t>
            </w:r>
          </w:p>
          <w:p>
            <w:pPr>
              <w:pStyle w:val="TableParagraph"/>
              <w:spacing w:line="240" w:lineRule="exact"/>
              <w:ind w:left="566"/>
              <w:rPr>
                <w:sz w:val="22"/>
              </w:rPr>
            </w:pPr>
            <w:r>
              <w:rPr>
                <w:sz w:val="22"/>
              </w:rPr>
              <w:t>multiforme</w:t>
            </w:r>
          </w:p>
        </w:tc>
        <w:tc>
          <w:tcPr>
            <w:tcW w:w="1556" w:type="dxa"/>
          </w:tcPr>
          <w:p>
            <w:pPr>
              <w:pStyle w:val="TableParagraph"/>
              <w:spacing w:line="247" w:lineRule="exact"/>
              <w:ind w:left="103"/>
              <w:rPr>
                <w:sz w:val="22"/>
              </w:rPr>
            </w:pPr>
            <w:r>
              <w:rPr>
                <w:sz w:val="22"/>
              </w:rPr>
              <w:t>Aucun</w:t>
            </w:r>
          </w:p>
        </w:tc>
        <w:tc>
          <w:tcPr>
            <w:tcW w:w="1274" w:type="dxa"/>
          </w:tcPr>
          <w:p>
            <w:pPr>
              <w:pStyle w:val="TableParagraph"/>
              <w:spacing w:line="247" w:lineRule="exact"/>
              <w:ind w:left="103"/>
              <w:rPr>
                <w:sz w:val="22"/>
              </w:rPr>
            </w:pPr>
            <w:r>
              <w:rPr>
                <w:sz w:val="22"/>
              </w:rPr>
              <w:t>Phase II</w:t>
            </w:r>
          </w:p>
        </w:tc>
        <w:tc>
          <w:tcPr>
            <w:tcW w:w="3121" w:type="dxa"/>
          </w:tcPr>
          <w:p>
            <w:pPr>
              <w:pStyle w:val="TableParagraph"/>
              <w:spacing w:line="246" w:lineRule="exact"/>
              <w:ind w:left="103"/>
              <w:rPr>
                <w:sz w:val="22"/>
              </w:rPr>
            </w:pPr>
            <w:r>
              <w:rPr>
                <w:sz w:val="22"/>
              </w:rPr>
              <w:t>Bonne tolérance</w:t>
            </w:r>
          </w:p>
          <w:p>
            <w:pPr>
              <w:pStyle w:val="TableParagraph"/>
              <w:spacing w:line="240" w:lineRule="exact"/>
              <w:ind w:left="103"/>
              <w:rPr>
                <w:sz w:val="22"/>
              </w:rPr>
            </w:pPr>
            <w:r>
              <w:rPr>
                <w:sz w:val="22"/>
              </w:rPr>
              <w:t>Stabilisation tumorale</w:t>
            </w:r>
          </w:p>
        </w:tc>
        <w:tc>
          <w:tcPr>
            <w:tcW w:w="1844" w:type="dxa"/>
          </w:tcPr>
          <w:p>
            <w:pPr>
              <w:pStyle w:val="TableParagraph"/>
              <w:spacing w:line="223" w:lineRule="exact"/>
              <w:ind w:left="103"/>
              <w:rPr>
                <w:sz w:val="20"/>
              </w:rPr>
            </w:pPr>
            <w:r>
              <w:rPr>
                <w:sz w:val="20"/>
              </w:rPr>
              <w:t>Fiveash et al., 2009</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6" w:lineRule="exact"/>
              <w:ind w:left="102" w:right="103"/>
              <w:jc w:val="center"/>
              <w:rPr>
                <w:sz w:val="22"/>
              </w:rPr>
            </w:pPr>
            <w:r>
              <w:rPr>
                <w:sz w:val="22"/>
              </w:rPr>
              <w:t>20 mg BID – cycle de 21 ou</w:t>
            </w:r>
          </w:p>
          <w:p>
            <w:pPr>
              <w:pStyle w:val="TableParagraph"/>
              <w:spacing w:line="240" w:lineRule="exact"/>
              <w:ind w:left="102" w:right="103"/>
              <w:jc w:val="center"/>
              <w:rPr>
                <w:sz w:val="22"/>
              </w:rPr>
            </w:pPr>
            <w:r>
              <w:rPr>
                <w:sz w:val="22"/>
              </w:rPr>
              <w:t>28 jours</w:t>
            </w:r>
          </w:p>
        </w:tc>
        <w:tc>
          <w:tcPr>
            <w:tcW w:w="2131" w:type="dxa"/>
          </w:tcPr>
          <w:p>
            <w:pPr>
              <w:pStyle w:val="TableParagraph"/>
              <w:spacing w:line="246" w:lineRule="exact"/>
              <w:ind w:left="96" w:right="97"/>
              <w:jc w:val="center"/>
              <w:rPr>
                <w:sz w:val="22"/>
              </w:rPr>
            </w:pPr>
            <w:r>
              <w:rPr>
                <w:sz w:val="22"/>
              </w:rPr>
              <w:t>Adénocarcinome</w:t>
            </w:r>
          </w:p>
          <w:p>
            <w:pPr>
              <w:pStyle w:val="TableParagraph"/>
              <w:spacing w:line="240" w:lineRule="exact"/>
              <w:ind w:left="96" w:right="97"/>
              <w:jc w:val="center"/>
              <w:rPr>
                <w:sz w:val="22"/>
              </w:rPr>
            </w:pPr>
            <w:r>
              <w:rPr>
                <w:sz w:val="22"/>
              </w:rPr>
              <w:t>prostatique</w:t>
            </w:r>
          </w:p>
        </w:tc>
        <w:tc>
          <w:tcPr>
            <w:tcW w:w="1556" w:type="dxa"/>
          </w:tcPr>
          <w:p>
            <w:pPr>
              <w:pStyle w:val="TableParagraph"/>
              <w:spacing w:line="246" w:lineRule="exact"/>
              <w:ind w:left="103"/>
              <w:rPr>
                <w:sz w:val="22"/>
              </w:rPr>
            </w:pPr>
            <w:r>
              <w:rPr>
                <w:sz w:val="22"/>
              </w:rPr>
              <w:t>Thérapie</w:t>
            </w:r>
          </w:p>
          <w:p>
            <w:pPr>
              <w:pStyle w:val="TableParagraph"/>
              <w:spacing w:line="240" w:lineRule="exact"/>
              <w:ind w:left="103"/>
              <w:rPr>
                <w:sz w:val="22"/>
              </w:rPr>
            </w:pPr>
            <w:r>
              <w:rPr>
                <w:sz w:val="22"/>
              </w:rPr>
              <w:t>hormonale</w:t>
            </w:r>
          </w:p>
        </w:tc>
        <w:tc>
          <w:tcPr>
            <w:tcW w:w="1274" w:type="dxa"/>
          </w:tcPr>
          <w:p>
            <w:pPr>
              <w:pStyle w:val="TableParagraph"/>
              <w:spacing w:line="247" w:lineRule="exact"/>
              <w:ind w:left="103"/>
              <w:rPr>
                <w:sz w:val="22"/>
              </w:rPr>
            </w:pPr>
            <w:r>
              <w:rPr>
                <w:sz w:val="22"/>
              </w:rPr>
              <w:t>Phase II</w:t>
            </w:r>
          </w:p>
        </w:tc>
        <w:tc>
          <w:tcPr>
            <w:tcW w:w="3121" w:type="dxa"/>
          </w:tcPr>
          <w:p>
            <w:pPr>
              <w:pStyle w:val="TableParagraph"/>
              <w:spacing w:line="247" w:lineRule="exact"/>
              <w:ind w:left="103"/>
              <w:rPr>
                <w:sz w:val="22"/>
              </w:rPr>
            </w:pPr>
            <w:r>
              <w:rPr>
                <w:sz w:val="22"/>
              </w:rPr>
              <w:t>Pas encore de résultats</w:t>
            </w:r>
          </w:p>
        </w:tc>
        <w:tc>
          <w:tcPr>
            <w:tcW w:w="1844" w:type="dxa"/>
          </w:tcPr>
          <w:p>
            <w:pPr>
              <w:pStyle w:val="TableParagraph"/>
              <w:spacing w:line="223" w:lineRule="exact"/>
              <w:ind w:left="103"/>
              <w:rPr>
                <w:sz w:val="20"/>
              </w:rPr>
            </w:pPr>
            <w:r>
              <w:rPr>
                <w:sz w:val="20"/>
              </w:rPr>
              <w:t>NCT00666666</w:t>
            </w:r>
          </w:p>
        </w:tc>
        <w:tc>
          <w:tcPr>
            <w:tcW w:w="991" w:type="dxa"/>
            <w:vMerge/>
            <w:tcBorders>
              <w:top w:val="nil"/>
            </w:tcBorders>
          </w:tcPr>
          <w:p>
            <w:pPr>
              <w:rPr>
                <w:sz w:val="2"/>
                <w:szCs w:val="2"/>
              </w:rPr>
            </w:pPr>
          </w:p>
        </w:tc>
      </w:tr>
      <w:tr>
        <w:trPr>
          <w:trHeight w:val="240" w:hRule="atLeast"/>
        </w:trPr>
        <w:tc>
          <w:tcPr>
            <w:tcW w:w="1560" w:type="dxa"/>
            <w:vMerge/>
            <w:tcBorders>
              <w:top w:val="nil"/>
            </w:tcBorders>
          </w:tcPr>
          <w:p>
            <w:pPr>
              <w:rPr>
                <w:sz w:val="2"/>
                <w:szCs w:val="2"/>
              </w:rPr>
            </w:pPr>
          </w:p>
        </w:tc>
        <w:tc>
          <w:tcPr>
            <w:tcW w:w="2835" w:type="dxa"/>
          </w:tcPr>
          <w:p>
            <w:pPr>
              <w:pStyle w:val="TableParagraph"/>
              <w:spacing w:line="232" w:lineRule="exact"/>
              <w:ind w:left="103" w:right="102"/>
              <w:jc w:val="center"/>
              <w:rPr>
                <w:sz w:val="22"/>
              </w:rPr>
            </w:pPr>
            <w:r>
              <w:rPr>
                <w:sz w:val="22"/>
              </w:rPr>
              <w:t>21 jours / 28</w:t>
            </w:r>
          </w:p>
        </w:tc>
        <w:tc>
          <w:tcPr>
            <w:tcW w:w="2131" w:type="dxa"/>
          </w:tcPr>
          <w:p>
            <w:pPr>
              <w:pStyle w:val="TableParagraph"/>
              <w:spacing w:line="232" w:lineRule="exact"/>
              <w:ind w:left="96" w:right="96"/>
              <w:jc w:val="center"/>
              <w:rPr>
                <w:sz w:val="22"/>
              </w:rPr>
            </w:pPr>
            <w:r>
              <w:rPr>
                <w:sz w:val="22"/>
              </w:rPr>
              <w:t>Cancer du poumon</w:t>
            </w:r>
          </w:p>
        </w:tc>
        <w:tc>
          <w:tcPr>
            <w:tcW w:w="1556" w:type="dxa"/>
          </w:tcPr>
          <w:p>
            <w:pPr>
              <w:pStyle w:val="TableParagraph"/>
              <w:spacing w:line="232" w:lineRule="exact"/>
              <w:ind w:left="103"/>
              <w:rPr>
                <w:sz w:val="22"/>
              </w:rPr>
            </w:pPr>
            <w:r>
              <w:rPr>
                <w:sz w:val="22"/>
              </w:rPr>
              <w:t>Aucun</w:t>
            </w:r>
          </w:p>
        </w:tc>
        <w:tc>
          <w:tcPr>
            <w:tcW w:w="1274" w:type="dxa"/>
          </w:tcPr>
          <w:p>
            <w:pPr>
              <w:pStyle w:val="TableParagraph"/>
              <w:spacing w:line="232" w:lineRule="exact"/>
              <w:ind w:left="103"/>
              <w:rPr>
                <w:sz w:val="22"/>
              </w:rPr>
            </w:pPr>
            <w:r>
              <w:rPr>
                <w:sz w:val="22"/>
              </w:rPr>
              <w:t>Phase II</w:t>
            </w:r>
          </w:p>
        </w:tc>
        <w:tc>
          <w:tcPr>
            <w:tcW w:w="3121" w:type="dxa"/>
          </w:tcPr>
          <w:p>
            <w:pPr>
              <w:pStyle w:val="TableParagraph"/>
              <w:spacing w:line="232" w:lineRule="exact"/>
              <w:ind w:left="103"/>
              <w:rPr>
                <w:sz w:val="22"/>
              </w:rPr>
            </w:pPr>
            <w:r>
              <w:rPr>
                <w:sz w:val="22"/>
              </w:rPr>
              <w:t>Bonne tolérance</w:t>
            </w:r>
          </w:p>
        </w:tc>
        <w:tc>
          <w:tcPr>
            <w:tcW w:w="1844" w:type="dxa"/>
          </w:tcPr>
          <w:p>
            <w:pPr>
              <w:pStyle w:val="TableParagraph"/>
              <w:spacing w:line="223" w:lineRule="exact"/>
              <w:ind w:left="103"/>
              <w:rPr>
                <w:sz w:val="20"/>
              </w:rPr>
            </w:pPr>
            <w:r>
              <w:rPr>
                <w:sz w:val="20"/>
              </w:rPr>
              <w:t>NCT00773955</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8" w:lineRule="exact"/>
              <w:ind w:left="186" w:firstLine="84"/>
              <w:rPr>
                <w:sz w:val="22"/>
              </w:rPr>
            </w:pPr>
            <w:r>
              <w:rPr>
                <w:sz w:val="22"/>
              </w:rPr>
              <w:t>30 mg BID les 3 premiers</w:t>
            </w:r>
          </w:p>
          <w:p>
            <w:pPr>
              <w:pStyle w:val="TableParagraph"/>
              <w:spacing w:line="238" w:lineRule="exact"/>
              <w:ind w:left="186"/>
              <w:rPr>
                <w:sz w:val="22"/>
              </w:rPr>
            </w:pPr>
            <w:r>
              <w:rPr>
                <w:sz w:val="22"/>
              </w:rPr>
              <w:t>jours d’un cycle de 21 jours</w:t>
            </w:r>
          </w:p>
        </w:tc>
        <w:tc>
          <w:tcPr>
            <w:tcW w:w="2131" w:type="dxa"/>
          </w:tcPr>
          <w:p>
            <w:pPr>
              <w:pStyle w:val="TableParagraph"/>
              <w:rPr>
                <w:sz w:val="20"/>
              </w:rPr>
            </w:pPr>
          </w:p>
        </w:tc>
        <w:tc>
          <w:tcPr>
            <w:tcW w:w="1556" w:type="dxa"/>
          </w:tcPr>
          <w:p>
            <w:pPr>
              <w:pStyle w:val="TableParagraph"/>
              <w:spacing w:line="249" w:lineRule="exact"/>
              <w:ind w:left="103"/>
              <w:rPr>
                <w:sz w:val="22"/>
              </w:rPr>
            </w:pPr>
            <w:r>
              <w:rPr>
                <w:sz w:val="22"/>
              </w:rPr>
              <w:t>Docetaxel</w:t>
            </w:r>
          </w:p>
        </w:tc>
        <w:tc>
          <w:tcPr>
            <w:tcW w:w="1274" w:type="dxa"/>
          </w:tcPr>
          <w:p>
            <w:pPr>
              <w:pStyle w:val="TableParagraph"/>
              <w:tabs>
                <w:tab w:pos="1016" w:val="left" w:leader="none"/>
              </w:tabs>
              <w:spacing w:line="248" w:lineRule="exact"/>
              <w:ind w:left="103"/>
              <w:rPr>
                <w:sz w:val="22"/>
              </w:rPr>
            </w:pPr>
            <w:r>
              <w:rPr>
                <w:sz w:val="22"/>
              </w:rPr>
              <w:t>Phase</w:t>
              <w:tab/>
              <w:t>II</w:t>
            </w:r>
          </w:p>
          <w:p>
            <w:pPr>
              <w:pStyle w:val="TableParagraph"/>
              <w:spacing w:line="238" w:lineRule="exact"/>
              <w:ind w:left="103"/>
              <w:rPr>
                <w:sz w:val="22"/>
              </w:rPr>
            </w:pPr>
            <w:r>
              <w:rPr>
                <w:sz w:val="22"/>
              </w:rPr>
              <w:t>randomisé</w:t>
            </w:r>
          </w:p>
        </w:tc>
        <w:tc>
          <w:tcPr>
            <w:tcW w:w="3121" w:type="dxa"/>
          </w:tcPr>
          <w:p>
            <w:pPr>
              <w:pStyle w:val="TableParagraph"/>
              <w:spacing w:line="249" w:lineRule="exact"/>
              <w:ind w:left="103"/>
              <w:rPr>
                <w:sz w:val="22"/>
              </w:rPr>
            </w:pPr>
            <w:r>
              <w:rPr>
                <w:sz w:val="22"/>
              </w:rPr>
              <w:t>Résultats non encore publiés</w:t>
            </w:r>
          </w:p>
        </w:tc>
        <w:tc>
          <w:tcPr>
            <w:tcW w:w="1844" w:type="dxa"/>
          </w:tcPr>
          <w:p>
            <w:pPr>
              <w:pStyle w:val="TableParagraph"/>
              <w:spacing w:line="225" w:lineRule="exact"/>
              <w:ind w:left="103"/>
              <w:rPr>
                <w:sz w:val="20"/>
              </w:rPr>
            </w:pPr>
            <w:r>
              <w:rPr>
                <w:sz w:val="20"/>
              </w:rPr>
              <w:t>NCT00544960</w:t>
            </w:r>
          </w:p>
        </w:tc>
        <w:tc>
          <w:tcPr>
            <w:tcW w:w="991" w:type="dxa"/>
            <w:vMerge/>
            <w:tcBorders>
              <w:top w:val="nil"/>
            </w:tcBorders>
          </w:tcPr>
          <w:p>
            <w:pPr>
              <w:rPr>
                <w:sz w:val="2"/>
                <w:szCs w:val="2"/>
              </w:rPr>
            </w:pPr>
          </w:p>
        </w:tc>
      </w:tr>
      <w:tr>
        <w:trPr>
          <w:trHeight w:val="1260" w:hRule="atLeast"/>
        </w:trPr>
        <w:tc>
          <w:tcPr>
            <w:tcW w:w="1560" w:type="dxa"/>
          </w:tcPr>
          <w:p>
            <w:pPr>
              <w:pStyle w:val="TableParagraph"/>
              <w:spacing w:line="251" w:lineRule="exact"/>
              <w:ind w:left="323"/>
              <w:rPr>
                <w:b/>
                <w:sz w:val="22"/>
              </w:rPr>
            </w:pPr>
            <w:r>
              <w:rPr>
                <w:b/>
                <w:sz w:val="22"/>
              </w:rPr>
              <w:t>AZD3965</w:t>
            </w:r>
          </w:p>
        </w:tc>
        <w:tc>
          <w:tcPr>
            <w:tcW w:w="2835" w:type="dxa"/>
          </w:tcPr>
          <w:p>
            <w:pPr>
              <w:pStyle w:val="TableParagraph"/>
              <w:spacing w:line="242" w:lineRule="auto"/>
              <w:ind w:left="1053" w:right="143" w:hanging="896"/>
              <w:rPr>
                <w:sz w:val="22"/>
              </w:rPr>
            </w:pPr>
            <w:r>
              <w:rPr>
                <w:sz w:val="22"/>
              </w:rPr>
              <w:t>Doses croissantes – cycle de 28 jours</w:t>
            </w:r>
          </w:p>
        </w:tc>
        <w:tc>
          <w:tcPr>
            <w:tcW w:w="2131" w:type="dxa"/>
          </w:tcPr>
          <w:p>
            <w:pPr>
              <w:pStyle w:val="TableParagraph"/>
              <w:ind w:left="167" w:right="166"/>
              <w:jc w:val="center"/>
              <w:rPr>
                <w:sz w:val="22"/>
              </w:rPr>
            </w:pPr>
            <w:r>
              <w:rPr>
                <w:sz w:val="22"/>
              </w:rPr>
              <w:t>Tumeurs solides Cancers de la prostate, de</w:t>
            </w:r>
          </w:p>
          <w:p>
            <w:pPr>
              <w:pStyle w:val="TableParagraph"/>
              <w:spacing w:line="252" w:lineRule="exact" w:before="11"/>
              <w:ind w:left="450" w:right="453" w:firstLine="5"/>
              <w:jc w:val="center"/>
              <w:rPr>
                <w:sz w:val="22"/>
              </w:rPr>
            </w:pPr>
            <w:r>
              <w:rPr>
                <w:sz w:val="22"/>
              </w:rPr>
              <w:t>l’estomac Lymphome B</w:t>
            </w:r>
          </w:p>
        </w:tc>
        <w:tc>
          <w:tcPr>
            <w:tcW w:w="1556" w:type="dxa"/>
          </w:tcPr>
          <w:p>
            <w:pPr>
              <w:pStyle w:val="TableParagraph"/>
              <w:spacing w:line="247" w:lineRule="exact"/>
              <w:ind w:left="103"/>
              <w:rPr>
                <w:sz w:val="22"/>
              </w:rPr>
            </w:pPr>
            <w:r>
              <w:rPr>
                <w:sz w:val="22"/>
              </w:rPr>
              <w:t>Aucun</w:t>
            </w:r>
          </w:p>
        </w:tc>
        <w:tc>
          <w:tcPr>
            <w:tcW w:w="1274" w:type="dxa"/>
          </w:tcPr>
          <w:p>
            <w:pPr>
              <w:pStyle w:val="TableParagraph"/>
              <w:spacing w:line="247" w:lineRule="exact"/>
              <w:ind w:left="103"/>
              <w:rPr>
                <w:sz w:val="22"/>
              </w:rPr>
            </w:pPr>
            <w:r>
              <w:rPr>
                <w:sz w:val="22"/>
              </w:rPr>
              <w:t>Phase I</w:t>
            </w:r>
          </w:p>
        </w:tc>
        <w:tc>
          <w:tcPr>
            <w:tcW w:w="3121" w:type="dxa"/>
          </w:tcPr>
          <w:p>
            <w:pPr>
              <w:pStyle w:val="TableParagraph"/>
              <w:spacing w:line="247" w:lineRule="exact"/>
              <w:ind w:left="103"/>
              <w:rPr>
                <w:sz w:val="22"/>
              </w:rPr>
            </w:pPr>
            <w:r>
              <w:rPr>
                <w:sz w:val="22"/>
              </w:rPr>
              <w:t>Pas encore de résultats</w:t>
            </w:r>
          </w:p>
        </w:tc>
        <w:tc>
          <w:tcPr>
            <w:tcW w:w="1844" w:type="dxa"/>
          </w:tcPr>
          <w:p>
            <w:pPr>
              <w:pStyle w:val="TableParagraph"/>
              <w:spacing w:line="223" w:lineRule="exact"/>
              <w:ind w:left="103"/>
              <w:rPr>
                <w:sz w:val="20"/>
              </w:rPr>
            </w:pPr>
            <w:r>
              <w:rPr>
                <w:sz w:val="20"/>
              </w:rPr>
              <w:t>NCT01791595</w:t>
            </w:r>
          </w:p>
        </w:tc>
        <w:tc>
          <w:tcPr>
            <w:tcW w:w="991" w:type="dxa"/>
          </w:tcPr>
          <w:p>
            <w:pPr>
              <w:pStyle w:val="TableParagraph"/>
              <w:spacing w:line="223" w:lineRule="exact"/>
              <w:ind w:right="1"/>
              <w:jc w:val="center"/>
              <w:rPr>
                <w:sz w:val="20"/>
              </w:rPr>
            </w:pPr>
            <w:r>
              <w:rPr>
                <w:w w:val="99"/>
                <w:sz w:val="20"/>
              </w:rPr>
              <w:t>1</w:t>
            </w:r>
          </w:p>
        </w:tc>
      </w:tr>
      <w:tr>
        <w:trPr>
          <w:trHeight w:val="1000" w:hRule="atLeast"/>
        </w:trPr>
        <w:tc>
          <w:tcPr>
            <w:tcW w:w="1560" w:type="dxa"/>
            <w:vMerge w:val="restart"/>
          </w:tcPr>
          <w:p>
            <w:pPr>
              <w:pStyle w:val="TableParagraph"/>
              <w:spacing w:line="251" w:lineRule="exact"/>
              <w:ind w:left="201"/>
              <w:rPr>
                <w:b/>
                <w:sz w:val="22"/>
              </w:rPr>
            </w:pPr>
            <w:r>
              <w:rPr>
                <w:b/>
                <w:sz w:val="22"/>
              </w:rPr>
              <w:t>Oméprazole</w:t>
            </w:r>
          </w:p>
        </w:tc>
        <w:tc>
          <w:tcPr>
            <w:tcW w:w="2835" w:type="dxa"/>
          </w:tcPr>
          <w:p>
            <w:pPr>
              <w:pStyle w:val="TableParagraph"/>
              <w:spacing w:line="247" w:lineRule="exact"/>
              <w:ind w:left="101" w:right="103"/>
              <w:jc w:val="center"/>
              <w:rPr>
                <w:sz w:val="22"/>
              </w:rPr>
            </w:pPr>
            <w:r>
              <w:rPr>
                <w:sz w:val="22"/>
              </w:rPr>
              <w:t>40 mg PO</w:t>
            </w:r>
          </w:p>
        </w:tc>
        <w:tc>
          <w:tcPr>
            <w:tcW w:w="2131" w:type="dxa"/>
          </w:tcPr>
          <w:p>
            <w:pPr>
              <w:pStyle w:val="TableParagraph"/>
              <w:spacing w:line="247" w:lineRule="exact"/>
              <w:ind w:left="96" w:right="95"/>
              <w:jc w:val="center"/>
              <w:rPr>
                <w:sz w:val="22"/>
              </w:rPr>
            </w:pPr>
            <w:r>
              <w:rPr>
                <w:sz w:val="22"/>
              </w:rPr>
              <w:t>Cancer tête cou</w:t>
            </w:r>
          </w:p>
        </w:tc>
        <w:tc>
          <w:tcPr>
            <w:tcW w:w="1556" w:type="dxa"/>
          </w:tcPr>
          <w:p>
            <w:pPr>
              <w:pStyle w:val="TableParagraph"/>
              <w:ind w:left="103" w:right="100"/>
              <w:rPr>
                <w:sz w:val="22"/>
              </w:rPr>
            </w:pPr>
            <w:r>
              <w:rPr>
                <w:sz w:val="22"/>
              </w:rPr>
              <w:t>Carboplatine + 5-FU,</w:t>
            </w:r>
          </w:p>
          <w:p>
            <w:pPr>
              <w:pStyle w:val="TableParagraph"/>
              <w:tabs>
                <w:tab w:pos="1222" w:val="left" w:leader="none"/>
              </w:tabs>
              <w:spacing w:line="252" w:lineRule="exact" w:before="11"/>
              <w:ind w:left="103" w:right="99"/>
              <w:rPr>
                <w:sz w:val="22"/>
              </w:rPr>
            </w:pPr>
            <w:r>
              <w:rPr>
                <w:sz w:val="22"/>
              </w:rPr>
              <w:t>paclitaxel,</w:t>
              <w:tab/>
              <w:t>ou pemetrexed</w:t>
            </w:r>
          </w:p>
        </w:tc>
        <w:tc>
          <w:tcPr>
            <w:tcW w:w="1274" w:type="dxa"/>
          </w:tcPr>
          <w:p>
            <w:pPr>
              <w:pStyle w:val="TableParagraph"/>
              <w:spacing w:line="247" w:lineRule="exact"/>
              <w:ind w:left="103"/>
              <w:rPr>
                <w:sz w:val="22"/>
              </w:rPr>
            </w:pPr>
            <w:r>
              <w:rPr>
                <w:sz w:val="22"/>
              </w:rPr>
              <w:t>Phase II</w:t>
            </w:r>
          </w:p>
        </w:tc>
        <w:tc>
          <w:tcPr>
            <w:tcW w:w="3121" w:type="dxa"/>
          </w:tcPr>
          <w:p>
            <w:pPr>
              <w:pStyle w:val="TableParagraph"/>
              <w:spacing w:line="247" w:lineRule="exact"/>
              <w:ind w:left="103"/>
              <w:rPr>
                <w:sz w:val="22"/>
              </w:rPr>
            </w:pPr>
            <w:r>
              <w:rPr>
                <w:sz w:val="22"/>
              </w:rPr>
              <w:t>Essai arrêté car manque de fonds</w:t>
            </w:r>
          </w:p>
        </w:tc>
        <w:tc>
          <w:tcPr>
            <w:tcW w:w="1844" w:type="dxa"/>
          </w:tcPr>
          <w:p>
            <w:pPr>
              <w:pStyle w:val="TableParagraph"/>
              <w:spacing w:line="223" w:lineRule="exact"/>
              <w:ind w:left="103"/>
              <w:rPr>
                <w:sz w:val="20"/>
              </w:rPr>
            </w:pPr>
            <w:r>
              <w:rPr>
                <w:sz w:val="20"/>
              </w:rPr>
              <w:t>NCT02013453</w:t>
            </w:r>
          </w:p>
        </w:tc>
        <w:tc>
          <w:tcPr>
            <w:tcW w:w="991" w:type="dxa"/>
            <w:vMerge w:val="restart"/>
          </w:tcPr>
          <w:p>
            <w:pPr>
              <w:pStyle w:val="TableParagraph"/>
              <w:spacing w:line="223" w:lineRule="exact"/>
              <w:ind w:left="109" w:right="107"/>
              <w:jc w:val="center"/>
              <w:rPr>
                <w:sz w:val="20"/>
              </w:rPr>
            </w:pPr>
            <w:r>
              <w:rPr>
                <w:sz w:val="20"/>
              </w:rPr>
              <w:t>48</w:t>
            </w:r>
          </w:p>
        </w:tc>
      </w:tr>
      <w:tr>
        <w:trPr>
          <w:trHeight w:val="240" w:hRule="atLeast"/>
        </w:trPr>
        <w:tc>
          <w:tcPr>
            <w:tcW w:w="1560" w:type="dxa"/>
            <w:vMerge/>
            <w:tcBorders>
              <w:top w:val="nil"/>
            </w:tcBorders>
          </w:tcPr>
          <w:p>
            <w:pPr>
              <w:rPr>
                <w:sz w:val="2"/>
                <w:szCs w:val="2"/>
              </w:rPr>
            </w:pPr>
          </w:p>
        </w:tc>
        <w:tc>
          <w:tcPr>
            <w:tcW w:w="2835" w:type="dxa"/>
          </w:tcPr>
          <w:p>
            <w:pPr>
              <w:pStyle w:val="TableParagraph"/>
              <w:spacing w:line="234" w:lineRule="exact"/>
              <w:ind w:left="103" w:right="102"/>
              <w:jc w:val="center"/>
              <w:rPr>
                <w:sz w:val="22"/>
              </w:rPr>
            </w:pPr>
            <w:r>
              <w:rPr>
                <w:sz w:val="22"/>
              </w:rPr>
              <w:t>Non communiqué</w:t>
            </w:r>
          </w:p>
        </w:tc>
        <w:tc>
          <w:tcPr>
            <w:tcW w:w="2131" w:type="dxa"/>
          </w:tcPr>
          <w:p>
            <w:pPr>
              <w:pStyle w:val="TableParagraph"/>
              <w:spacing w:line="234" w:lineRule="exact"/>
              <w:ind w:left="96" w:right="97"/>
              <w:jc w:val="center"/>
              <w:rPr>
                <w:sz w:val="22"/>
              </w:rPr>
            </w:pPr>
            <w:r>
              <w:rPr>
                <w:sz w:val="22"/>
              </w:rPr>
              <w:t>Tumeurs solides</w:t>
            </w:r>
          </w:p>
        </w:tc>
        <w:tc>
          <w:tcPr>
            <w:tcW w:w="1556" w:type="dxa"/>
          </w:tcPr>
          <w:p>
            <w:pPr>
              <w:pStyle w:val="TableParagraph"/>
              <w:spacing w:line="234" w:lineRule="exact"/>
              <w:ind w:left="103"/>
              <w:rPr>
                <w:sz w:val="22"/>
              </w:rPr>
            </w:pPr>
            <w:r>
              <w:rPr>
                <w:sz w:val="22"/>
              </w:rPr>
              <w:t>Patupilone</w:t>
            </w:r>
          </w:p>
        </w:tc>
        <w:tc>
          <w:tcPr>
            <w:tcW w:w="1274" w:type="dxa"/>
          </w:tcPr>
          <w:p>
            <w:pPr>
              <w:pStyle w:val="TableParagraph"/>
              <w:spacing w:line="234" w:lineRule="exact"/>
              <w:ind w:left="103"/>
              <w:rPr>
                <w:sz w:val="22"/>
              </w:rPr>
            </w:pPr>
            <w:r>
              <w:rPr>
                <w:sz w:val="22"/>
              </w:rPr>
              <w:t>Phase I</w:t>
            </w:r>
          </w:p>
        </w:tc>
        <w:tc>
          <w:tcPr>
            <w:tcW w:w="3121" w:type="dxa"/>
          </w:tcPr>
          <w:p>
            <w:pPr>
              <w:pStyle w:val="TableParagraph"/>
              <w:spacing w:line="234" w:lineRule="exact"/>
              <w:ind w:left="103"/>
              <w:rPr>
                <w:sz w:val="22"/>
              </w:rPr>
            </w:pPr>
            <w:r>
              <w:rPr>
                <w:sz w:val="22"/>
              </w:rPr>
              <w:t>Résultats non encore publiés</w:t>
            </w:r>
          </w:p>
        </w:tc>
        <w:tc>
          <w:tcPr>
            <w:tcW w:w="1844" w:type="dxa"/>
          </w:tcPr>
          <w:p>
            <w:pPr>
              <w:pStyle w:val="TableParagraph"/>
              <w:spacing w:line="223" w:lineRule="exact"/>
              <w:ind w:left="103"/>
              <w:rPr>
                <w:sz w:val="20"/>
              </w:rPr>
            </w:pPr>
            <w:r>
              <w:rPr>
                <w:sz w:val="20"/>
              </w:rPr>
              <w:t>NCT00420615</w:t>
            </w:r>
          </w:p>
        </w:tc>
        <w:tc>
          <w:tcPr>
            <w:tcW w:w="991" w:type="dxa"/>
            <w:vMerge/>
            <w:tcBorders>
              <w:top w:val="nil"/>
            </w:tcBorders>
          </w:tcPr>
          <w:p>
            <w:pPr>
              <w:rPr>
                <w:sz w:val="2"/>
                <w:szCs w:val="2"/>
              </w:rPr>
            </w:pPr>
          </w:p>
        </w:tc>
      </w:tr>
    </w:tbl>
    <w:p>
      <w:pPr>
        <w:spacing w:after="0"/>
        <w:rPr>
          <w:sz w:val="2"/>
          <w:szCs w:val="2"/>
        </w:rPr>
        <w:sectPr>
          <w:pgSz w:w="16840" w:h="11910" w:orient="landscape"/>
          <w:pgMar w:header="0" w:footer="998" w:top="1100" w:bottom="1180" w:left="640" w:right="640"/>
        </w:sectPr>
      </w:pPr>
    </w:p>
    <w:p>
      <w:pPr>
        <w:pStyle w:val="BodyText"/>
        <w:spacing w:before="1" w:after="1"/>
        <w:rPr>
          <w:sz w:val="27"/>
        </w:rPr>
      </w:pP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2835"/>
        <w:gridCol w:w="2131"/>
        <w:gridCol w:w="1556"/>
        <w:gridCol w:w="1274"/>
        <w:gridCol w:w="3121"/>
        <w:gridCol w:w="1844"/>
        <w:gridCol w:w="991"/>
      </w:tblGrid>
      <w:tr>
        <w:trPr>
          <w:trHeight w:val="740" w:hRule="atLeast"/>
        </w:trPr>
        <w:tc>
          <w:tcPr>
            <w:tcW w:w="1560" w:type="dxa"/>
            <w:vMerge w:val="restart"/>
          </w:tcPr>
          <w:p>
            <w:pPr>
              <w:pStyle w:val="TableParagraph"/>
              <w:spacing w:line="251" w:lineRule="exact"/>
              <w:ind w:left="117"/>
              <w:rPr>
                <w:b/>
                <w:sz w:val="22"/>
              </w:rPr>
            </w:pPr>
            <w:r>
              <w:rPr>
                <w:b/>
                <w:sz w:val="22"/>
              </w:rPr>
              <w:t>Esoméprazole</w:t>
            </w:r>
          </w:p>
        </w:tc>
        <w:tc>
          <w:tcPr>
            <w:tcW w:w="2835" w:type="dxa"/>
          </w:tcPr>
          <w:p>
            <w:pPr>
              <w:pStyle w:val="TableParagraph"/>
              <w:spacing w:line="247" w:lineRule="exact"/>
              <w:ind w:left="101" w:right="103"/>
              <w:jc w:val="center"/>
              <w:rPr>
                <w:sz w:val="22"/>
              </w:rPr>
            </w:pPr>
            <w:r>
              <w:rPr>
                <w:sz w:val="22"/>
              </w:rPr>
              <w:t>60 mg SID – 120 mg SID</w:t>
            </w:r>
          </w:p>
        </w:tc>
        <w:tc>
          <w:tcPr>
            <w:tcW w:w="2131" w:type="dxa"/>
          </w:tcPr>
          <w:p>
            <w:pPr>
              <w:pStyle w:val="TableParagraph"/>
              <w:spacing w:line="246" w:lineRule="exact"/>
              <w:ind w:left="96" w:right="96"/>
              <w:jc w:val="center"/>
              <w:rPr>
                <w:sz w:val="22"/>
              </w:rPr>
            </w:pPr>
            <w:r>
              <w:rPr>
                <w:sz w:val="22"/>
              </w:rPr>
              <w:t>Ostéosarcome</w:t>
            </w:r>
          </w:p>
          <w:p>
            <w:pPr>
              <w:pStyle w:val="TableParagraph"/>
              <w:spacing w:line="252" w:lineRule="exact"/>
              <w:ind w:left="96" w:right="96"/>
              <w:jc w:val="center"/>
              <w:rPr>
                <w:sz w:val="22"/>
              </w:rPr>
            </w:pPr>
            <w:r>
              <w:rPr>
                <w:sz w:val="22"/>
              </w:rPr>
              <w:t>« chondroblastique »</w:t>
            </w:r>
          </w:p>
        </w:tc>
        <w:tc>
          <w:tcPr>
            <w:tcW w:w="1556" w:type="dxa"/>
          </w:tcPr>
          <w:p>
            <w:pPr>
              <w:pStyle w:val="TableParagraph"/>
              <w:ind w:left="103" w:right="176"/>
              <w:rPr>
                <w:sz w:val="22"/>
              </w:rPr>
            </w:pPr>
            <w:r>
              <w:rPr>
                <w:sz w:val="22"/>
              </w:rPr>
              <w:t>Méthotrexate- cisplatine-</w:t>
            </w:r>
          </w:p>
          <w:p>
            <w:pPr>
              <w:pStyle w:val="TableParagraph"/>
              <w:spacing w:line="238" w:lineRule="exact" w:before="8"/>
              <w:ind w:left="103"/>
              <w:rPr>
                <w:sz w:val="22"/>
              </w:rPr>
            </w:pPr>
            <w:r>
              <w:rPr>
                <w:sz w:val="22"/>
              </w:rPr>
              <w:t>adriamycine</w:t>
            </w:r>
          </w:p>
        </w:tc>
        <w:tc>
          <w:tcPr>
            <w:tcW w:w="1274" w:type="dxa"/>
          </w:tcPr>
          <w:p>
            <w:pPr>
              <w:pStyle w:val="TableParagraph"/>
              <w:ind w:left="103"/>
              <w:rPr>
                <w:sz w:val="22"/>
              </w:rPr>
            </w:pPr>
            <w:r>
              <w:rPr>
                <w:sz w:val="22"/>
              </w:rPr>
              <w:t>Phase II - prospective</w:t>
            </w:r>
          </w:p>
        </w:tc>
        <w:tc>
          <w:tcPr>
            <w:tcW w:w="3121" w:type="dxa"/>
          </w:tcPr>
          <w:p>
            <w:pPr>
              <w:pStyle w:val="TableParagraph"/>
              <w:tabs>
                <w:tab w:pos="2321" w:val="left" w:leader="none"/>
              </w:tabs>
              <w:ind w:left="103" w:right="101"/>
              <w:rPr>
                <w:sz w:val="22"/>
              </w:rPr>
            </w:pPr>
            <w:r>
              <w:rPr>
                <w:sz w:val="22"/>
              </w:rPr>
              <w:t>Amélioration</w:t>
              <w:tab/>
              <w:t>réponse chimiothérapie dans 60%</w:t>
            </w:r>
            <w:r>
              <w:rPr>
                <w:spacing w:val="-17"/>
                <w:sz w:val="22"/>
              </w:rPr>
              <w:t> </w:t>
            </w:r>
            <w:r>
              <w:rPr>
                <w:sz w:val="22"/>
              </w:rPr>
              <w:t>(contre</w:t>
            </w:r>
          </w:p>
          <w:p>
            <w:pPr>
              <w:pStyle w:val="TableParagraph"/>
              <w:spacing w:line="238" w:lineRule="exact" w:before="8"/>
              <w:ind w:left="103"/>
              <w:rPr>
                <w:sz w:val="22"/>
              </w:rPr>
            </w:pPr>
            <w:r>
              <w:rPr>
                <w:sz w:val="22"/>
              </w:rPr>
              <w:t>25%)</w:t>
            </w:r>
          </w:p>
        </w:tc>
        <w:tc>
          <w:tcPr>
            <w:tcW w:w="1844" w:type="dxa"/>
          </w:tcPr>
          <w:p>
            <w:pPr>
              <w:pStyle w:val="TableParagraph"/>
              <w:spacing w:line="223" w:lineRule="exact"/>
              <w:ind w:left="103"/>
              <w:rPr>
                <w:sz w:val="20"/>
              </w:rPr>
            </w:pPr>
            <w:r>
              <w:rPr>
                <w:sz w:val="20"/>
              </w:rPr>
              <w:t>Ferrari et al., 2013</w:t>
            </w:r>
          </w:p>
        </w:tc>
        <w:tc>
          <w:tcPr>
            <w:tcW w:w="991" w:type="dxa"/>
            <w:vMerge w:val="restart"/>
          </w:tcPr>
          <w:p>
            <w:pPr>
              <w:pStyle w:val="TableParagraph"/>
              <w:spacing w:line="223" w:lineRule="exact"/>
              <w:ind w:left="109" w:right="107"/>
              <w:jc w:val="center"/>
              <w:rPr>
                <w:sz w:val="20"/>
              </w:rPr>
            </w:pPr>
            <w:r>
              <w:rPr>
                <w:sz w:val="20"/>
              </w:rPr>
              <w:t>28</w:t>
            </w:r>
          </w:p>
        </w:tc>
      </w:tr>
      <w:tr>
        <w:trPr>
          <w:trHeight w:val="760" w:hRule="atLeast"/>
        </w:trPr>
        <w:tc>
          <w:tcPr>
            <w:tcW w:w="1560" w:type="dxa"/>
            <w:vMerge/>
            <w:tcBorders>
              <w:top w:val="nil"/>
            </w:tcBorders>
          </w:tcPr>
          <w:p>
            <w:pPr>
              <w:rPr>
                <w:sz w:val="2"/>
                <w:szCs w:val="2"/>
              </w:rPr>
            </w:pPr>
          </w:p>
        </w:tc>
        <w:tc>
          <w:tcPr>
            <w:tcW w:w="2835" w:type="dxa"/>
          </w:tcPr>
          <w:p>
            <w:pPr>
              <w:pStyle w:val="TableParagraph"/>
              <w:spacing w:line="247" w:lineRule="exact"/>
              <w:ind w:left="103" w:right="103"/>
              <w:jc w:val="center"/>
              <w:rPr>
                <w:sz w:val="22"/>
              </w:rPr>
            </w:pPr>
            <w:r>
              <w:rPr>
                <w:sz w:val="22"/>
              </w:rPr>
              <w:t>160-200 mg PO SID 3jours</w:t>
            </w:r>
          </w:p>
          <w:p>
            <w:pPr>
              <w:pStyle w:val="TableParagraph"/>
              <w:spacing w:line="252" w:lineRule="exact" w:before="5"/>
              <w:ind w:left="103" w:right="103"/>
              <w:jc w:val="center"/>
              <w:rPr>
                <w:sz w:val="22"/>
              </w:rPr>
            </w:pPr>
            <w:r>
              <w:rPr>
                <w:sz w:val="22"/>
              </w:rPr>
              <w:t>par semaine pendant 66 semaines</w:t>
            </w:r>
          </w:p>
        </w:tc>
        <w:tc>
          <w:tcPr>
            <w:tcW w:w="2131" w:type="dxa"/>
          </w:tcPr>
          <w:p>
            <w:pPr>
              <w:pStyle w:val="TableParagraph"/>
              <w:spacing w:line="242" w:lineRule="auto"/>
              <w:ind w:left="503" w:right="389" w:hanging="99"/>
              <w:rPr>
                <w:sz w:val="22"/>
              </w:rPr>
            </w:pPr>
            <w:r>
              <w:rPr>
                <w:sz w:val="22"/>
              </w:rPr>
              <w:t>Cancer du sein métastatique</w:t>
            </w:r>
          </w:p>
        </w:tc>
        <w:tc>
          <w:tcPr>
            <w:tcW w:w="1556" w:type="dxa"/>
          </w:tcPr>
          <w:p>
            <w:pPr>
              <w:pStyle w:val="TableParagraph"/>
              <w:spacing w:line="242" w:lineRule="auto"/>
              <w:ind w:left="103" w:right="530"/>
              <w:rPr>
                <w:sz w:val="22"/>
              </w:rPr>
            </w:pPr>
            <w:r>
              <w:rPr>
                <w:sz w:val="22"/>
              </w:rPr>
              <w:t>Cisplatine Docetaxel</w:t>
            </w:r>
          </w:p>
        </w:tc>
        <w:tc>
          <w:tcPr>
            <w:tcW w:w="1274" w:type="dxa"/>
          </w:tcPr>
          <w:p>
            <w:pPr>
              <w:pStyle w:val="TableParagraph"/>
              <w:spacing w:line="247" w:lineRule="exact"/>
              <w:ind w:left="103"/>
              <w:rPr>
                <w:sz w:val="22"/>
              </w:rPr>
            </w:pPr>
            <w:r>
              <w:rPr>
                <w:sz w:val="22"/>
              </w:rPr>
              <w:t>Phase II</w:t>
            </w:r>
          </w:p>
        </w:tc>
        <w:tc>
          <w:tcPr>
            <w:tcW w:w="3121" w:type="dxa"/>
          </w:tcPr>
          <w:p>
            <w:pPr>
              <w:pStyle w:val="TableParagraph"/>
              <w:tabs>
                <w:tab w:pos="1177" w:val="left" w:leader="none"/>
                <w:tab w:pos="1579" w:val="left" w:leader="none"/>
                <w:tab w:pos="2503" w:val="left" w:leader="none"/>
                <w:tab w:pos="2843" w:val="left" w:leader="none"/>
              </w:tabs>
              <w:spacing w:line="242" w:lineRule="auto"/>
              <w:ind w:left="103" w:right="104"/>
              <w:rPr>
                <w:sz w:val="22"/>
              </w:rPr>
            </w:pPr>
            <w:r>
              <w:rPr>
                <w:sz w:val="22"/>
              </w:rPr>
              <w:t>Améliore</w:t>
              <w:tab/>
              <w:t>la</w:t>
              <w:tab/>
              <w:t>réponse</w:t>
              <w:tab/>
              <w:t>à</w:t>
              <w:tab/>
              <w:t>la chimiothérapie</w:t>
            </w:r>
          </w:p>
        </w:tc>
        <w:tc>
          <w:tcPr>
            <w:tcW w:w="1844" w:type="dxa"/>
          </w:tcPr>
          <w:p>
            <w:pPr>
              <w:pStyle w:val="TableParagraph"/>
              <w:ind w:left="103" w:right="294"/>
              <w:rPr>
                <w:sz w:val="20"/>
              </w:rPr>
            </w:pPr>
            <w:r>
              <w:rPr>
                <w:sz w:val="20"/>
              </w:rPr>
              <w:t>Wang et al., 2015 NCT01069081</w:t>
            </w:r>
          </w:p>
        </w:tc>
        <w:tc>
          <w:tcPr>
            <w:tcW w:w="991" w:type="dxa"/>
            <w:vMerge/>
            <w:tcBorders>
              <w:top w:val="nil"/>
            </w:tcBorders>
          </w:tcPr>
          <w:p>
            <w:pPr>
              <w:rPr>
                <w:sz w:val="2"/>
                <w:szCs w:val="2"/>
              </w:rPr>
            </w:pPr>
          </w:p>
        </w:tc>
      </w:tr>
      <w:tr>
        <w:trPr>
          <w:trHeight w:val="500" w:hRule="atLeast"/>
        </w:trPr>
        <w:tc>
          <w:tcPr>
            <w:tcW w:w="1560" w:type="dxa"/>
            <w:vMerge w:val="restart"/>
          </w:tcPr>
          <w:p>
            <w:pPr>
              <w:pStyle w:val="TableParagraph"/>
              <w:ind w:left="410" w:right="277" w:hanging="111"/>
              <w:rPr>
                <w:b/>
                <w:sz w:val="22"/>
              </w:rPr>
            </w:pPr>
            <w:r>
              <w:rPr>
                <w:b/>
                <w:sz w:val="22"/>
              </w:rPr>
              <w:t>Indisulam (E7070)</w:t>
            </w:r>
          </w:p>
        </w:tc>
        <w:tc>
          <w:tcPr>
            <w:tcW w:w="2835" w:type="dxa"/>
          </w:tcPr>
          <w:p>
            <w:pPr>
              <w:pStyle w:val="TableParagraph"/>
              <w:spacing w:line="247" w:lineRule="exact"/>
              <w:ind w:left="103" w:right="102"/>
              <w:jc w:val="center"/>
              <w:rPr>
                <w:sz w:val="22"/>
              </w:rPr>
            </w:pPr>
            <w:r>
              <w:rPr>
                <w:sz w:val="22"/>
              </w:rPr>
              <w:t>Non communiqué</w:t>
            </w:r>
          </w:p>
        </w:tc>
        <w:tc>
          <w:tcPr>
            <w:tcW w:w="2131" w:type="dxa"/>
          </w:tcPr>
          <w:p>
            <w:pPr>
              <w:pStyle w:val="TableParagraph"/>
              <w:spacing w:line="246" w:lineRule="exact"/>
              <w:ind w:left="503" w:hanging="99"/>
              <w:rPr>
                <w:sz w:val="22"/>
              </w:rPr>
            </w:pPr>
            <w:r>
              <w:rPr>
                <w:sz w:val="22"/>
              </w:rPr>
              <w:t>Cancer du sein</w:t>
            </w:r>
          </w:p>
          <w:p>
            <w:pPr>
              <w:pStyle w:val="TableParagraph"/>
              <w:spacing w:line="240" w:lineRule="exact"/>
              <w:ind w:left="503"/>
              <w:rPr>
                <w:sz w:val="22"/>
              </w:rPr>
            </w:pPr>
            <w:r>
              <w:rPr>
                <w:sz w:val="22"/>
              </w:rPr>
              <w:t>métastatique</w:t>
            </w:r>
          </w:p>
        </w:tc>
        <w:tc>
          <w:tcPr>
            <w:tcW w:w="1556" w:type="dxa"/>
          </w:tcPr>
          <w:p>
            <w:pPr>
              <w:pStyle w:val="TableParagraph"/>
              <w:spacing w:line="247" w:lineRule="exact"/>
              <w:ind w:left="103"/>
              <w:rPr>
                <w:sz w:val="22"/>
              </w:rPr>
            </w:pPr>
            <w:r>
              <w:rPr>
                <w:sz w:val="22"/>
              </w:rPr>
              <w:t>Capecitabine</w:t>
            </w:r>
          </w:p>
        </w:tc>
        <w:tc>
          <w:tcPr>
            <w:tcW w:w="1274" w:type="dxa"/>
          </w:tcPr>
          <w:p>
            <w:pPr>
              <w:pStyle w:val="TableParagraph"/>
              <w:spacing w:line="247" w:lineRule="exact"/>
              <w:ind w:left="103"/>
              <w:rPr>
                <w:sz w:val="22"/>
              </w:rPr>
            </w:pPr>
            <w:r>
              <w:rPr>
                <w:sz w:val="22"/>
              </w:rPr>
              <w:t>Phase II</w:t>
            </w:r>
          </w:p>
        </w:tc>
        <w:tc>
          <w:tcPr>
            <w:tcW w:w="3121" w:type="dxa"/>
          </w:tcPr>
          <w:p>
            <w:pPr>
              <w:pStyle w:val="TableParagraph"/>
              <w:spacing w:line="247" w:lineRule="exact"/>
              <w:ind w:left="103"/>
              <w:rPr>
                <w:sz w:val="22"/>
              </w:rPr>
            </w:pPr>
            <w:r>
              <w:rPr>
                <w:sz w:val="22"/>
              </w:rPr>
              <w:t>Pas d’efficacité</w:t>
            </w:r>
          </w:p>
        </w:tc>
        <w:tc>
          <w:tcPr>
            <w:tcW w:w="1844" w:type="dxa"/>
          </w:tcPr>
          <w:p>
            <w:pPr>
              <w:pStyle w:val="TableParagraph"/>
              <w:spacing w:line="223" w:lineRule="exact"/>
              <w:ind w:left="103"/>
              <w:rPr>
                <w:sz w:val="20"/>
              </w:rPr>
            </w:pPr>
            <w:r>
              <w:rPr>
                <w:sz w:val="20"/>
              </w:rPr>
              <w:t>NCT00165880</w:t>
            </w:r>
          </w:p>
        </w:tc>
        <w:tc>
          <w:tcPr>
            <w:tcW w:w="991" w:type="dxa"/>
            <w:vMerge w:val="restart"/>
          </w:tcPr>
          <w:p>
            <w:pPr>
              <w:pStyle w:val="TableParagraph"/>
              <w:spacing w:line="223" w:lineRule="exact"/>
              <w:ind w:left="109" w:right="107"/>
              <w:jc w:val="center"/>
              <w:rPr>
                <w:sz w:val="20"/>
              </w:rPr>
            </w:pPr>
            <w:r>
              <w:rPr>
                <w:sz w:val="20"/>
              </w:rPr>
              <w:t>11</w:t>
            </w:r>
          </w:p>
        </w:tc>
      </w:tr>
      <w:tr>
        <w:trPr>
          <w:trHeight w:val="1260" w:hRule="atLeast"/>
        </w:trPr>
        <w:tc>
          <w:tcPr>
            <w:tcW w:w="1560" w:type="dxa"/>
            <w:vMerge/>
            <w:tcBorders>
              <w:top w:val="nil"/>
            </w:tcBorders>
          </w:tcPr>
          <w:p>
            <w:pPr>
              <w:rPr>
                <w:sz w:val="2"/>
                <w:szCs w:val="2"/>
              </w:rPr>
            </w:pPr>
          </w:p>
        </w:tc>
        <w:tc>
          <w:tcPr>
            <w:tcW w:w="2835" w:type="dxa"/>
          </w:tcPr>
          <w:p>
            <w:pPr>
              <w:pStyle w:val="TableParagraph"/>
              <w:ind w:left="222" w:right="225" w:firstLine="1"/>
              <w:jc w:val="center"/>
              <w:rPr>
                <w:sz w:val="22"/>
              </w:rPr>
            </w:pPr>
            <w:r>
              <w:rPr>
                <w:sz w:val="22"/>
              </w:rPr>
              <w:t>Toutes les 3 semaines par perfusion soit 700 mg/m² à J1</w:t>
            </w:r>
          </w:p>
          <w:p>
            <w:pPr>
              <w:pStyle w:val="TableParagraph"/>
              <w:spacing w:line="252" w:lineRule="exact" w:before="9"/>
              <w:ind w:left="100" w:right="103"/>
              <w:jc w:val="center"/>
              <w:rPr>
                <w:sz w:val="22"/>
              </w:rPr>
            </w:pPr>
            <w:r>
              <w:rPr>
                <w:sz w:val="22"/>
              </w:rPr>
              <w:t>ou 130 mg/m² les 5 premiers jours</w:t>
            </w:r>
          </w:p>
        </w:tc>
        <w:tc>
          <w:tcPr>
            <w:tcW w:w="2131" w:type="dxa"/>
          </w:tcPr>
          <w:p>
            <w:pPr>
              <w:pStyle w:val="TableParagraph"/>
              <w:ind w:left="755" w:right="205" w:hanging="533"/>
              <w:rPr>
                <w:sz w:val="22"/>
              </w:rPr>
            </w:pPr>
            <w:r>
              <w:rPr>
                <w:sz w:val="22"/>
              </w:rPr>
              <w:t>Cancer du poumon avancé</w:t>
            </w:r>
          </w:p>
        </w:tc>
        <w:tc>
          <w:tcPr>
            <w:tcW w:w="1556" w:type="dxa"/>
          </w:tcPr>
          <w:p>
            <w:pPr>
              <w:pStyle w:val="TableParagraph"/>
              <w:spacing w:line="247" w:lineRule="exact"/>
              <w:ind w:left="103"/>
              <w:rPr>
                <w:sz w:val="22"/>
              </w:rPr>
            </w:pPr>
            <w:r>
              <w:rPr>
                <w:sz w:val="22"/>
              </w:rPr>
              <w:t>Aucun</w:t>
            </w:r>
          </w:p>
        </w:tc>
        <w:tc>
          <w:tcPr>
            <w:tcW w:w="1274" w:type="dxa"/>
          </w:tcPr>
          <w:p>
            <w:pPr>
              <w:pStyle w:val="TableParagraph"/>
              <w:spacing w:line="247" w:lineRule="exact"/>
              <w:ind w:left="103"/>
              <w:rPr>
                <w:sz w:val="22"/>
              </w:rPr>
            </w:pPr>
            <w:r>
              <w:rPr>
                <w:sz w:val="22"/>
              </w:rPr>
              <w:t>Phase II</w:t>
            </w:r>
          </w:p>
        </w:tc>
        <w:tc>
          <w:tcPr>
            <w:tcW w:w="3121" w:type="dxa"/>
          </w:tcPr>
          <w:p>
            <w:pPr>
              <w:pStyle w:val="TableParagraph"/>
              <w:spacing w:line="247" w:lineRule="exact"/>
              <w:ind w:left="103"/>
              <w:rPr>
                <w:sz w:val="22"/>
              </w:rPr>
            </w:pPr>
            <w:r>
              <w:rPr>
                <w:sz w:val="22"/>
              </w:rPr>
              <w:t>Pas d’efficacité</w:t>
            </w:r>
          </w:p>
        </w:tc>
        <w:tc>
          <w:tcPr>
            <w:tcW w:w="1844" w:type="dxa"/>
          </w:tcPr>
          <w:p>
            <w:pPr>
              <w:pStyle w:val="TableParagraph"/>
              <w:spacing w:line="223" w:lineRule="exact"/>
              <w:ind w:left="103"/>
              <w:rPr>
                <w:sz w:val="20"/>
              </w:rPr>
            </w:pPr>
            <w:r>
              <w:rPr>
                <w:sz w:val="20"/>
              </w:rPr>
              <w:t>Talbot et al., 2007</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6" w:lineRule="exact"/>
              <w:ind w:left="486" w:hanging="99"/>
              <w:rPr>
                <w:sz w:val="22"/>
              </w:rPr>
            </w:pPr>
            <w:r>
              <w:rPr>
                <w:sz w:val="22"/>
              </w:rPr>
              <w:t>700 mg/m² pendant 1 h</w:t>
            </w:r>
          </w:p>
          <w:p>
            <w:pPr>
              <w:pStyle w:val="TableParagraph"/>
              <w:spacing w:line="240" w:lineRule="exact"/>
              <w:ind w:left="486"/>
              <w:rPr>
                <w:sz w:val="22"/>
              </w:rPr>
            </w:pPr>
            <w:r>
              <w:rPr>
                <w:sz w:val="22"/>
              </w:rPr>
              <w:t>toutes les 3 semaines</w:t>
            </w:r>
          </w:p>
        </w:tc>
        <w:tc>
          <w:tcPr>
            <w:tcW w:w="2131" w:type="dxa"/>
            <w:vMerge w:val="restart"/>
          </w:tcPr>
          <w:p>
            <w:pPr>
              <w:pStyle w:val="TableParagraph"/>
              <w:ind w:left="503" w:right="486" w:firstLine="86"/>
              <w:rPr>
                <w:sz w:val="22"/>
              </w:rPr>
            </w:pPr>
            <w:r>
              <w:rPr>
                <w:sz w:val="22"/>
              </w:rPr>
              <w:t>Mélanome métastatique</w:t>
            </w:r>
          </w:p>
        </w:tc>
        <w:tc>
          <w:tcPr>
            <w:tcW w:w="1556" w:type="dxa"/>
          </w:tcPr>
          <w:p>
            <w:pPr>
              <w:pStyle w:val="TableParagraph"/>
              <w:spacing w:line="247" w:lineRule="exact"/>
              <w:ind w:left="103"/>
              <w:rPr>
                <w:sz w:val="22"/>
              </w:rPr>
            </w:pPr>
            <w:r>
              <w:rPr>
                <w:sz w:val="22"/>
              </w:rPr>
              <w:t>Aucun</w:t>
            </w:r>
          </w:p>
        </w:tc>
        <w:tc>
          <w:tcPr>
            <w:tcW w:w="1274" w:type="dxa"/>
          </w:tcPr>
          <w:p>
            <w:pPr>
              <w:pStyle w:val="TableParagraph"/>
              <w:spacing w:line="247" w:lineRule="exact"/>
              <w:ind w:left="103"/>
              <w:rPr>
                <w:sz w:val="22"/>
              </w:rPr>
            </w:pPr>
            <w:r>
              <w:rPr>
                <w:sz w:val="22"/>
              </w:rPr>
              <w:t>Phase II</w:t>
            </w:r>
          </w:p>
        </w:tc>
        <w:tc>
          <w:tcPr>
            <w:tcW w:w="3121" w:type="dxa"/>
          </w:tcPr>
          <w:p>
            <w:pPr>
              <w:pStyle w:val="TableParagraph"/>
              <w:spacing w:line="246" w:lineRule="exact"/>
              <w:ind w:left="103"/>
              <w:rPr>
                <w:sz w:val="22"/>
              </w:rPr>
            </w:pPr>
            <w:r>
              <w:rPr>
                <w:sz w:val="22"/>
              </w:rPr>
              <w:t>Bonne tolérance</w:t>
            </w:r>
          </w:p>
          <w:p>
            <w:pPr>
              <w:pStyle w:val="TableParagraph"/>
              <w:spacing w:line="240" w:lineRule="exact"/>
              <w:ind w:left="103"/>
              <w:rPr>
                <w:sz w:val="22"/>
              </w:rPr>
            </w:pPr>
            <w:r>
              <w:rPr>
                <w:sz w:val="22"/>
              </w:rPr>
              <w:t>Pas d’efficacité</w:t>
            </w:r>
          </w:p>
        </w:tc>
        <w:tc>
          <w:tcPr>
            <w:tcW w:w="1844" w:type="dxa"/>
          </w:tcPr>
          <w:p>
            <w:pPr>
              <w:pStyle w:val="TableParagraph"/>
              <w:ind w:left="103" w:right="249"/>
              <w:rPr>
                <w:sz w:val="20"/>
              </w:rPr>
            </w:pPr>
            <w:r>
              <w:rPr>
                <w:sz w:val="20"/>
              </w:rPr>
              <w:t>Smyth et al., 2005 NCT00014625</w:t>
            </w:r>
          </w:p>
        </w:tc>
        <w:tc>
          <w:tcPr>
            <w:tcW w:w="991" w:type="dxa"/>
            <w:vMerge/>
            <w:tcBorders>
              <w:top w:val="nil"/>
            </w:tcBorders>
          </w:tcPr>
          <w:p>
            <w:pPr>
              <w:rPr>
                <w:sz w:val="2"/>
                <w:szCs w:val="2"/>
              </w:rPr>
            </w:pPr>
          </w:p>
        </w:tc>
      </w:tr>
      <w:tr>
        <w:trPr>
          <w:trHeight w:val="500" w:hRule="atLeast"/>
        </w:trPr>
        <w:tc>
          <w:tcPr>
            <w:tcW w:w="1560" w:type="dxa"/>
            <w:vMerge/>
            <w:tcBorders>
              <w:top w:val="nil"/>
            </w:tcBorders>
          </w:tcPr>
          <w:p>
            <w:pPr>
              <w:rPr>
                <w:sz w:val="2"/>
                <w:szCs w:val="2"/>
              </w:rPr>
            </w:pPr>
          </w:p>
        </w:tc>
        <w:tc>
          <w:tcPr>
            <w:tcW w:w="2835" w:type="dxa"/>
          </w:tcPr>
          <w:p>
            <w:pPr>
              <w:pStyle w:val="TableParagraph"/>
              <w:spacing w:line="246" w:lineRule="exact"/>
              <w:ind w:left="100" w:right="103"/>
              <w:jc w:val="center"/>
              <w:rPr>
                <w:sz w:val="22"/>
              </w:rPr>
            </w:pPr>
            <w:r>
              <w:rPr>
                <w:sz w:val="22"/>
              </w:rPr>
              <w:t>40-160 mg/m² toutes les</w:t>
            </w:r>
          </w:p>
          <w:p>
            <w:pPr>
              <w:pStyle w:val="TableParagraph"/>
              <w:spacing w:line="240" w:lineRule="exact"/>
              <w:ind w:left="103" w:right="103"/>
              <w:jc w:val="center"/>
              <w:rPr>
                <w:sz w:val="22"/>
              </w:rPr>
            </w:pPr>
            <w:r>
              <w:rPr>
                <w:sz w:val="22"/>
              </w:rPr>
              <w:t>semaines</w:t>
            </w:r>
          </w:p>
        </w:tc>
        <w:tc>
          <w:tcPr>
            <w:tcW w:w="2131" w:type="dxa"/>
            <w:vMerge/>
            <w:tcBorders>
              <w:top w:val="nil"/>
            </w:tcBorders>
          </w:tcPr>
          <w:p>
            <w:pPr>
              <w:rPr>
                <w:sz w:val="2"/>
                <w:szCs w:val="2"/>
              </w:rPr>
            </w:pPr>
          </w:p>
        </w:tc>
        <w:tc>
          <w:tcPr>
            <w:tcW w:w="1556" w:type="dxa"/>
          </w:tcPr>
          <w:p>
            <w:pPr>
              <w:pStyle w:val="TableParagraph"/>
              <w:spacing w:line="247" w:lineRule="exact"/>
              <w:ind w:left="103"/>
              <w:rPr>
                <w:sz w:val="22"/>
              </w:rPr>
            </w:pPr>
            <w:r>
              <w:rPr>
                <w:sz w:val="22"/>
              </w:rPr>
              <w:t>Aucun</w:t>
            </w:r>
          </w:p>
        </w:tc>
        <w:tc>
          <w:tcPr>
            <w:tcW w:w="1274" w:type="dxa"/>
          </w:tcPr>
          <w:p>
            <w:pPr>
              <w:pStyle w:val="TableParagraph"/>
              <w:spacing w:line="246" w:lineRule="exact"/>
              <w:ind w:left="103"/>
              <w:rPr>
                <w:sz w:val="22"/>
              </w:rPr>
            </w:pPr>
            <w:r>
              <w:rPr>
                <w:sz w:val="22"/>
              </w:rPr>
              <w:t>Rapport  de</w:t>
            </w:r>
          </w:p>
          <w:p>
            <w:pPr>
              <w:pStyle w:val="TableParagraph"/>
              <w:spacing w:line="240" w:lineRule="exact"/>
              <w:ind w:left="103"/>
              <w:rPr>
                <w:sz w:val="22"/>
              </w:rPr>
            </w:pPr>
            <w:r>
              <w:rPr>
                <w:sz w:val="22"/>
              </w:rPr>
              <w:t>cas</w:t>
            </w:r>
          </w:p>
        </w:tc>
        <w:tc>
          <w:tcPr>
            <w:tcW w:w="3121" w:type="dxa"/>
          </w:tcPr>
          <w:p>
            <w:pPr>
              <w:pStyle w:val="TableParagraph"/>
              <w:spacing w:line="246" w:lineRule="exact"/>
              <w:ind w:left="103"/>
              <w:rPr>
                <w:sz w:val="22"/>
              </w:rPr>
            </w:pPr>
            <w:r>
              <w:rPr>
                <w:sz w:val="22"/>
              </w:rPr>
              <w:t>Bonne tolérance</w:t>
            </w:r>
          </w:p>
          <w:p>
            <w:pPr>
              <w:pStyle w:val="TableParagraph"/>
              <w:spacing w:line="240" w:lineRule="exact"/>
              <w:ind w:left="103"/>
              <w:rPr>
                <w:sz w:val="22"/>
              </w:rPr>
            </w:pPr>
            <w:r>
              <w:rPr>
                <w:sz w:val="22"/>
              </w:rPr>
              <w:t>Efficacité, régression tumorale</w:t>
            </w:r>
          </w:p>
        </w:tc>
        <w:tc>
          <w:tcPr>
            <w:tcW w:w="1844" w:type="dxa"/>
          </w:tcPr>
          <w:p>
            <w:pPr>
              <w:pStyle w:val="TableParagraph"/>
              <w:spacing w:line="223" w:lineRule="exact"/>
              <w:ind w:left="103"/>
              <w:rPr>
                <w:sz w:val="20"/>
              </w:rPr>
            </w:pPr>
            <w:r>
              <w:rPr>
                <w:sz w:val="20"/>
              </w:rPr>
              <w:t>Baur et al., 2007</w:t>
            </w:r>
          </w:p>
        </w:tc>
        <w:tc>
          <w:tcPr>
            <w:tcW w:w="991" w:type="dxa"/>
            <w:vMerge/>
            <w:tcBorders>
              <w:top w:val="nil"/>
            </w:tcBorders>
          </w:tcPr>
          <w:p>
            <w:pPr>
              <w:rPr>
                <w:sz w:val="2"/>
                <w:szCs w:val="2"/>
              </w:rPr>
            </w:pPr>
          </w:p>
        </w:tc>
      </w:tr>
      <w:tr>
        <w:trPr>
          <w:trHeight w:val="240" w:hRule="atLeast"/>
        </w:trPr>
        <w:tc>
          <w:tcPr>
            <w:tcW w:w="1560" w:type="dxa"/>
            <w:vMerge/>
            <w:tcBorders>
              <w:top w:val="nil"/>
            </w:tcBorders>
          </w:tcPr>
          <w:p>
            <w:pPr>
              <w:rPr>
                <w:sz w:val="2"/>
                <w:szCs w:val="2"/>
              </w:rPr>
            </w:pPr>
          </w:p>
        </w:tc>
        <w:tc>
          <w:tcPr>
            <w:tcW w:w="2835" w:type="dxa"/>
          </w:tcPr>
          <w:p>
            <w:pPr>
              <w:pStyle w:val="TableParagraph"/>
              <w:spacing w:line="234" w:lineRule="exact"/>
              <w:ind w:left="103" w:right="103"/>
              <w:jc w:val="center"/>
              <w:rPr>
                <w:sz w:val="22"/>
              </w:rPr>
            </w:pPr>
            <w:r>
              <w:rPr>
                <w:sz w:val="22"/>
              </w:rPr>
              <w:t>Doses croissantes</w:t>
            </w:r>
          </w:p>
        </w:tc>
        <w:tc>
          <w:tcPr>
            <w:tcW w:w="2131" w:type="dxa"/>
          </w:tcPr>
          <w:p>
            <w:pPr>
              <w:pStyle w:val="TableParagraph"/>
              <w:spacing w:line="234" w:lineRule="exact"/>
              <w:ind w:left="335"/>
              <w:rPr>
                <w:sz w:val="22"/>
              </w:rPr>
            </w:pPr>
            <w:r>
              <w:rPr>
                <w:sz w:val="22"/>
              </w:rPr>
              <w:t>Tumeurs solides</w:t>
            </w:r>
          </w:p>
        </w:tc>
        <w:tc>
          <w:tcPr>
            <w:tcW w:w="1556" w:type="dxa"/>
          </w:tcPr>
          <w:p>
            <w:pPr>
              <w:pStyle w:val="TableParagraph"/>
              <w:spacing w:line="234" w:lineRule="exact"/>
              <w:ind w:left="103"/>
              <w:rPr>
                <w:sz w:val="22"/>
              </w:rPr>
            </w:pPr>
            <w:r>
              <w:rPr>
                <w:sz w:val="22"/>
              </w:rPr>
              <w:t>Carboplatine</w:t>
            </w:r>
          </w:p>
        </w:tc>
        <w:tc>
          <w:tcPr>
            <w:tcW w:w="1274" w:type="dxa"/>
          </w:tcPr>
          <w:p>
            <w:pPr>
              <w:pStyle w:val="TableParagraph"/>
              <w:spacing w:line="234" w:lineRule="exact"/>
              <w:ind w:left="103"/>
              <w:rPr>
                <w:sz w:val="22"/>
              </w:rPr>
            </w:pPr>
            <w:r>
              <w:rPr>
                <w:sz w:val="22"/>
              </w:rPr>
              <w:t>Phase I</w:t>
            </w:r>
          </w:p>
        </w:tc>
        <w:tc>
          <w:tcPr>
            <w:tcW w:w="3121" w:type="dxa"/>
          </w:tcPr>
          <w:p>
            <w:pPr>
              <w:pStyle w:val="TableParagraph"/>
              <w:spacing w:line="234" w:lineRule="exact"/>
              <w:ind w:left="103"/>
              <w:rPr>
                <w:sz w:val="22"/>
              </w:rPr>
            </w:pPr>
            <w:r>
              <w:rPr>
                <w:sz w:val="22"/>
              </w:rPr>
              <w:t>Dose recommandée 500 mg/m²</w:t>
            </w:r>
          </w:p>
        </w:tc>
        <w:tc>
          <w:tcPr>
            <w:tcW w:w="1844" w:type="dxa"/>
          </w:tcPr>
          <w:p>
            <w:pPr>
              <w:pStyle w:val="TableParagraph"/>
              <w:spacing w:line="223" w:lineRule="exact"/>
              <w:ind w:left="103"/>
              <w:rPr>
                <w:sz w:val="20"/>
              </w:rPr>
            </w:pPr>
            <w:r>
              <w:rPr>
                <w:sz w:val="20"/>
              </w:rPr>
              <w:t>Dittrich et al., 2007</w:t>
            </w:r>
          </w:p>
        </w:tc>
        <w:tc>
          <w:tcPr>
            <w:tcW w:w="991" w:type="dxa"/>
            <w:vMerge/>
            <w:tcBorders>
              <w:top w:val="nil"/>
            </w:tcBorders>
          </w:tcPr>
          <w:p>
            <w:pPr>
              <w:rPr>
                <w:sz w:val="2"/>
                <w:szCs w:val="2"/>
              </w:rPr>
            </w:pPr>
          </w:p>
        </w:tc>
      </w:tr>
    </w:tbl>
    <w:p>
      <w:pPr>
        <w:spacing w:after="0"/>
        <w:rPr>
          <w:sz w:val="2"/>
          <w:szCs w:val="2"/>
        </w:rPr>
        <w:sectPr>
          <w:pgSz w:w="16840" w:h="11910" w:orient="landscape"/>
          <w:pgMar w:header="0" w:footer="998" w:top="1100" w:bottom="1180" w:left="640" w:right="640"/>
        </w:sectPr>
      </w:pPr>
    </w:p>
    <w:p>
      <w:pPr>
        <w:pStyle w:val="ListParagraph"/>
        <w:numPr>
          <w:ilvl w:val="0"/>
          <w:numId w:val="22"/>
        </w:numPr>
        <w:tabs>
          <w:tab w:pos="1110" w:val="left" w:leader="none"/>
        </w:tabs>
        <w:spacing w:line="240" w:lineRule="auto" w:before="72" w:after="0"/>
        <w:ind w:left="1110" w:right="0" w:hanging="360"/>
        <w:jc w:val="left"/>
        <w:rPr>
          <w:sz w:val="24"/>
        </w:rPr>
      </w:pPr>
      <w:bookmarkStart w:name="_bookmark138" w:id="230"/>
      <w:bookmarkEnd w:id="230"/>
      <w:r>
        <w:rPr/>
      </w:r>
      <w:bookmarkStart w:name="_bookmark138" w:id="231"/>
      <w:bookmarkEnd w:id="231"/>
      <w:r>
        <w:rPr>
          <w:sz w:val="24"/>
          <w:u w:val="single"/>
        </w:rPr>
        <w:t>Dis</w:t>
      </w:r>
      <w:r>
        <w:rPr>
          <w:sz w:val="24"/>
          <w:u w:val="single"/>
        </w:rPr>
        <w:t>cussion et</w:t>
      </w:r>
      <w:r>
        <w:rPr>
          <w:spacing w:val="-5"/>
          <w:sz w:val="24"/>
          <w:u w:val="single"/>
        </w:rPr>
        <w:t> </w:t>
      </w:r>
      <w:r>
        <w:rPr>
          <w:sz w:val="24"/>
          <w:u w:val="single"/>
        </w:rPr>
        <w:t>conclusions</w:t>
      </w:r>
    </w:p>
    <w:p>
      <w:pPr>
        <w:pStyle w:val="BodyText"/>
        <w:rPr>
          <w:sz w:val="20"/>
        </w:rPr>
      </w:pPr>
    </w:p>
    <w:p>
      <w:pPr>
        <w:pStyle w:val="BodyText"/>
        <w:spacing w:before="1"/>
        <w:rPr>
          <w:sz w:val="22"/>
        </w:rPr>
      </w:pPr>
    </w:p>
    <w:p>
      <w:pPr>
        <w:pStyle w:val="Heading5"/>
        <w:numPr>
          <w:ilvl w:val="1"/>
          <w:numId w:val="22"/>
        </w:numPr>
        <w:tabs>
          <w:tab w:pos="2252" w:val="left" w:leader="none"/>
          <w:tab w:pos="2253" w:val="left" w:leader="none"/>
        </w:tabs>
        <w:spacing w:line="240" w:lineRule="auto" w:before="0" w:after="0"/>
        <w:ind w:left="2252" w:right="0" w:hanging="720"/>
        <w:jc w:val="left"/>
        <w:rPr>
          <w:i/>
        </w:rPr>
      </w:pPr>
      <w:bookmarkStart w:name="_bookmark139" w:id="232"/>
      <w:bookmarkEnd w:id="232"/>
      <w:r>
        <w:rPr>
          <w:b w:val="0"/>
          <w:i w:val="0"/>
        </w:rPr>
      </w:r>
      <w:bookmarkStart w:name="_bookmark139" w:id="233"/>
      <w:bookmarkEnd w:id="233"/>
      <w:r>
        <w:rPr>
          <w:i/>
        </w:rPr>
        <w:t>Bil</w:t>
      </w:r>
      <w:r>
        <w:rPr>
          <w:i/>
        </w:rPr>
        <w:t>an</w:t>
      </w:r>
    </w:p>
    <w:p>
      <w:pPr>
        <w:pStyle w:val="BodyText"/>
        <w:rPr>
          <w:b/>
          <w:i/>
          <w:sz w:val="26"/>
        </w:rPr>
      </w:pPr>
    </w:p>
    <w:p>
      <w:pPr>
        <w:pStyle w:val="BodyText"/>
        <w:spacing w:line="259" w:lineRule="auto" w:before="175"/>
        <w:ind w:left="116" w:right="115" w:firstLine="707"/>
        <w:jc w:val="both"/>
      </w:pPr>
      <w:r>
        <w:rPr/>
        <w:t>De nombreuses molécules ont déjà pu être testées d’un point de vue clinique en médecine</w:t>
      </w:r>
      <w:r>
        <w:rPr>
          <w:spacing w:val="-11"/>
        </w:rPr>
        <w:t> </w:t>
      </w:r>
      <w:r>
        <w:rPr/>
        <w:t>humaine.</w:t>
      </w:r>
      <w:r>
        <w:rPr>
          <w:spacing w:val="-11"/>
        </w:rPr>
        <w:t> </w:t>
      </w:r>
      <w:r>
        <w:rPr/>
        <w:t>Certaines</w:t>
      </w:r>
      <w:r>
        <w:rPr>
          <w:spacing w:val="-11"/>
        </w:rPr>
        <w:t> </w:t>
      </w:r>
      <w:r>
        <w:rPr/>
        <w:t>ne</w:t>
      </w:r>
      <w:r>
        <w:rPr>
          <w:spacing w:val="-12"/>
        </w:rPr>
        <w:t> </w:t>
      </w:r>
      <w:r>
        <w:rPr/>
        <w:t>montrent</w:t>
      </w:r>
      <w:r>
        <w:rPr>
          <w:spacing w:val="-10"/>
        </w:rPr>
        <w:t> </w:t>
      </w:r>
      <w:r>
        <w:rPr/>
        <w:t>pas</w:t>
      </w:r>
      <w:r>
        <w:rPr>
          <w:spacing w:val="-11"/>
        </w:rPr>
        <w:t> </w:t>
      </w:r>
      <w:r>
        <w:rPr/>
        <w:t>d’efficacité,</w:t>
      </w:r>
      <w:r>
        <w:rPr>
          <w:spacing w:val="-11"/>
        </w:rPr>
        <w:t> </w:t>
      </w:r>
      <w:r>
        <w:rPr/>
        <w:t>ou</w:t>
      </w:r>
      <w:r>
        <w:rPr>
          <w:spacing w:val="-11"/>
        </w:rPr>
        <w:t> </w:t>
      </w:r>
      <w:r>
        <w:rPr/>
        <w:t>seulement</w:t>
      </w:r>
      <w:r>
        <w:rPr>
          <w:spacing w:val="-10"/>
        </w:rPr>
        <w:t> </w:t>
      </w:r>
      <w:r>
        <w:rPr/>
        <w:t>en</w:t>
      </w:r>
      <w:r>
        <w:rPr>
          <w:spacing w:val="-8"/>
        </w:rPr>
        <w:t> </w:t>
      </w:r>
      <w:r>
        <w:rPr/>
        <w:t>association</w:t>
      </w:r>
      <w:r>
        <w:rPr>
          <w:spacing w:val="-11"/>
        </w:rPr>
        <w:t> </w:t>
      </w:r>
      <w:r>
        <w:rPr/>
        <w:t>avec</w:t>
      </w:r>
      <w:r>
        <w:rPr>
          <w:spacing w:val="-12"/>
        </w:rPr>
        <w:t> </w:t>
      </w:r>
      <w:r>
        <w:rPr/>
        <w:t>de la</w:t>
      </w:r>
      <w:r>
        <w:rPr>
          <w:spacing w:val="-15"/>
        </w:rPr>
        <w:t> </w:t>
      </w:r>
      <w:r>
        <w:rPr/>
        <w:t>chimiothérapie</w:t>
      </w:r>
      <w:r>
        <w:rPr>
          <w:spacing w:val="-15"/>
        </w:rPr>
        <w:t> </w:t>
      </w:r>
      <w:r>
        <w:rPr/>
        <w:t>ou</w:t>
      </w:r>
      <w:r>
        <w:rPr>
          <w:spacing w:val="-14"/>
        </w:rPr>
        <w:t> </w:t>
      </w:r>
      <w:r>
        <w:rPr/>
        <w:t>d’autres</w:t>
      </w:r>
      <w:r>
        <w:rPr>
          <w:spacing w:val="-14"/>
        </w:rPr>
        <w:t> </w:t>
      </w:r>
      <w:r>
        <w:rPr/>
        <w:t>molécules.</w:t>
      </w:r>
      <w:r>
        <w:rPr>
          <w:spacing w:val="-12"/>
        </w:rPr>
        <w:t> </w:t>
      </w:r>
      <w:r>
        <w:rPr/>
        <w:t>L’association</w:t>
      </w:r>
      <w:r>
        <w:rPr>
          <w:spacing w:val="-14"/>
        </w:rPr>
        <w:t> </w:t>
      </w:r>
      <w:r>
        <w:rPr/>
        <w:t>avec</w:t>
      </w:r>
      <w:r>
        <w:rPr>
          <w:spacing w:val="-15"/>
        </w:rPr>
        <w:t> </w:t>
      </w:r>
      <w:r>
        <w:rPr/>
        <w:t>un</w:t>
      </w:r>
      <w:r>
        <w:rPr>
          <w:spacing w:val="-14"/>
        </w:rPr>
        <w:t> </w:t>
      </w:r>
      <w:r>
        <w:rPr/>
        <w:t>autre</w:t>
      </w:r>
      <w:r>
        <w:rPr>
          <w:spacing w:val="-15"/>
        </w:rPr>
        <w:t> </w:t>
      </w:r>
      <w:r>
        <w:rPr/>
        <w:t>traitement</w:t>
      </w:r>
      <w:r>
        <w:rPr>
          <w:spacing w:val="-14"/>
        </w:rPr>
        <w:t> </w:t>
      </w:r>
      <w:r>
        <w:rPr/>
        <w:t>n’a</w:t>
      </w:r>
      <w:r>
        <w:rPr>
          <w:spacing w:val="-16"/>
        </w:rPr>
        <w:t> </w:t>
      </w:r>
      <w:r>
        <w:rPr/>
        <w:t>pas</w:t>
      </w:r>
      <w:r>
        <w:rPr>
          <w:spacing w:val="-14"/>
        </w:rPr>
        <w:t> </w:t>
      </w:r>
      <w:r>
        <w:rPr/>
        <w:t>toujours été investiguée. Néanmoins, certaines semblent prometteuses, que ce soit par leur efficacité seule (freine le développement tumoral), ou par leur rôle de sensibilisation à la chimiothérapie ou la radiothérapie. Cela permet d’améliorer l’efficacité dans le cas de tumeurs chimiorésistantes, mais également d’envisager une diminution des doses de chimiothérapie utilisées et donc de diminuer la toxicité associée. L’aspect économique de ces traitements est également intéressant, car certaines molécules sont très abordables. Si cela n’intéresse pas forcément</w:t>
      </w:r>
      <w:r>
        <w:rPr>
          <w:spacing w:val="-9"/>
        </w:rPr>
        <w:t> </w:t>
      </w:r>
      <w:r>
        <w:rPr/>
        <w:t>les</w:t>
      </w:r>
      <w:r>
        <w:rPr>
          <w:spacing w:val="-10"/>
        </w:rPr>
        <w:t> </w:t>
      </w:r>
      <w:r>
        <w:rPr/>
        <w:t>laboratoires</w:t>
      </w:r>
      <w:r>
        <w:rPr>
          <w:spacing w:val="-10"/>
        </w:rPr>
        <w:t> </w:t>
      </w:r>
      <w:r>
        <w:rPr/>
        <w:t>qui</w:t>
      </w:r>
      <w:r>
        <w:rPr>
          <w:spacing w:val="-9"/>
        </w:rPr>
        <w:t> </w:t>
      </w:r>
      <w:r>
        <w:rPr/>
        <w:t>pourraient</w:t>
      </w:r>
      <w:r>
        <w:rPr>
          <w:spacing w:val="-10"/>
        </w:rPr>
        <w:t> </w:t>
      </w:r>
      <w:r>
        <w:rPr/>
        <w:t>développer</w:t>
      </w:r>
      <w:r>
        <w:rPr>
          <w:spacing w:val="-10"/>
        </w:rPr>
        <w:t> </w:t>
      </w:r>
      <w:r>
        <w:rPr/>
        <w:t>des</w:t>
      </w:r>
      <w:r>
        <w:rPr>
          <w:spacing w:val="-10"/>
        </w:rPr>
        <w:t> </w:t>
      </w:r>
      <w:r>
        <w:rPr/>
        <w:t>essais</w:t>
      </w:r>
      <w:r>
        <w:rPr>
          <w:spacing w:val="-10"/>
        </w:rPr>
        <w:t> </w:t>
      </w:r>
      <w:r>
        <w:rPr/>
        <w:t>cliniques,</w:t>
      </w:r>
      <w:r>
        <w:rPr>
          <w:spacing w:val="-10"/>
        </w:rPr>
        <w:t> </w:t>
      </w:r>
      <w:r>
        <w:rPr/>
        <w:t>c’est</w:t>
      </w:r>
      <w:r>
        <w:rPr>
          <w:spacing w:val="-9"/>
        </w:rPr>
        <w:t> </w:t>
      </w:r>
      <w:r>
        <w:rPr/>
        <w:t>un</w:t>
      </w:r>
      <w:r>
        <w:rPr>
          <w:spacing w:val="-10"/>
        </w:rPr>
        <w:t> </w:t>
      </w:r>
      <w:r>
        <w:rPr/>
        <w:t>avantage</w:t>
      </w:r>
      <w:r>
        <w:rPr>
          <w:spacing w:val="-11"/>
        </w:rPr>
        <w:t> </w:t>
      </w:r>
      <w:r>
        <w:rPr/>
        <w:t>non négligeable pour les propriétaires de nos animaux de</w:t>
      </w:r>
      <w:r>
        <w:rPr>
          <w:spacing w:val="-11"/>
        </w:rPr>
        <w:t> </w:t>
      </w:r>
      <w:r>
        <w:rPr/>
        <w:t>compagnie.</w:t>
      </w:r>
    </w:p>
    <w:p>
      <w:pPr>
        <w:pStyle w:val="BodyText"/>
        <w:rPr>
          <w:sz w:val="26"/>
        </w:rPr>
      </w:pPr>
    </w:p>
    <w:p>
      <w:pPr>
        <w:pStyle w:val="BodyText"/>
        <w:spacing w:before="5"/>
        <w:rPr>
          <w:sz w:val="28"/>
        </w:rPr>
      </w:pPr>
    </w:p>
    <w:p>
      <w:pPr>
        <w:pStyle w:val="Heading5"/>
        <w:numPr>
          <w:ilvl w:val="1"/>
          <w:numId w:val="22"/>
        </w:numPr>
        <w:tabs>
          <w:tab w:pos="2252" w:val="left" w:leader="none"/>
          <w:tab w:pos="2253" w:val="left" w:leader="none"/>
        </w:tabs>
        <w:spacing w:line="240" w:lineRule="auto" w:before="0" w:after="0"/>
        <w:ind w:left="2252" w:right="0" w:hanging="720"/>
        <w:jc w:val="left"/>
        <w:rPr>
          <w:i/>
        </w:rPr>
      </w:pPr>
      <w:bookmarkStart w:name="_bookmark140" w:id="234"/>
      <w:bookmarkEnd w:id="234"/>
      <w:r>
        <w:rPr>
          <w:b w:val="0"/>
          <w:i w:val="0"/>
        </w:rPr>
      </w:r>
      <w:bookmarkStart w:name="_bookmark140" w:id="235"/>
      <w:bookmarkEnd w:id="235"/>
      <w:r>
        <w:rPr>
          <w:i/>
        </w:rPr>
        <w:t>C</w:t>
      </w:r>
      <w:r>
        <w:rPr>
          <w:i/>
        </w:rPr>
        <w:t>ritères de</w:t>
      </w:r>
      <w:r>
        <w:rPr>
          <w:i/>
          <w:spacing w:val="-7"/>
        </w:rPr>
        <w:t> </w:t>
      </w:r>
      <w:r>
        <w:rPr>
          <w:i/>
        </w:rPr>
        <w:t>sélection</w:t>
      </w:r>
    </w:p>
    <w:p>
      <w:pPr>
        <w:pStyle w:val="BodyText"/>
        <w:rPr>
          <w:b/>
          <w:i/>
          <w:sz w:val="26"/>
        </w:rPr>
      </w:pPr>
    </w:p>
    <w:p>
      <w:pPr>
        <w:pStyle w:val="BodyText"/>
        <w:spacing w:line="259" w:lineRule="auto" w:before="173"/>
        <w:ind w:left="116" w:right="116" w:firstLine="707"/>
        <w:jc w:val="both"/>
      </w:pPr>
      <w:r>
        <w:rPr/>
        <w:t>Au vu des résultats précédents, nous ne retiendrons pour la suite de notre étude dans le monde vétérinaire que les molécules ayant montré des résultats prometteurs en clinique humaine (efficacité seule ou en association avec la chimiothérapie), et qui sont accessibles facilement (commande en pharmacie, sur internet…).</w:t>
      </w:r>
    </w:p>
    <w:p>
      <w:pPr>
        <w:pStyle w:val="BodyText"/>
        <w:spacing w:before="158"/>
        <w:ind w:left="824"/>
      </w:pPr>
      <w:r>
        <w:rPr/>
        <w:t>Tout d’abord, les molécules ayant été exclues sont celles :</w:t>
      </w:r>
    </w:p>
    <w:p>
      <w:pPr>
        <w:pStyle w:val="ListParagraph"/>
        <w:numPr>
          <w:ilvl w:val="1"/>
          <w:numId w:val="6"/>
        </w:numPr>
        <w:tabs>
          <w:tab w:pos="836" w:val="left" w:leader="none"/>
          <w:tab w:pos="837" w:val="left" w:leader="none"/>
        </w:tabs>
        <w:spacing w:line="240" w:lineRule="auto" w:before="185" w:after="0"/>
        <w:ind w:left="836" w:right="0" w:hanging="360"/>
        <w:jc w:val="left"/>
        <w:rPr>
          <w:sz w:val="24"/>
        </w:rPr>
      </w:pPr>
      <w:r>
        <w:rPr>
          <w:sz w:val="24"/>
        </w:rPr>
        <w:t>Qui ont perdu leur</w:t>
      </w:r>
      <w:r>
        <w:rPr>
          <w:spacing w:val="-4"/>
          <w:sz w:val="24"/>
        </w:rPr>
        <w:t> </w:t>
      </w:r>
      <w:r>
        <w:rPr>
          <w:sz w:val="24"/>
        </w:rPr>
        <w:t>licence</w:t>
      </w:r>
    </w:p>
    <w:p>
      <w:pPr>
        <w:pStyle w:val="ListParagraph"/>
        <w:numPr>
          <w:ilvl w:val="1"/>
          <w:numId w:val="6"/>
        </w:numPr>
        <w:tabs>
          <w:tab w:pos="836" w:val="left" w:leader="none"/>
          <w:tab w:pos="837" w:val="left" w:leader="none"/>
        </w:tabs>
        <w:spacing w:line="259" w:lineRule="auto" w:before="22" w:after="0"/>
        <w:ind w:left="836" w:right="118" w:hanging="360"/>
        <w:jc w:val="left"/>
        <w:rPr>
          <w:sz w:val="24"/>
        </w:rPr>
      </w:pPr>
      <w:r>
        <w:rPr>
          <w:sz w:val="24"/>
        </w:rPr>
        <w:t>Qui présentent trop de toxicité ou une absence de propriétés anticancéreuses à la dose tolérée</w:t>
      </w:r>
    </w:p>
    <w:p>
      <w:pPr>
        <w:pStyle w:val="ListParagraph"/>
        <w:numPr>
          <w:ilvl w:val="1"/>
          <w:numId w:val="6"/>
        </w:numPr>
        <w:tabs>
          <w:tab w:pos="836" w:val="left" w:leader="none"/>
          <w:tab w:pos="837" w:val="left" w:leader="none"/>
        </w:tabs>
        <w:spacing w:line="240" w:lineRule="auto" w:before="0" w:after="0"/>
        <w:ind w:left="836" w:right="0" w:hanging="360"/>
        <w:jc w:val="left"/>
        <w:rPr>
          <w:sz w:val="24"/>
        </w:rPr>
      </w:pPr>
      <w:r>
        <w:rPr>
          <w:sz w:val="24"/>
        </w:rPr>
        <w:t>Dont l’essai clinique est en cours ou dont les résultats n’ont pas encore été</w:t>
      </w:r>
      <w:r>
        <w:rPr>
          <w:spacing w:val="-23"/>
          <w:sz w:val="24"/>
        </w:rPr>
        <w:t> </w:t>
      </w:r>
      <w:r>
        <w:rPr>
          <w:sz w:val="24"/>
        </w:rPr>
        <w:t>publiés</w:t>
      </w:r>
    </w:p>
    <w:p>
      <w:pPr>
        <w:pStyle w:val="BodyText"/>
        <w:spacing w:line="256" w:lineRule="auto" w:before="182"/>
        <w:ind w:left="116" w:right="120" w:firstLine="707"/>
        <w:jc w:val="both"/>
      </w:pPr>
      <w:r>
        <w:rPr/>
        <w:t>Le critère financier a ensuite été pris en compte pour effectuer une sélection plus poussée. Les inhibiteurs de mTOR ont ainsi été écartés.</w:t>
      </w:r>
    </w:p>
    <w:p>
      <w:pPr>
        <w:pStyle w:val="BodyText"/>
        <w:spacing w:line="256" w:lineRule="auto" w:before="167"/>
        <w:ind w:left="116" w:right="117" w:firstLine="707"/>
        <w:jc w:val="both"/>
      </w:pPr>
      <w:r>
        <w:rPr/>
        <w:t>Au bilan, les molécules suivantes ont été retenues: les inhibiteurs de pompe à protons (IPP), l’hydroxycitrate (HCA), l’acide alpha lipoïque (ALA), le dichloroacétate (DCA), la metformine (MET), le citrate (CIT), le 3-BP, le 2-DG.</w:t>
      </w:r>
    </w:p>
    <w:p>
      <w:pPr>
        <w:pStyle w:val="BodyText"/>
        <w:rPr>
          <w:sz w:val="26"/>
        </w:rPr>
      </w:pPr>
    </w:p>
    <w:p>
      <w:pPr>
        <w:pStyle w:val="BodyText"/>
        <w:spacing w:before="8"/>
        <w:rPr>
          <w:sz w:val="28"/>
        </w:rPr>
      </w:pPr>
    </w:p>
    <w:p>
      <w:pPr>
        <w:pStyle w:val="Heading5"/>
        <w:numPr>
          <w:ilvl w:val="1"/>
          <w:numId w:val="22"/>
        </w:numPr>
        <w:tabs>
          <w:tab w:pos="2252" w:val="left" w:leader="none"/>
          <w:tab w:pos="2253" w:val="left" w:leader="none"/>
        </w:tabs>
        <w:spacing w:line="259" w:lineRule="auto" w:before="0" w:after="0"/>
        <w:ind w:left="2252" w:right="118" w:hanging="720"/>
        <w:jc w:val="left"/>
      </w:pPr>
      <w:bookmarkStart w:name="_bookmark141" w:id="236"/>
      <w:bookmarkEnd w:id="236"/>
      <w:r>
        <w:rPr>
          <w:b w:val="0"/>
          <w:i w:val="0"/>
        </w:rPr>
      </w:r>
      <w:bookmarkStart w:name="_bookmark141" w:id="237"/>
      <w:bookmarkEnd w:id="237"/>
      <w:r>
        <w:rPr>
          <w:i/>
        </w:rPr>
        <w:t>D</w:t>
      </w:r>
      <w:r>
        <w:rPr>
          <w:i/>
        </w:rPr>
        <w:t>étails des doses utilisées et des effets indésirables connus des </w:t>
      </w:r>
      <w:r>
        <w:rPr/>
        <w:t>molécules retenues en médecine</w:t>
      </w:r>
      <w:r>
        <w:rPr>
          <w:spacing w:val="-8"/>
        </w:rPr>
        <w:t> </w:t>
      </w:r>
      <w:r>
        <w:rPr/>
        <w:t>humaine</w:t>
      </w:r>
    </w:p>
    <w:p>
      <w:pPr>
        <w:pStyle w:val="BodyText"/>
        <w:rPr>
          <w:b/>
          <w:i/>
          <w:sz w:val="26"/>
        </w:rPr>
      </w:pPr>
    </w:p>
    <w:p>
      <w:pPr>
        <w:pStyle w:val="BodyText"/>
        <w:spacing w:line="256" w:lineRule="auto" w:before="154"/>
        <w:ind w:left="116" w:right="114" w:firstLine="707"/>
        <w:jc w:val="both"/>
      </w:pPr>
      <w:r>
        <w:rPr/>
        <w:t>La tolérance à ces molécules a pu être déterminée suite aux études de phase I. Par ailleurs, certaines sont déjà utilisées couramment pour une autre utilisation (MET dans le traitement du diabète de type II, DCA dans le traitement de l’acidose lactique congénitale).</w:t>
      </w:r>
    </w:p>
    <w:p>
      <w:pPr>
        <w:spacing w:after="0" w:line="256" w:lineRule="auto"/>
        <w:jc w:val="both"/>
        <w:sectPr>
          <w:footerReference w:type="even" r:id="rId47"/>
          <w:footerReference w:type="default" r:id="rId48"/>
          <w:pgSz w:w="11910" w:h="16840"/>
          <w:pgMar w:footer="1055" w:header="0" w:top="1320" w:bottom="1240" w:left="1300" w:right="1300"/>
        </w:sectPr>
      </w:pPr>
    </w:p>
    <w:p>
      <w:pPr>
        <w:pStyle w:val="ListParagraph"/>
        <w:numPr>
          <w:ilvl w:val="0"/>
          <w:numId w:val="23"/>
        </w:numPr>
        <w:tabs>
          <w:tab w:pos="837" w:val="left" w:leader="none"/>
        </w:tabs>
        <w:spacing w:line="240" w:lineRule="auto" w:before="72" w:after="0"/>
        <w:ind w:left="836" w:right="113" w:hanging="360"/>
        <w:jc w:val="both"/>
        <w:rPr>
          <w:sz w:val="24"/>
        </w:rPr>
      </w:pPr>
      <w:r>
        <w:rPr>
          <w:b/>
          <w:sz w:val="24"/>
          <w:u w:val="thick"/>
        </w:rPr>
        <w:t>Les</w:t>
      </w:r>
      <w:r>
        <w:rPr>
          <w:b/>
          <w:spacing w:val="-14"/>
          <w:sz w:val="24"/>
          <w:u w:val="thick"/>
        </w:rPr>
        <w:t> </w:t>
      </w:r>
      <w:r>
        <w:rPr>
          <w:b/>
          <w:sz w:val="24"/>
          <w:u w:val="thick"/>
        </w:rPr>
        <w:t>IPP</w:t>
      </w:r>
      <w:r>
        <w:rPr>
          <w:b/>
          <w:spacing w:val="-17"/>
          <w:sz w:val="24"/>
        </w:rPr>
        <w:t> </w:t>
      </w:r>
      <w:r>
        <w:rPr>
          <w:sz w:val="24"/>
        </w:rPr>
        <w:t>sont</w:t>
      </w:r>
      <w:r>
        <w:rPr>
          <w:spacing w:val="-14"/>
          <w:sz w:val="24"/>
        </w:rPr>
        <w:t> </w:t>
      </w:r>
      <w:r>
        <w:rPr>
          <w:sz w:val="24"/>
        </w:rPr>
        <w:t>des</w:t>
      </w:r>
      <w:r>
        <w:rPr>
          <w:spacing w:val="-14"/>
          <w:sz w:val="24"/>
        </w:rPr>
        <w:t> </w:t>
      </w:r>
      <w:r>
        <w:rPr>
          <w:sz w:val="24"/>
        </w:rPr>
        <w:t>molécules</w:t>
      </w:r>
      <w:r>
        <w:rPr>
          <w:spacing w:val="-14"/>
          <w:sz w:val="24"/>
        </w:rPr>
        <w:t> </w:t>
      </w:r>
      <w:r>
        <w:rPr>
          <w:sz w:val="24"/>
        </w:rPr>
        <w:t>utilisées</w:t>
      </w:r>
      <w:r>
        <w:rPr>
          <w:spacing w:val="-14"/>
          <w:sz w:val="24"/>
        </w:rPr>
        <w:t> </w:t>
      </w:r>
      <w:r>
        <w:rPr>
          <w:sz w:val="24"/>
        </w:rPr>
        <w:t>depuis</w:t>
      </w:r>
      <w:r>
        <w:rPr>
          <w:spacing w:val="-14"/>
          <w:sz w:val="24"/>
        </w:rPr>
        <w:t> </w:t>
      </w:r>
      <w:r>
        <w:rPr>
          <w:sz w:val="24"/>
        </w:rPr>
        <w:t>longtemps</w:t>
      </w:r>
      <w:r>
        <w:rPr>
          <w:spacing w:val="-14"/>
          <w:sz w:val="24"/>
        </w:rPr>
        <w:t> </w:t>
      </w:r>
      <w:r>
        <w:rPr>
          <w:sz w:val="24"/>
        </w:rPr>
        <w:t>pour</w:t>
      </w:r>
      <w:r>
        <w:rPr>
          <w:spacing w:val="-15"/>
          <w:sz w:val="24"/>
        </w:rPr>
        <w:t> </w:t>
      </w:r>
      <w:r>
        <w:rPr>
          <w:sz w:val="24"/>
        </w:rPr>
        <w:t>diminuer</w:t>
      </w:r>
      <w:r>
        <w:rPr>
          <w:spacing w:val="-16"/>
          <w:sz w:val="24"/>
        </w:rPr>
        <w:t> </w:t>
      </w:r>
      <w:r>
        <w:rPr>
          <w:sz w:val="24"/>
        </w:rPr>
        <w:t>l’acidité</w:t>
      </w:r>
      <w:r>
        <w:rPr>
          <w:spacing w:val="-15"/>
          <w:sz w:val="24"/>
        </w:rPr>
        <w:t> </w:t>
      </w:r>
      <w:r>
        <w:rPr>
          <w:sz w:val="24"/>
        </w:rPr>
        <w:t>gastrique (traitement des ulcères duodénaux ou gastriques, traitement de l’œsophagite par reflux, traitement</w:t>
      </w:r>
      <w:r>
        <w:rPr>
          <w:spacing w:val="-10"/>
          <w:sz w:val="24"/>
        </w:rPr>
        <w:t> </w:t>
      </w:r>
      <w:r>
        <w:rPr>
          <w:sz w:val="24"/>
        </w:rPr>
        <w:t>du</w:t>
      </w:r>
      <w:r>
        <w:rPr>
          <w:spacing w:val="-10"/>
          <w:sz w:val="24"/>
        </w:rPr>
        <w:t> </w:t>
      </w:r>
      <w:r>
        <w:rPr>
          <w:sz w:val="24"/>
        </w:rPr>
        <w:t>syndrome</w:t>
      </w:r>
      <w:r>
        <w:rPr>
          <w:spacing w:val="-11"/>
          <w:sz w:val="24"/>
        </w:rPr>
        <w:t> </w:t>
      </w:r>
      <w:r>
        <w:rPr>
          <w:sz w:val="24"/>
        </w:rPr>
        <w:t>de</w:t>
      </w:r>
      <w:r>
        <w:rPr>
          <w:spacing w:val="-11"/>
          <w:sz w:val="24"/>
        </w:rPr>
        <w:t> </w:t>
      </w:r>
      <w:r>
        <w:rPr>
          <w:sz w:val="24"/>
        </w:rPr>
        <w:t>Zollinger-Ellison).</w:t>
      </w:r>
      <w:r>
        <w:rPr>
          <w:spacing w:val="-10"/>
          <w:sz w:val="24"/>
        </w:rPr>
        <w:t> </w:t>
      </w:r>
      <w:r>
        <w:rPr>
          <w:sz w:val="24"/>
        </w:rPr>
        <w:t>Des</w:t>
      </w:r>
      <w:r>
        <w:rPr>
          <w:spacing w:val="-9"/>
          <w:sz w:val="24"/>
        </w:rPr>
        <w:t> </w:t>
      </w:r>
      <w:r>
        <w:rPr>
          <w:sz w:val="24"/>
        </w:rPr>
        <w:t>doses</w:t>
      </w:r>
      <w:r>
        <w:rPr>
          <w:spacing w:val="-9"/>
          <w:sz w:val="24"/>
        </w:rPr>
        <w:t> </w:t>
      </w:r>
      <w:r>
        <w:rPr>
          <w:sz w:val="24"/>
        </w:rPr>
        <w:t>allant</w:t>
      </w:r>
      <w:r>
        <w:rPr>
          <w:spacing w:val="-9"/>
          <w:sz w:val="24"/>
        </w:rPr>
        <w:t> </w:t>
      </w:r>
      <w:r>
        <w:rPr>
          <w:sz w:val="24"/>
        </w:rPr>
        <w:t>jusque</w:t>
      </w:r>
      <w:r>
        <w:rPr>
          <w:spacing w:val="-11"/>
          <w:sz w:val="24"/>
        </w:rPr>
        <w:t> </w:t>
      </w:r>
      <w:r>
        <w:rPr>
          <w:sz w:val="24"/>
        </w:rPr>
        <w:t>2</w:t>
      </w:r>
      <w:r>
        <w:rPr>
          <w:spacing w:val="-8"/>
          <w:sz w:val="24"/>
        </w:rPr>
        <w:t> </w:t>
      </w:r>
      <w:r>
        <w:rPr>
          <w:sz w:val="24"/>
        </w:rPr>
        <w:t>mg/kg</w:t>
      </w:r>
      <w:r>
        <w:rPr>
          <w:spacing w:val="-12"/>
          <w:sz w:val="24"/>
        </w:rPr>
        <w:t> </w:t>
      </w:r>
      <w:r>
        <w:rPr>
          <w:sz w:val="24"/>
        </w:rPr>
        <w:t>sont</w:t>
      </w:r>
      <w:r>
        <w:rPr>
          <w:spacing w:val="-9"/>
          <w:sz w:val="24"/>
        </w:rPr>
        <w:t> </w:t>
      </w:r>
      <w:r>
        <w:rPr>
          <w:sz w:val="24"/>
        </w:rPr>
        <w:t>très bien tolérées (deux prises par jour). </w:t>
      </w:r>
      <w:r>
        <w:rPr>
          <w:spacing w:val="-3"/>
          <w:sz w:val="24"/>
        </w:rPr>
        <w:t>Les </w:t>
      </w:r>
      <w:r>
        <w:rPr>
          <w:sz w:val="24"/>
        </w:rPr>
        <w:t>résumés des caractéristiques du produit des différents médicaments décrivent les effets secondaires éventuels. </w:t>
      </w:r>
      <w:r>
        <w:rPr>
          <w:spacing w:val="-3"/>
          <w:sz w:val="24"/>
        </w:rPr>
        <w:t>Les </w:t>
      </w:r>
      <w:r>
        <w:rPr>
          <w:sz w:val="24"/>
        </w:rPr>
        <w:t>effets indésirables les plus fréquents (1-10% des patients) sont les céphalées, les douleurs abdominales, la constipation, la diarrhée, les flatulences et les</w:t>
      </w:r>
      <w:r>
        <w:rPr>
          <w:spacing w:val="-10"/>
          <w:sz w:val="24"/>
        </w:rPr>
        <w:t> </w:t>
      </w:r>
      <w:r>
        <w:rPr>
          <w:sz w:val="24"/>
        </w:rPr>
        <w:t>nausées/vomissements.</w:t>
      </w:r>
    </w:p>
    <w:p>
      <w:pPr>
        <w:pStyle w:val="ListParagraph"/>
        <w:numPr>
          <w:ilvl w:val="0"/>
          <w:numId w:val="23"/>
        </w:numPr>
        <w:tabs>
          <w:tab w:pos="837" w:val="left" w:leader="none"/>
        </w:tabs>
        <w:spacing w:line="240" w:lineRule="auto" w:before="2" w:after="0"/>
        <w:ind w:left="836" w:right="114" w:hanging="360"/>
        <w:jc w:val="both"/>
        <w:rPr>
          <w:sz w:val="24"/>
        </w:rPr>
      </w:pPr>
      <w:r>
        <w:rPr>
          <w:sz w:val="24"/>
        </w:rPr>
        <w:t>Les effets secondaires de la </w:t>
      </w:r>
      <w:r>
        <w:rPr>
          <w:b/>
          <w:sz w:val="24"/>
          <w:u w:val="thick"/>
        </w:rPr>
        <w:t>MET</w:t>
      </w:r>
      <w:r>
        <w:rPr>
          <w:b/>
          <w:sz w:val="24"/>
        </w:rPr>
        <w:t> </w:t>
      </w:r>
      <w:r>
        <w:rPr>
          <w:sz w:val="24"/>
        </w:rPr>
        <w:t>sont principalement des nausées, de l’anorexie et</w:t>
      </w:r>
      <w:r>
        <w:rPr>
          <w:spacing w:val="-43"/>
          <w:sz w:val="24"/>
        </w:rPr>
        <w:t> </w:t>
      </w:r>
      <w:r>
        <w:rPr>
          <w:sz w:val="24"/>
        </w:rPr>
        <w:t>des ballonnements, et plus rarement des vomissements et des épisodes de diarrhée. Ces effets secondaires peuvent être limités en fractionnant les prises et en augmentant les doses progressivement (une dose de 1200 mg/jour est généralement bien tolérée selon le résumé des caractéristiques du produit). Les biguanides sont réputés pour augmenter le risque de développer une acidose lactique sévère. Cependant, l’utilisation de la metformine</w:t>
      </w:r>
      <w:r>
        <w:rPr>
          <w:spacing w:val="-9"/>
          <w:sz w:val="24"/>
        </w:rPr>
        <w:t> </w:t>
      </w:r>
      <w:r>
        <w:rPr>
          <w:sz w:val="24"/>
        </w:rPr>
        <w:t>n’est</w:t>
      </w:r>
      <w:r>
        <w:rPr>
          <w:spacing w:val="-8"/>
          <w:sz w:val="24"/>
        </w:rPr>
        <w:t> </w:t>
      </w:r>
      <w:r>
        <w:rPr>
          <w:sz w:val="24"/>
        </w:rPr>
        <w:t>pas</w:t>
      </w:r>
      <w:r>
        <w:rPr>
          <w:spacing w:val="-6"/>
          <w:sz w:val="24"/>
        </w:rPr>
        <w:t> </w:t>
      </w:r>
      <w:r>
        <w:rPr>
          <w:sz w:val="24"/>
        </w:rPr>
        <w:t>associée</w:t>
      </w:r>
      <w:r>
        <w:rPr>
          <w:spacing w:val="-10"/>
          <w:sz w:val="24"/>
        </w:rPr>
        <w:t> </w:t>
      </w:r>
      <w:r>
        <w:rPr>
          <w:sz w:val="24"/>
        </w:rPr>
        <w:t>à</w:t>
      </w:r>
      <w:r>
        <w:rPr>
          <w:spacing w:val="-10"/>
          <w:sz w:val="24"/>
        </w:rPr>
        <w:t> </w:t>
      </w:r>
      <w:r>
        <w:rPr>
          <w:sz w:val="24"/>
        </w:rPr>
        <w:t>un</w:t>
      </w:r>
      <w:r>
        <w:rPr>
          <w:spacing w:val="-7"/>
          <w:sz w:val="24"/>
        </w:rPr>
        <w:t> </w:t>
      </w:r>
      <w:r>
        <w:rPr>
          <w:sz w:val="24"/>
        </w:rPr>
        <w:t>risque</w:t>
      </w:r>
      <w:r>
        <w:rPr>
          <w:spacing w:val="-10"/>
          <w:sz w:val="24"/>
        </w:rPr>
        <w:t> </w:t>
      </w:r>
      <w:r>
        <w:rPr>
          <w:sz w:val="24"/>
        </w:rPr>
        <w:t>plus</w:t>
      </w:r>
      <w:r>
        <w:rPr>
          <w:spacing w:val="-8"/>
          <w:sz w:val="24"/>
        </w:rPr>
        <w:t> </w:t>
      </w:r>
      <w:r>
        <w:rPr>
          <w:sz w:val="24"/>
        </w:rPr>
        <w:t>élevé</w:t>
      </w:r>
      <w:r>
        <w:rPr>
          <w:spacing w:val="-10"/>
          <w:sz w:val="24"/>
        </w:rPr>
        <w:t> </w:t>
      </w:r>
      <w:r>
        <w:rPr>
          <w:sz w:val="24"/>
        </w:rPr>
        <w:t>de</w:t>
      </w:r>
      <w:r>
        <w:rPr>
          <w:spacing w:val="-10"/>
          <w:sz w:val="24"/>
        </w:rPr>
        <w:t> </w:t>
      </w:r>
      <w:r>
        <w:rPr>
          <w:sz w:val="24"/>
        </w:rPr>
        <w:t>développer</w:t>
      </w:r>
      <w:r>
        <w:rPr>
          <w:spacing w:val="-10"/>
          <w:sz w:val="24"/>
        </w:rPr>
        <w:t> </w:t>
      </w:r>
      <w:r>
        <w:rPr>
          <w:sz w:val="24"/>
        </w:rPr>
        <w:t>une</w:t>
      </w:r>
      <w:r>
        <w:rPr>
          <w:spacing w:val="-10"/>
          <w:sz w:val="24"/>
        </w:rPr>
        <w:t> </w:t>
      </w:r>
      <w:r>
        <w:rPr>
          <w:sz w:val="24"/>
        </w:rPr>
        <w:t>acidose</w:t>
      </w:r>
      <w:r>
        <w:rPr>
          <w:spacing w:val="-9"/>
          <w:sz w:val="24"/>
        </w:rPr>
        <w:t> </w:t>
      </w:r>
      <w:r>
        <w:rPr>
          <w:sz w:val="24"/>
        </w:rPr>
        <w:t>lactique par rapport aux autres traitements antihyperglycémiants (Salpeter et al.,</w:t>
      </w:r>
      <w:r>
        <w:rPr>
          <w:spacing w:val="-12"/>
          <w:sz w:val="24"/>
        </w:rPr>
        <w:t> </w:t>
      </w:r>
      <w:r>
        <w:rPr>
          <w:sz w:val="24"/>
        </w:rPr>
        <w:t>2010).</w:t>
      </w:r>
    </w:p>
    <w:p>
      <w:pPr>
        <w:pStyle w:val="ListParagraph"/>
        <w:numPr>
          <w:ilvl w:val="0"/>
          <w:numId w:val="23"/>
        </w:numPr>
        <w:tabs>
          <w:tab w:pos="837" w:val="left" w:leader="none"/>
        </w:tabs>
        <w:spacing w:line="240" w:lineRule="auto" w:before="2" w:after="0"/>
        <w:ind w:left="836" w:right="116" w:hanging="360"/>
        <w:jc w:val="both"/>
        <w:rPr>
          <w:sz w:val="24"/>
        </w:rPr>
      </w:pPr>
      <w:r>
        <w:rPr>
          <w:b/>
          <w:sz w:val="24"/>
          <w:u w:val="thick"/>
        </w:rPr>
        <w:t>L’HCA</w:t>
      </w:r>
      <w:r>
        <w:rPr>
          <w:b/>
          <w:sz w:val="24"/>
        </w:rPr>
        <w:t> </w:t>
      </w:r>
      <w:r>
        <w:rPr>
          <w:sz w:val="24"/>
        </w:rPr>
        <w:t>ne présente pas d’effets secondaires particuliers, et ce jusqu’à des doses de 2800 mg/jour chez l’humain (Stohs et al., 2009). Il est utilisé dans des programmes de régime pour favoriser la perte de poids. Une éventuelle toxicité envers la spermatogenèse</w:t>
      </w:r>
      <w:r>
        <w:rPr>
          <w:spacing w:val="-11"/>
          <w:sz w:val="24"/>
        </w:rPr>
        <w:t> </w:t>
      </w:r>
      <w:r>
        <w:rPr>
          <w:sz w:val="24"/>
        </w:rPr>
        <w:t>est</w:t>
      </w:r>
      <w:r>
        <w:rPr>
          <w:spacing w:val="-9"/>
          <w:sz w:val="24"/>
        </w:rPr>
        <w:t> </w:t>
      </w:r>
      <w:r>
        <w:rPr>
          <w:sz w:val="24"/>
        </w:rPr>
        <w:t>mise</w:t>
      </w:r>
      <w:r>
        <w:rPr>
          <w:spacing w:val="-10"/>
          <w:sz w:val="24"/>
        </w:rPr>
        <w:t> </w:t>
      </w:r>
      <w:r>
        <w:rPr>
          <w:sz w:val="24"/>
        </w:rPr>
        <w:t>en</w:t>
      </w:r>
      <w:r>
        <w:rPr>
          <w:spacing w:val="-10"/>
          <w:sz w:val="24"/>
        </w:rPr>
        <w:t> </w:t>
      </w:r>
      <w:r>
        <w:rPr>
          <w:sz w:val="24"/>
        </w:rPr>
        <w:t>évidence</w:t>
      </w:r>
      <w:r>
        <w:rPr>
          <w:spacing w:val="-11"/>
          <w:sz w:val="24"/>
        </w:rPr>
        <w:t> </w:t>
      </w:r>
      <w:r>
        <w:rPr>
          <w:sz w:val="24"/>
        </w:rPr>
        <w:t>chez</w:t>
      </w:r>
      <w:r>
        <w:rPr>
          <w:spacing w:val="-8"/>
          <w:sz w:val="24"/>
        </w:rPr>
        <w:t> </w:t>
      </w:r>
      <w:r>
        <w:rPr>
          <w:sz w:val="24"/>
        </w:rPr>
        <w:t>le</w:t>
      </w:r>
      <w:r>
        <w:rPr>
          <w:spacing w:val="-10"/>
          <w:sz w:val="24"/>
        </w:rPr>
        <w:t> </w:t>
      </w:r>
      <w:r>
        <w:rPr>
          <w:sz w:val="24"/>
        </w:rPr>
        <w:t>rat</w:t>
      </w:r>
      <w:r>
        <w:rPr>
          <w:spacing w:val="-9"/>
          <w:sz w:val="24"/>
        </w:rPr>
        <w:t> </w:t>
      </w:r>
      <w:r>
        <w:rPr>
          <w:sz w:val="24"/>
        </w:rPr>
        <w:t>de</w:t>
      </w:r>
      <w:r>
        <w:rPr>
          <w:spacing w:val="-8"/>
          <w:sz w:val="24"/>
        </w:rPr>
        <w:t> </w:t>
      </w:r>
      <w:r>
        <w:rPr>
          <w:sz w:val="24"/>
        </w:rPr>
        <w:t>laboratoire,</w:t>
      </w:r>
      <w:r>
        <w:rPr>
          <w:spacing w:val="-10"/>
          <w:sz w:val="24"/>
        </w:rPr>
        <w:t> </w:t>
      </w:r>
      <w:r>
        <w:rPr>
          <w:sz w:val="24"/>
        </w:rPr>
        <w:t>mais</w:t>
      </w:r>
      <w:r>
        <w:rPr>
          <w:spacing w:val="-9"/>
          <w:sz w:val="24"/>
        </w:rPr>
        <w:t> </w:t>
      </w:r>
      <w:r>
        <w:rPr>
          <w:sz w:val="24"/>
        </w:rPr>
        <w:t>n’est</w:t>
      </w:r>
      <w:r>
        <w:rPr>
          <w:spacing w:val="-9"/>
          <w:sz w:val="24"/>
        </w:rPr>
        <w:t> </w:t>
      </w:r>
      <w:r>
        <w:rPr>
          <w:sz w:val="24"/>
        </w:rPr>
        <w:t>pas</w:t>
      </w:r>
      <w:r>
        <w:rPr>
          <w:spacing w:val="-10"/>
          <w:sz w:val="24"/>
        </w:rPr>
        <w:t> </w:t>
      </w:r>
      <w:r>
        <w:rPr>
          <w:sz w:val="24"/>
        </w:rPr>
        <w:t>retrouvée chez</w:t>
      </w:r>
      <w:r>
        <w:rPr>
          <w:spacing w:val="-13"/>
          <w:sz w:val="24"/>
        </w:rPr>
        <w:t> </w:t>
      </w:r>
      <w:r>
        <w:rPr>
          <w:sz w:val="24"/>
        </w:rPr>
        <w:t>l’humain</w:t>
      </w:r>
      <w:r>
        <w:rPr>
          <w:spacing w:val="-14"/>
          <w:sz w:val="24"/>
        </w:rPr>
        <w:t> </w:t>
      </w:r>
      <w:r>
        <w:rPr>
          <w:sz w:val="24"/>
        </w:rPr>
        <w:t>(Chuah</w:t>
      </w:r>
      <w:r>
        <w:rPr>
          <w:spacing w:val="-14"/>
          <w:sz w:val="24"/>
        </w:rPr>
        <w:t> </w:t>
      </w:r>
      <w:r>
        <w:rPr>
          <w:sz w:val="24"/>
        </w:rPr>
        <w:t>et</w:t>
      </w:r>
      <w:r>
        <w:rPr>
          <w:spacing w:val="-12"/>
          <w:sz w:val="24"/>
        </w:rPr>
        <w:t> </w:t>
      </w:r>
      <w:r>
        <w:rPr>
          <w:sz w:val="24"/>
        </w:rPr>
        <w:t>al.,</w:t>
      </w:r>
      <w:r>
        <w:rPr>
          <w:spacing w:val="-14"/>
          <w:sz w:val="24"/>
        </w:rPr>
        <w:t> </w:t>
      </w:r>
      <w:r>
        <w:rPr>
          <w:sz w:val="24"/>
        </w:rPr>
        <w:t>2012).</w:t>
      </w:r>
      <w:r>
        <w:rPr>
          <w:spacing w:val="-14"/>
          <w:sz w:val="24"/>
        </w:rPr>
        <w:t> </w:t>
      </w:r>
      <w:r>
        <w:rPr>
          <w:sz w:val="24"/>
        </w:rPr>
        <w:t>Quelques</w:t>
      </w:r>
      <w:r>
        <w:rPr>
          <w:spacing w:val="-15"/>
          <w:sz w:val="24"/>
        </w:rPr>
        <w:t> </w:t>
      </w:r>
      <w:r>
        <w:rPr>
          <w:sz w:val="24"/>
        </w:rPr>
        <w:t>rapports</w:t>
      </w:r>
      <w:r>
        <w:rPr>
          <w:spacing w:val="-14"/>
          <w:sz w:val="24"/>
        </w:rPr>
        <w:t> </w:t>
      </w:r>
      <w:r>
        <w:rPr>
          <w:sz w:val="24"/>
        </w:rPr>
        <w:t>de</w:t>
      </w:r>
      <w:r>
        <w:rPr>
          <w:spacing w:val="-15"/>
          <w:sz w:val="24"/>
        </w:rPr>
        <w:t> </w:t>
      </w:r>
      <w:r>
        <w:rPr>
          <w:sz w:val="24"/>
        </w:rPr>
        <w:t>cas</w:t>
      </w:r>
      <w:r>
        <w:rPr>
          <w:spacing w:val="-14"/>
          <w:sz w:val="24"/>
        </w:rPr>
        <w:t> </w:t>
      </w:r>
      <w:r>
        <w:rPr>
          <w:sz w:val="24"/>
        </w:rPr>
        <w:t>rapportent</w:t>
      </w:r>
      <w:r>
        <w:rPr>
          <w:spacing w:val="-14"/>
          <w:sz w:val="24"/>
        </w:rPr>
        <w:t> </w:t>
      </w:r>
      <w:r>
        <w:rPr>
          <w:sz w:val="24"/>
        </w:rPr>
        <w:t>une</w:t>
      </w:r>
      <w:r>
        <w:rPr>
          <w:spacing w:val="-13"/>
          <w:sz w:val="24"/>
        </w:rPr>
        <w:t> </w:t>
      </w:r>
      <w:r>
        <w:rPr>
          <w:sz w:val="24"/>
        </w:rPr>
        <w:t>progression tumorale lente en association avec l’ALA (Schwartz et al.,</w:t>
      </w:r>
      <w:r>
        <w:rPr>
          <w:spacing w:val="-6"/>
          <w:sz w:val="24"/>
        </w:rPr>
        <w:t> </w:t>
      </w:r>
      <w:r>
        <w:rPr>
          <w:sz w:val="24"/>
        </w:rPr>
        <w:t>2014).</w:t>
      </w:r>
    </w:p>
    <w:p>
      <w:pPr>
        <w:pStyle w:val="ListParagraph"/>
        <w:numPr>
          <w:ilvl w:val="0"/>
          <w:numId w:val="23"/>
        </w:numPr>
        <w:tabs>
          <w:tab w:pos="837" w:val="left" w:leader="none"/>
        </w:tabs>
        <w:spacing w:line="237" w:lineRule="auto" w:before="5" w:after="0"/>
        <w:ind w:left="836" w:right="117" w:hanging="360"/>
        <w:jc w:val="both"/>
        <w:rPr>
          <w:sz w:val="24"/>
        </w:rPr>
      </w:pPr>
      <w:r>
        <w:rPr>
          <w:b/>
          <w:sz w:val="24"/>
          <w:u w:val="thick"/>
        </w:rPr>
        <w:t>L’ALA</w:t>
      </w:r>
      <w:r>
        <w:rPr>
          <w:b/>
          <w:sz w:val="24"/>
        </w:rPr>
        <w:t> </w:t>
      </w:r>
      <w:r>
        <w:rPr>
          <w:sz w:val="24"/>
        </w:rPr>
        <w:t>est utilisé en cas de polyneuropathie diabétique. Des essais cliniques (ALADIN) montrent que la dose de 600 mg trois fois par jour est très bien tolérée (Ruhnau et al., 1999 ; Ziegler et al., 1999), et ce pendant plusieurs</w:t>
      </w:r>
      <w:r>
        <w:rPr>
          <w:spacing w:val="-9"/>
          <w:sz w:val="24"/>
        </w:rPr>
        <w:t> </w:t>
      </w:r>
      <w:r>
        <w:rPr>
          <w:sz w:val="24"/>
        </w:rPr>
        <w:t>mois.</w:t>
      </w:r>
    </w:p>
    <w:p>
      <w:pPr>
        <w:pStyle w:val="ListParagraph"/>
        <w:numPr>
          <w:ilvl w:val="0"/>
          <w:numId w:val="23"/>
        </w:numPr>
        <w:tabs>
          <w:tab w:pos="837" w:val="left" w:leader="none"/>
        </w:tabs>
        <w:spacing w:line="240" w:lineRule="auto" w:before="2" w:after="0"/>
        <w:ind w:left="836" w:right="114" w:hanging="360"/>
        <w:jc w:val="both"/>
        <w:rPr>
          <w:sz w:val="24"/>
        </w:rPr>
      </w:pPr>
      <w:r>
        <w:rPr>
          <w:b/>
          <w:sz w:val="24"/>
          <w:u w:val="thick"/>
        </w:rPr>
        <w:t>Le DCA</w:t>
      </w:r>
      <w:r>
        <w:rPr>
          <w:b/>
          <w:sz w:val="24"/>
        </w:rPr>
        <w:t> </w:t>
      </w:r>
      <w:r>
        <w:rPr>
          <w:sz w:val="24"/>
        </w:rPr>
        <w:t>est utilisé depuis longtemps en médecine humaine (en particulier pour le traitement de l’acidose lactique congénitale). L’étude de Stacpoole et al. montre que la dose de 12,5 mg/kg deux fois par jour pendant 6 mois est bien tolérée (Stacpoole et al., 2006). La principale toxicité sur le long terme est neurologique avec l’apparition d’une neuropathie</w:t>
      </w:r>
      <w:r>
        <w:rPr>
          <w:spacing w:val="-15"/>
          <w:sz w:val="24"/>
        </w:rPr>
        <w:t> </w:t>
      </w:r>
      <w:r>
        <w:rPr>
          <w:sz w:val="24"/>
        </w:rPr>
        <w:t>périphérique,</w:t>
      </w:r>
      <w:r>
        <w:rPr>
          <w:spacing w:val="-12"/>
          <w:sz w:val="24"/>
        </w:rPr>
        <w:t> </w:t>
      </w:r>
      <w:r>
        <w:rPr>
          <w:sz w:val="24"/>
        </w:rPr>
        <w:t>généralement</w:t>
      </w:r>
      <w:r>
        <w:rPr>
          <w:spacing w:val="45"/>
          <w:sz w:val="24"/>
        </w:rPr>
        <w:t> </w:t>
      </w:r>
      <w:r>
        <w:rPr>
          <w:sz w:val="24"/>
        </w:rPr>
        <w:t>réversible</w:t>
      </w:r>
      <w:r>
        <w:rPr>
          <w:spacing w:val="-12"/>
          <w:sz w:val="24"/>
        </w:rPr>
        <w:t> </w:t>
      </w:r>
      <w:r>
        <w:rPr>
          <w:sz w:val="24"/>
        </w:rPr>
        <w:t>à</w:t>
      </w:r>
      <w:r>
        <w:rPr>
          <w:spacing w:val="-15"/>
          <w:sz w:val="24"/>
        </w:rPr>
        <w:t> </w:t>
      </w:r>
      <w:r>
        <w:rPr>
          <w:sz w:val="24"/>
        </w:rPr>
        <w:t>l’arrêt</w:t>
      </w:r>
      <w:r>
        <w:rPr>
          <w:spacing w:val="-14"/>
          <w:sz w:val="24"/>
        </w:rPr>
        <w:t> </w:t>
      </w:r>
      <w:r>
        <w:rPr>
          <w:sz w:val="24"/>
        </w:rPr>
        <w:t>du</w:t>
      </w:r>
      <w:r>
        <w:rPr>
          <w:spacing w:val="-14"/>
          <w:sz w:val="24"/>
        </w:rPr>
        <w:t> </w:t>
      </w:r>
      <w:r>
        <w:rPr>
          <w:sz w:val="24"/>
        </w:rPr>
        <w:t>traitement.</w:t>
      </w:r>
      <w:r>
        <w:rPr>
          <w:spacing w:val="-3"/>
          <w:sz w:val="24"/>
        </w:rPr>
        <w:t> </w:t>
      </w:r>
      <w:r>
        <w:rPr>
          <w:sz w:val="24"/>
        </w:rPr>
        <w:t>Une</w:t>
      </w:r>
      <w:r>
        <w:rPr>
          <w:spacing w:val="-15"/>
          <w:sz w:val="24"/>
        </w:rPr>
        <w:t> </w:t>
      </w:r>
      <w:r>
        <w:rPr>
          <w:sz w:val="24"/>
        </w:rPr>
        <w:t>attention particulière devra donc être portée à l’examen neurologique afin de diminuer les doses si</w:t>
      </w:r>
      <w:r>
        <w:rPr>
          <w:spacing w:val="-4"/>
          <w:sz w:val="24"/>
        </w:rPr>
        <w:t> </w:t>
      </w:r>
      <w:r>
        <w:rPr>
          <w:sz w:val="24"/>
        </w:rPr>
        <w:t>nécessaire.</w:t>
      </w:r>
    </w:p>
    <w:p>
      <w:pPr>
        <w:pStyle w:val="ListParagraph"/>
        <w:numPr>
          <w:ilvl w:val="0"/>
          <w:numId w:val="23"/>
        </w:numPr>
        <w:tabs>
          <w:tab w:pos="837" w:val="left" w:leader="none"/>
        </w:tabs>
        <w:spacing w:line="240" w:lineRule="auto" w:before="1" w:after="0"/>
        <w:ind w:left="836" w:right="113" w:hanging="360"/>
        <w:jc w:val="both"/>
        <w:rPr>
          <w:sz w:val="24"/>
        </w:rPr>
      </w:pPr>
      <w:r>
        <w:rPr>
          <w:b/>
          <w:sz w:val="24"/>
          <w:u w:val="thick"/>
        </w:rPr>
        <w:t>Le CIT</w:t>
      </w:r>
      <w:r>
        <w:rPr>
          <w:b/>
          <w:sz w:val="24"/>
        </w:rPr>
        <w:t> </w:t>
      </w:r>
      <w:r>
        <w:rPr>
          <w:sz w:val="24"/>
        </w:rPr>
        <w:t>est utilisé en médecine humaine pour favoriser l’alcalinisation des urines dans le traitement et la prévention des lithiases uriques et cystiniques. </w:t>
      </w:r>
      <w:r>
        <w:rPr>
          <w:spacing w:val="-3"/>
          <w:sz w:val="24"/>
        </w:rPr>
        <w:t>Il </w:t>
      </w:r>
      <w:r>
        <w:rPr>
          <w:sz w:val="24"/>
        </w:rPr>
        <w:t>est utilisé comme alcalinisant au cours des traitements uricosuriques et uricolytiques. Son intérêt en prévention de l’acidose métabolique est également démontré. La dose de 4-8 g par jour est bien tolérée chez l’adulte, avec comme effet secondaire principal des épisodes de diarrhées.</w:t>
      </w:r>
      <w:r>
        <w:rPr>
          <w:spacing w:val="-11"/>
          <w:sz w:val="24"/>
        </w:rPr>
        <w:t> </w:t>
      </w:r>
      <w:r>
        <w:rPr>
          <w:sz w:val="24"/>
        </w:rPr>
        <w:t>Aucun</w:t>
      </w:r>
      <w:r>
        <w:rPr>
          <w:spacing w:val="-9"/>
          <w:sz w:val="24"/>
        </w:rPr>
        <w:t> </w:t>
      </w:r>
      <w:r>
        <w:rPr>
          <w:sz w:val="24"/>
        </w:rPr>
        <w:t>cas</w:t>
      </w:r>
      <w:r>
        <w:rPr>
          <w:spacing w:val="-11"/>
          <w:sz w:val="24"/>
        </w:rPr>
        <w:t> </w:t>
      </w:r>
      <w:r>
        <w:rPr>
          <w:sz w:val="24"/>
        </w:rPr>
        <w:t>de</w:t>
      </w:r>
      <w:r>
        <w:rPr>
          <w:spacing w:val="-12"/>
          <w:sz w:val="24"/>
        </w:rPr>
        <w:t> </w:t>
      </w:r>
      <w:r>
        <w:rPr>
          <w:sz w:val="24"/>
        </w:rPr>
        <w:t>surdosage</w:t>
      </w:r>
      <w:r>
        <w:rPr>
          <w:spacing w:val="-12"/>
          <w:sz w:val="24"/>
        </w:rPr>
        <w:t> </w:t>
      </w:r>
      <w:r>
        <w:rPr>
          <w:sz w:val="24"/>
        </w:rPr>
        <w:t>n’a</w:t>
      </w:r>
      <w:r>
        <w:rPr>
          <w:spacing w:val="-10"/>
          <w:sz w:val="24"/>
        </w:rPr>
        <w:t> </w:t>
      </w:r>
      <w:r>
        <w:rPr>
          <w:sz w:val="24"/>
        </w:rPr>
        <w:t>été</w:t>
      </w:r>
      <w:r>
        <w:rPr>
          <w:spacing w:val="-11"/>
          <w:sz w:val="24"/>
        </w:rPr>
        <w:t> </w:t>
      </w:r>
      <w:r>
        <w:rPr>
          <w:sz w:val="24"/>
        </w:rPr>
        <w:t>observé.</w:t>
      </w:r>
      <w:r>
        <w:rPr>
          <w:spacing w:val="-6"/>
          <w:sz w:val="24"/>
        </w:rPr>
        <w:t> </w:t>
      </w:r>
      <w:r>
        <w:rPr>
          <w:sz w:val="24"/>
        </w:rPr>
        <w:t>Chez</w:t>
      </w:r>
      <w:r>
        <w:rPr>
          <w:spacing w:val="-10"/>
          <w:sz w:val="24"/>
        </w:rPr>
        <w:t> </w:t>
      </w:r>
      <w:r>
        <w:rPr>
          <w:sz w:val="24"/>
        </w:rPr>
        <w:t>un</w:t>
      </w:r>
      <w:r>
        <w:rPr>
          <w:spacing w:val="-11"/>
          <w:sz w:val="24"/>
        </w:rPr>
        <w:t> </w:t>
      </w:r>
      <w:r>
        <w:rPr>
          <w:sz w:val="24"/>
        </w:rPr>
        <w:t>patient,</w:t>
      </w:r>
      <w:r>
        <w:rPr>
          <w:spacing w:val="-10"/>
          <w:sz w:val="24"/>
        </w:rPr>
        <w:t> </w:t>
      </w:r>
      <w:r>
        <w:rPr>
          <w:sz w:val="24"/>
        </w:rPr>
        <w:t>la</w:t>
      </w:r>
      <w:r>
        <w:rPr>
          <w:spacing w:val="-12"/>
          <w:sz w:val="24"/>
        </w:rPr>
        <w:t> </w:t>
      </w:r>
      <w:r>
        <w:rPr>
          <w:sz w:val="24"/>
        </w:rPr>
        <w:t>dose</w:t>
      </w:r>
      <w:r>
        <w:rPr>
          <w:spacing w:val="-9"/>
          <w:sz w:val="24"/>
        </w:rPr>
        <w:t> </w:t>
      </w:r>
      <w:r>
        <w:rPr>
          <w:sz w:val="24"/>
        </w:rPr>
        <w:t>de</w:t>
      </w:r>
      <w:r>
        <w:rPr>
          <w:spacing w:val="-12"/>
          <w:sz w:val="24"/>
        </w:rPr>
        <w:t> </w:t>
      </w:r>
      <w:r>
        <w:rPr>
          <w:sz w:val="24"/>
        </w:rPr>
        <w:t>10</w:t>
      </w:r>
      <w:r>
        <w:rPr>
          <w:spacing w:val="-8"/>
          <w:sz w:val="24"/>
        </w:rPr>
        <w:t> </w:t>
      </w:r>
      <w:r>
        <w:rPr>
          <w:sz w:val="24"/>
        </w:rPr>
        <w:t>g</w:t>
      </w:r>
      <w:r>
        <w:rPr>
          <w:spacing w:val="-13"/>
          <w:sz w:val="24"/>
        </w:rPr>
        <w:t> </w:t>
      </w:r>
      <w:r>
        <w:rPr>
          <w:sz w:val="24"/>
        </w:rPr>
        <w:t>trois fois par jour n’a pas révélé de toxicité (Bucay,</w:t>
      </w:r>
      <w:r>
        <w:rPr>
          <w:spacing w:val="-11"/>
          <w:sz w:val="24"/>
        </w:rPr>
        <w:t> </w:t>
      </w:r>
      <w:r>
        <w:rPr>
          <w:sz w:val="24"/>
        </w:rPr>
        <w:t>2011).</w:t>
      </w:r>
    </w:p>
    <w:p>
      <w:pPr>
        <w:pStyle w:val="ListParagraph"/>
        <w:numPr>
          <w:ilvl w:val="0"/>
          <w:numId w:val="23"/>
        </w:numPr>
        <w:tabs>
          <w:tab w:pos="837" w:val="left" w:leader="none"/>
        </w:tabs>
        <w:spacing w:line="237" w:lineRule="auto" w:before="4" w:after="0"/>
        <w:ind w:left="836" w:right="112" w:hanging="360"/>
        <w:jc w:val="both"/>
        <w:rPr>
          <w:sz w:val="24"/>
        </w:rPr>
      </w:pPr>
      <w:r>
        <w:rPr>
          <w:b/>
          <w:sz w:val="24"/>
          <w:u w:val="thick"/>
        </w:rPr>
        <w:t>Le 3-BP</w:t>
      </w:r>
      <w:r>
        <w:rPr>
          <w:b/>
          <w:sz w:val="24"/>
        </w:rPr>
        <w:t> </w:t>
      </w:r>
      <w:r>
        <w:rPr>
          <w:sz w:val="24"/>
        </w:rPr>
        <w:t>a été utilisé sur quelques cas sporadiques avec des résultats très prometteurs (Ko et al., 2012). La dose de 1-2,2 mg/kg IV ne semble pas présenter de toxicité (El Sayed et al., 2014), sans que l’efficacité ne soit</w:t>
      </w:r>
      <w:r>
        <w:rPr>
          <w:spacing w:val="-15"/>
          <w:sz w:val="24"/>
        </w:rPr>
        <w:t> </w:t>
      </w:r>
      <w:r>
        <w:rPr>
          <w:sz w:val="24"/>
        </w:rPr>
        <w:t>démontrée.</w:t>
      </w:r>
    </w:p>
    <w:p>
      <w:pPr>
        <w:pStyle w:val="ListParagraph"/>
        <w:numPr>
          <w:ilvl w:val="0"/>
          <w:numId w:val="23"/>
        </w:numPr>
        <w:tabs>
          <w:tab w:pos="837" w:val="left" w:leader="none"/>
        </w:tabs>
        <w:spacing w:line="237" w:lineRule="auto" w:before="4" w:after="0"/>
        <w:ind w:left="836" w:right="114" w:hanging="360"/>
        <w:jc w:val="both"/>
        <w:rPr>
          <w:sz w:val="24"/>
        </w:rPr>
      </w:pPr>
      <w:r>
        <w:rPr>
          <w:b/>
          <w:sz w:val="24"/>
          <w:u w:val="thick"/>
        </w:rPr>
        <w:t>Le</w:t>
      </w:r>
      <w:r>
        <w:rPr>
          <w:b/>
          <w:spacing w:val="-5"/>
          <w:sz w:val="24"/>
          <w:u w:val="thick"/>
        </w:rPr>
        <w:t> </w:t>
      </w:r>
      <w:r>
        <w:rPr>
          <w:b/>
          <w:sz w:val="24"/>
          <w:u w:val="thick"/>
        </w:rPr>
        <w:t>2-DG</w:t>
      </w:r>
      <w:r>
        <w:rPr>
          <w:b/>
          <w:spacing w:val="-3"/>
          <w:sz w:val="24"/>
        </w:rPr>
        <w:t> </w:t>
      </w:r>
      <w:r>
        <w:rPr>
          <w:sz w:val="24"/>
        </w:rPr>
        <w:t>a</w:t>
      </w:r>
      <w:r>
        <w:rPr>
          <w:spacing w:val="-5"/>
          <w:sz w:val="24"/>
        </w:rPr>
        <w:t> </w:t>
      </w:r>
      <w:r>
        <w:rPr>
          <w:sz w:val="24"/>
        </w:rPr>
        <w:t>été</w:t>
      </w:r>
      <w:r>
        <w:rPr>
          <w:spacing w:val="-4"/>
          <w:sz w:val="24"/>
        </w:rPr>
        <w:t> </w:t>
      </w:r>
      <w:r>
        <w:rPr>
          <w:sz w:val="24"/>
        </w:rPr>
        <w:t>utilisé</w:t>
      </w:r>
      <w:r>
        <w:rPr>
          <w:spacing w:val="-5"/>
          <w:sz w:val="24"/>
        </w:rPr>
        <w:t> </w:t>
      </w:r>
      <w:r>
        <w:rPr>
          <w:sz w:val="24"/>
        </w:rPr>
        <w:t>dans</w:t>
      </w:r>
      <w:r>
        <w:rPr>
          <w:spacing w:val="-4"/>
          <w:sz w:val="24"/>
        </w:rPr>
        <w:t> </w:t>
      </w:r>
      <w:r>
        <w:rPr>
          <w:sz w:val="24"/>
        </w:rPr>
        <w:t>plusieurs</w:t>
      </w:r>
      <w:r>
        <w:rPr>
          <w:spacing w:val="-4"/>
          <w:sz w:val="24"/>
        </w:rPr>
        <w:t> </w:t>
      </w:r>
      <w:r>
        <w:rPr>
          <w:sz w:val="24"/>
        </w:rPr>
        <w:t>essais</w:t>
      </w:r>
      <w:r>
        <w:rPr>
          <w:spacing w:val="-4"/>
          <w:sz w:val="24"/>
        </w:rPr>
        <w:t> </w:t>
      </w:r>
      <w:r>
        <w:rPr>
          <w:sz w:val="24"/>
        </w:rPr>
        <w:t>cliniques.</w:t>
      </w:r>
      <w:r>
        <w:rPr>
          <w:spacing w:val="-1"/>
          <w:sz w:val="24"/>
        </w:rPr>
        <w:t> </w:t>
      </w:r>
      <w:r>
        <w:rPr>
          <w:sz w:val="24"/>
        </w:rPr>
        <w:t>La</w:t>
      </w:r>
      <w:r>
        <w:rPr>
          <w:spacing w:val="-5"/>
          <w:sz w:val="24"/>
        </w:rPr>
        <w:t> </w:t>
      </w:r>
      <w:r>
        <w:rPr>
          <w:sz w:val="24"/>
        </w:rPr>
        <w:t>dose</w:t>
      </w:r>
      <w:r>
        <w:rPr>
          <w:spacing w:val="-5"/>
          <w:sz w:val="24"/>
        </w:rPr>
        <w:t> </w:t>
      </w:r>
      <w:r>
        <w:rPr>
          <w:sz w:val="24"/>
        </w:rPr>
        <w:t>de</w:t>
      </w:r>
      <w:r>
        <w:rPr>
          <w:spacing w:val="-5"/>
          <w:sz w:val="24"/>
        </w:rPr>
        <w:t> </w:t>
      </w:r>
      <w:r>
        <w:rPr>
          <w:sz w:val="24"/>
        </w:rPr>
        <w:t>45 mg/kg</w:t>
      </w:r>
      <w:r>
        <w:rPr>
          <w:spacing w:val="-4"/>
          <w:sz w:val="24"/>
        </w:rPr>
        <w:t> </w:t>
      </w:r>
      <w:r>
        <w:rPr>
          <w:sz w:val="24"/>
        </w:rPr>
        <w:t>semble</w:t>
      </w:r>
      <w:r>
        <w:rPr>
          <w:spacing w:val="-5"/>
          <w:sz w:val="24"/>
        </w:rPr>
        <w:t> </w:t>
      </w:r>
      <w:r>
        <w:rPr>
          <w:sz w:val="24"/>
        </w:rPr>
        <w:t>celle adéquate afin de limiter les effets secondaires (fatigue, altération du goût) (Stein et al., 2010).</w:t>
      </w:r>
    </w:p>
    <w:p>
      <w:pPr>
        <w:pStyle w:val="BodyText"/>
        <w:spacing w:before="6"/>
      </w:pPr>
    </w:p>
    <w:p>
      <w:pPr>
        <w:pStyle w:val="BodyText"/>
        <w:spacing w:line="259" w:lineRule="auto"/>
        <w:ind w:left="116" w:right="115" w:firstLine="643"/>
        <w:jc w:val="both"/>
      </w:pPr>
      <w:r>
        <w:rPr/>
        <w:t>Les molécules retenues possèdent un potentiel indéniable </w:t>
      </w:r>
      <w:r>
        <w:rPr>
          <w:b/>
          <w:i/>
        </w:rPr>
        <w:t>in vitro </w:t>
      </w:r>
      <w:r>
        <w:rPr/>
        <w:t>et sur des modèles </w:t>
      </w:r>
      <w:r>
        <w:rPr>
          <w:b/>
          <w:i/>
        </w:rPr>
        <w:t>in </w:t>
      </w:r>
      <w:r>
        <w:rPr>
          <w:b/>
          <w:i/>
        </w:rPr>
        <w:t>vivo </w:t>
      </w:r>
      <w:r>
        <w:rPr/>
        <w:t>(Partie 1, II). Leur utilisation chez l’homme dans le cadre d’essais cliniques existe depuis plusieurs années (Partie 2, I. A. 2). Etudions maintenant l’utilisation des molécules retenues à ce niveau dans notre travail en médecine vétérinaire.</w:t>
      </w:r>
    </w:p>
    <w:p>
      <w:pPr>
        <w:spacing w:after="0" w:line="259" w:lineRule="auto"/>
        <w:jc w:val="both"/>
        <w:sectPr>
          <w:pgSz w:w="11910" w:h="16840"/>
          <w:pgMar w:header="0" w:footer="1055" w:top="1320" w:bottom="1240" w:left="1300" w:right="1300"/>
        </w:sectPr>
      </w:pPr>
    </w:p>
    <w:p>
      <w:pPr>
        <w:pStyle w:val="Heading3"/>
        <w:numPr>
          <w:ilvl w:val="1"/>
          <w:numId w:val="21"/>
        </w:numPr>
        <w:tabs>
          <w:tab w:pos="1535" w:val="left" w:leader="none"/>
        </w:tabs>
        <w:spacing w:line="240" w:lineRule="auto" w:before="73" w:after="0"/>
        <w:ind w:left="1534" w:right="0" w:hanging="360"/>
        <w:jc w:val="left"/>
      </w:pPr>
      <w:bookmarkStart w:name="_bookmark142" w:id="238"/>
      <w:bookmarkEnd w:id="238"/>
      <w:r>
        <w:rPr>
          <w:b w:val="0"/>
        </w:rPr>
      </w:r>
      <w:bookmarkStart w:name="_bookmark142" w:id="239"/>
      <w:bookmarkEnd w:id="239"/>
      <w:r>
        <w:rPr/>
        <w:t>C</w:t>
      </w:r>
      <w:r>
        <w:rPr/>
        <w:t>ontexte en médecine</w:t>
      </w:r>
      <w:r>
        <w:rPr>
          <w:spacing w:val="-8"/>
        </w:rPr>
        <w:t> </w:t>
      </w:r>
      <w:r>
        <w:rPr/>
        <w:t>vétérinaire</w:t>
      </w:r>
    </w:p>
    <w:p>
      <w:pPr>
        <w:pStyle w:val="BodyText"/>
        <w:rPr>
          <w:b/>
          <w:sz w:val="42"/>
        </w:rPr>
      </w:pPr>
    </w:p>
    <w:p>
      <w:pPr>
        <w:pStyle w:val="ListParagraph"/>
        <w:numPr>
          <w:ilvl w:val="0"/>
          <w:numId w:val="24"/>
        </w:numPr>
        <w:tabs>
          <w:tab w:pos="1043" w:val="left" w:leader="none"/>
        </w:tabs>
        <w:spacing w:line="240" w:lineRule="auto" w:before="0" w:after="0"/>
        <w:ind w:left="1042" w:right="0" w:hanging="360"/>
        <w:jc w:val="left"/>
        <w:rPr>
          <w:sz w:val="24"/>
        </w:rPr>
      </w:pPr>
      <w:bookmarkStart w:name="_bookmark143" w:id="240"/>
      <w:bookmarkEnd w:id="240"/>
      <w:r>
        <w:rPr/>
      </w:r>
      <w:bookmarkStart w:name="_bookmark143" w:id="241"/>
      <w:bookmarkEnd w:id="241"/>
      <w:r>
        <w:rPr>
          <w:sz w:val="24"/>
          <w:u w:val="single"/>
        </w:rPr>
        <w:t>M</w:t>
      </w:r>
      <w:r>
        <w:rPr>
          <w:sz w:val="24"/>
          <w:u w:val="single"/>
        </w:rPr>
        <w:t>éthodologie</w:t>
      </w:r>
    </w:p>
    <w:p>
      <w:pPr>
        <w:pStyle w:val="BodyText"/>
        <w:rPr>
          <w:sz w:val="20"/>
        </w:rPr>
      </w:pPr>
    </w:p>
    <w:p>
      <w:pPr>
        <w:pStyle w:val="BodyText"/>
        <w:spacing w:before="8"/>
        <w:rPr>
          <w:sz w:val="21"/>
        </w:rPr>
      </w:pPr>
    </w:p>
    <w:p>
      <w:pPr>
        <w:pStyle w:val="BodyText"/>
        <w:spacing w:line="259" w:lineRule="auto"/>
        <w:ind w:left="116" w:right="116" w:firstLine="707"/>
        <w:jc w:val="both"/>
      </w:pPr>
      <w:r>
        <w:rPr/>
        <w:t>La recherche effectuée sur PubMed a été effectuée comme suit, à partir des molécules retenues précédemment : « nom de la molécule » AND « dog » AND « cat </w:t>
      </w:r>
      <w:r>
        <w:rPr>
          <w:spacing w:val="-4"/>
        </w:rPr>
        <w:t>». </w:t>
      </w:r>
      <w:r>
        <w:rPr/>
        <w:t>La recherche a été effectuée en septembre 2016 et actualisée en avril 2017. </w:t>
      </w:r>
      <w:r>
        <w:rPr>
          <w:spacing w:val="-3"/>
        </w:rPr>
        <w:t>Les </w:t>
      </w:r>
      <w:r>
        <w:rPr/>
        <w:t>articles retenus ont ensuite été sélectionnés selon leur pertinence. Peu d’études étant disponibles avec ce moyen de</w:t>
      </w:r>
      <w:r>
        <w:rPr>
          <w:spacing w:val="-36"/>
        </w:rPr>
        <w:t> </w:t>
      </w:r>
      <w:r>
        <w:rPr/>
        <w:t>recherche, une recherche complémentaire a été effectuée avec la base de données des études en santé animale de l’Association Américaine de Médecine Vétérinaire (American Veterinary Medical Association,</w:t>
      </w:r>
      <w:r>
        <w:rPr>
          <w:spacing w:val="-15"/>
        </w:rPr>
        <w:t> </w:t>
      </w:r>
      <w:r>
        <w:rPr/>
        <w:t>AAHSD</w:t>
      </w:r>
      <w:r>
        <w:rPr>
          <w:spacing w:val="-16"/>
        </w:rPr>
        <w:t> </w:t>
      </w:r>
      <w:r>
        <w:rPr/>
        <w:t>Study</w:t>
      </w:r>
      <w:r>
        <w:rPr>
          <w:spacing w:val="-21"/>
        </w:rPr>
        <w:t> </w:t>
      </w:r>
      <w:r>
        <w:rPr/>
        <w:t>Search)</w:t>
      </w:r>
      <w:r>
        <w:rPr>
          <w:spacing w:val="-15"/>
        </w:rPr>
        <w:t> </w:t>
      </w:r>
      <w:r>
        <w:rPr/>
        <w:t>afin</w:t>
      </w:r>
      <w:r>
        <w:rPr>
          <w:spacing w:val="-16"/>
        </w:rPr>
        <w:t> </w:t>
      </w:r>
      <w:r>
        <w:rPr/>
        <w:t>d’avoir</w:t>
      </w:r>
      <w:r>
        <w:rPr>
          <w:spacing w:val="-14"/>
        </w:rPr>
        <w:t> </w:t>
      </w:r>
      <w:r>
        <w:rPr/>
        <w:t>une</w:t>
      </w:r>
      <w:r>
        <w:rPr>
          <w:spacing w:val="-17"/>
        </w:rPr>
        <w:t> </w:t>
      </w:r>
      <w:r>
        <w:rPr/>
        <w:t>idée</w:t>
      </w:r>
      <w:r>
        <w:rPr>
          <w:spacing w:val="-17"/>
        </w:rPr>
        <w:t> </w:t>
      </w:r>
      <w:r>
        <w:rPr/>
        <w:t>du</w:t>
      </w:r>
      <w:r>
        <w:rPr>
          <w:spacing w:val="-14"/>
        </w:rPr>
        <w:t> </w:t>
      </w:r>
      <w:r>
        <w:rPr/>
        <w:t>nombre</w:t>
      </w:r>
      <w:r>
        <w:rPr>
          <w:spacing w:val="-17"/>
        </w:rPr>
        <w:t> </w:t>
      </w:r>
      <w:r>
        <w:rPr/>
        <w:t>d’essais</w:t>
      </w:r>
      <w:r>
        <w:rPr>
          <w:spacing w:val="-16"/>
        </w:rPr>
        <w:t> </w:t>
      </w:r>
      <w:r>
        <w:rPr/>
        <w:t>cliniques</w:t>
      </w:r>
      <w:r>
        <w:rPr>
          <w:spacing w:val="-16"/>
        </w:rPr>
        <w:t> </w:t>
      </w:r>
      <w:r>
        <w:rPr/>
        <w:t>en</w:t>
      </w:r>
      <w:r>
        <w:rPr>
          <w:spacing w:val="-13"/>
        </w:rPr>
        <w:t> </w:t>
      </w:r>
      <w:r>
        <w:rPr/>
        <w:t>cours dans les universités vétérinaires</w:t>
      </w:r>
      <w:r>
        <w:rPr>
          <w:spacing w:val="-7"/>
        </w:rPr>
        <w:t> </w:t>
      </w:r>
      <w:r>
        <w:rPr/>
        <w:t>nord-américaines.</w:t>
      </w:r>
    </w:p>
    <w:p>
      <w:pPr>
        <w:pStyle w:val="BodyText"/>
        <w:spacing w:line="259" w:lineRule="auto" w:before="163"/>
        <w:ind w:left="116" w:right="114" w:firstLine="707"/>
        <w:jc w:val="both"/>
      </w:pPr>
      <w:r>
        <w:rPr/>
        <w:t>Les portails de toxicologie de l’Institut National de l'Environnement Industriel et des RISques (« INERIS - Portail Substances Chimiques, accueil </w:t>
      </w:r>
      <w:r>
        <w:rPr>
          <w:spacing w:val="-3"/>
        </w:rPr>
        <w:t>»), </w:t>
      </w:r>
      <w:r>
        <w:rPr/>
        <w:t>de l’Organisation de Coopération</w:t>
      </w:r>
      <w:r>
        <w:rPr>
          <w:spacing w:val="-11"/>
        </w:rPr>
        <w:t> </w:t>
      </w:r>
      <w:r>
        <w:rPr/>
        <w:t>et</w:t>
      </w:r>
      <w:r>
        <w:rPr>
          <w:spacing w:val="-11"/>
        </w:rPr>
        <w:t> </w:t>
      </w:r>
      <w:r>
        <w:rPr/>
        <w:t>de</w:t>
      </w:r>
      <w:r>
        <w:rPr>
          <w:spacing w:val="-12"/>
        </w:rPr>
        <w:t> </w:t>
      </w:r>
      <w:r>
        <w:rPr/>
        <w:t>Développement</w:t>
      </w:r>
      <w:r>
        <w:rPr>
          <w:spacing w:val="-11"/>
        </w:rPr>
        <w:t> </w:t>
      </w:r>
      <w:r>
        <w:rPr/>
        <w:t>Economiques</w:t>
      </w:r>
      <w:r>
        <w:rPr>
          <w:spacing w:val="-8"/>
        </w:rPr>
        <w:t> </w:t>
      </w:r>
      <w:r>
        <w:rPr/>
        <w:t>(Organization</w:t>
      </w:r>
      <w:r>
        <w:rPr>
          <w:spacing w:val="-11"/>
        </w:rPr>
        <w:t> </w:t>
      </w:r>
      <w:r>
        <w:rPr/>
        <w:t>for</w:t>
      </w:r>
      <w:r>
        <w:rPr>
          <w:spacing w:val="-13"/>
        </w:rPr>
        <w:t> </w:t>
      </w:r>
      <w:r>
        <w:rPr/>
        <w:t>Economic</w:t>
      </w:r>
      <w:r>
        <w:rPr>
          <w:spacing w:val="-12"/>
        </w:rPr>
        <w:t> </w:t>
      </w:r>
      <w:r>
        <w:rPr/>
        <w:t>Co-operation</w:t>
      </w:r>
      <w:r>
        <w:rPr>
          <w:spacing w:val="-11"/>
        </w:rPr>
        <w:t> </w:t>
      </w:r>
      <w:r>
        <w:rPr/>
        <w:t>and Development « eChemPortal - Substance Search »), ainsi que le portail Toxnet (US National Library</w:t>
      </w:r>
      <w:r>
        <w:rPr>
          <w:spacing w:val="-13"/>
        </w:rPr>
        <w:t> </w:t>
      </w:r>
      <w:r>
        <w:rPr/>
        <w:t>of</w:t>
      </w:r>
      <w:r>
        <w:rPr>
          <w:spacing w:val="-9"/>
        </w:rPr>
        <w:t> </w:t>
      </w:r>
      <w:r>
        <w:rPr/>
        <w:t>Medicine</w:t>
      </w:r>
      <w:r>
        <w:rPr>
          <w:spacing w:val="-5"/>
        </w:rPr>
        <w:t> </w:t>
      </w:r>
      <w:r>
        <w:rPr/>
        <w:t>«</w:t>
      </w:r>
      <w:r>
        <w:rPr>
          <w:spacing w:val="-5"/>
        </w:rPr>
        <w:t> </w:t>
      </w:r>
      <w:r>
        <w:rPr/>
        <w:t>Toxicology</w:t>
      </w:r>
      <w:r>
        <w:rPr>
          <w:spacing w:val="-13"/>
        </w:rPr>
        <w:t> </w:t>
      </w:r>
      <w:r>
        <w:rPr/>
        <w:t>data</w:t>
      </w:r>
      <w:r>
        <w:rPr>
          <w:spacing w:val="-10"/>
        </w:rPr>
        <w:t> </w:t>
      </w:r>
      <w:r>
        <w:rPr/>
        <w:t>Network</w:t>
      </w:r>
      <w:r>
        <w:rPr>
          <w:spacing w:val="3"/>
        </w:rPr>
        <w:t> </w:t>
      </w:r>
      <w:r>
        <w:rPr>
          <w:spacing w:val="-4"/>
        </w:rPr>
        <w:t>»)</w:t>
      </w:r>
      <w:r>
        <w:rPr>
          <w:spacing w:val="-5"/>
        </w:rPr>
        <w:t> </w:t>
      </w:r>
      <w:r>
        <w:rPr/>
        <w:t>ont</w:t>
      </w:r>
      <w:r>
        <w:rPr>
          <w:spacing w:val="-8"/>
        </w:rPr>
        <w:t> </w:t>
      </w:r>
      <w:r>
        <w:rPr/>
        <w:t>également</w:t>
      </w:r>
      <w:r>
        <w:rPr>
          <w:spacing w:val="-8"/>
        </w:rPr>
        <w:t> </w:t>
      </w:r>
      <w:r>
        <w:rPr/>
        <w:t>été</w:t>
      </w:r>
      <w:r>
        <w:rPr>
          <w:spacing w:val="-9"/>
        </w:rPr>
        <w:t> </w:t>
      </w:r>
      <w:r>
        <w:rPr/>
        <w:t>utilisés</w:t>
      </w:r>
      <w:r>
        <w:rPr>
          <w:spacing w:val="-9"/>
        </w:rPr>
        <w:t> </w:t>
      </w:r>
      <w:r>
        <w:rPr/>
        <w:t>afin</w:t>
      </w:r>
      <w:r>
        <w:rPr>
          <w:spacing w:val="-9"/>
        </w:rPr>
        <w:t> </w:t>
      </w:r>
      <w:r>
        <w:rPr/>
        <w:t>d’obtenir</w:t>
      </w:r>
      <w:r>
        <w:rPr>
          <w:spacing w:val="-9"/>
        </w:rPr>
        <w:t> </w:t>
      </w:r>
      <w:r>
        <w:rPr/>
        <w:t>des données sur les animaux de laboratoire pour les cas où les études cliniques</w:t>
      </w:r>
      <w:r>
        <w:rPr>
          <w:spacing w:val="-13"/>
        </w:rPr>
        <w:t> </w:t>
      </w:r>
      <w:r>
        <w:rPr/>
        <w:t>manquaient.</w:t>
      </w:r>
    </w:p>
    <w:p>
      <w:pPr>
        <w:pStyle w:val="BodyText"/>
        <w:rPr>
          <w:sz w:val="26"/>
        </w:rPr>
      </w:pPr>
    </w:p>
    <w:p>
      <w:pPr>
        <w:pStyle w:val="BodyText"/>
        <w:spacing w:before="10"/>
        <w:rPr>
          <w:sz w:val="27"/>
        </w:rPr>
      </w:pPr>
    </w:p>
    <w:p>
      <w:pPr>
        <w:pStyle w:val="ListParagraph"/>
        <w:numPr>
          <w:ilvl w:val="0"/>
          <w:numId w:val="24"/>
        </w:numPr>
        <w:tabs>
          <w:tab w:pos="1043" w:val="left" w:leader="none"/>
        </w:tabs>
        <w:spacing w:line="240" w:lineRule="auto" w:before="0" w:after="0"/>
        <w:ind w:left="1042" w:right="0" w:hanging="360"/>
        <w:jc w:val="left"/>
        <w:rPr>
          <w:sz w:val="24"/>
        </w:rPr>
      </w:pPr>
      <w:bookmarkStart w:name="_bookmark144" w:id="242"/>
      <w:bookmarkEnd w:id="242"/>
      <w:r>
        <w:rPr/>
      </w:r>
      <w:bookmarkStart w:name="_bookmark144" w:id="243"/>
      <w:bookmarkEnd w:id="243"/>
      <w:r>
        <w:rPr>
          <w:sz w:val="24"/>
          <w:u w:val="single"/>
        </w:rPr>
        <w:t>R</w:t>
      </w:r>
      <w:r>
        <w:rPr>
          <w:sz w:val="24"/>
          <w:u w:val="single"/>
        </w:rPr>
        <w:t>ésultats</w:t>
      </w:r>
    </w:p>
    <w:p>
      <w:pPr>
        <w:pStyle w:val="BodyText"/>
        <w:rPr>
          <w:sz w:val="20"/>
        </w:rPr>
      </w:pPr>
    </w:p>
    <w:p>
      <w:pPr>
        <w:pStyle w:val="BodyText"/>
        <w:spacing w:before="8"/>
        <w:rPr>
          <w:sz w:val="21"/>
        </w:rPr>
      </w:pPr>
    </w:p>
    <w:p>
      <w:pPr>
        <w:pStyle w:val="BodyText"/>
        <w:spacing w:line="259" w:lineRule="auto"/>
        <w:ind w:left="116" w:right="117" w:firstLine="707"/>
        <w:jc w:val="both"/>
      </w:pPr>
      <w:r>
        <w:rPr/>
        <w:t>Peu d’études sont malheureusement disponibles aujourd’hui ; nous proposons cependant un bilan de ce qui existe en médecine vétérinaire.</w:t>
      </w:r>
    </w:p>
    <w:p>
      <w:pPr>
        <w:pStyle w:val="BodyText"/>
        <w:rPr>
          <w:sz w:val="26"/>
        </w:rPr>
      </w:pPr>
    </w:p>
    <w:p>
      <w:pPr>
        <w:pStyle w:val="Heading5"/>
        <w:numPr>
          <w:ilvl w:val="1"/>
          <w:numId w:val="24"/>
        </w:numPr>
        <w:tabs>
          <w:tab w:pos="2252" w:val="left" w:leader="none"/>
          <w:tab w:pos="2253" w:val="left" w:leader="none"/>
        </w:tabs>
        <w:spacing w:line="240" w:lineRule="auto" w:before="164" w:after="0"/>
        <w:ind w:left="2252" w:right="0" w:hanging="720"/>
        <w:jc w:val="left"/>
        <w:rPr>
          <w:i/>
        </w:rPr>
      </w:pPr>
      <w:bookmarkStart w:name="_bookmark145" w:id="244"/>
      <w:bookmarkEnd w:id="244"/>
      <w:r>
        <w:rPr>
          <w:b w:val="0"/>
          <w:i w:val="0"/>
        </w:rPr>
      </w:r>
      <w:bookmarkStart w:name="_bookmark145" w:id="245"/>
      <w:bookmarkEnd w:id="245"/>
      <w:r>
        <w:rPr>
          <w:i/>
        </w:rPr>
        <w:t>L</w:t>
      </w:r>
      <w:r>
        <w:rPr>
          <w:i/>
        </w:rPr>
        <w:t>’utilisation des inhibiteurs de pompes à protons</w:t>
      </w:r>
      <w:r>
        <w:rPr>
          <w:i/>
          <w:spacing w:val="-19"/>
        </w:rPr>
        <w:t> </w:t>
      </w:r>
      <w:r>
        <w:rPr>
          <w:i/>
        </w:rPr>
        <w:t>(IPP)</w:t>
      </w:r>
    </w:p>
    <w:p>
      <w:pPr>
        <w:pStyle w:val="BodyText"/>
        <w:rPr>
          <w:b/>
          <w:i/>
          <w:sz w:val="26"/>
        </w:rPr>
      </w:pPr>
    </w:p>
    <w:p>
      <w:pPr>
        <w:pStyle w:val="BodyText"/>
        <w:spacing w:line="259" w:lineRule="auto" w:before="175"/>
        <w:ind w:left="116" w:right="117" w:firstLine="707"/>
        <w:jc w:val="both"/>
      </w:pPr>
      <w:r>
        <w:rPr/>
        <w:t>Une</w:t>
      </w:r>
      <w:r>
        <w:rPr>
          <w:spacing w:val="-17"/>
        </w:rPr>
        <w:t> </w:t>
      </w:r>
      <w:r>
        <w:rPr/>
        <w:t>première</w:t>
      </w:r>
      <w:r>
        <w:rPr>
          <w:spacing w:val="-15"/>
        </w:rPr>
        <w:t> </w:t>
      </w:r>
      <w:r>
        <w:rPr/>
        <w:t>étude</w:t>
      </w:r>
      <w:r>
        <w:rPr>
          <w:spacing w:val="-12"/>
        </w:rPr>
        <w:t> </w:t>
      </w:r>
      <w:r>
        <w:rPr/>
        <w:t>concerne</w:t>
      </w:r>
      <w:r>
        <w:rPr>
          <w:spacing w:val="-15"/>
        </w:rPr>
        <w:t> </w:t>
      </w:r>
      <w:r>
        <w:rPr/>
        <w:t>des</w:t>
      </w:r>
      <w:r>
        <w:rPr>
          <w:spacing w:val="-13"/>
        </w:rPr>
        <w:t> </w:t>
      </w:r>
      <w:r>
        <w:rPr/>
        <w:t>animaux</w:t>
      </w:r>
      <w:r>
        <w:rPr>
          <w:spacing w:val="-14"/>
        </w:rPr>
        <w:t> </w:t>
      </w:r>
      <w:r>
        <w:rPr/>
        <w:t>dont</w:t>
      </w:r>
      <w:r>
        <w:rPr>
          <w:spacing w:val="-15"/>
        </w:rPr>
        <w:t> </w:t>
      </w:r>
      <w:r>
        <w:rPr/>
        <w:t>la</w:t>
      </w:r>
      <w:r>
        <w:rPr>
          <w:spacing w:val="-14"/>
        </w:rPr>
        <w:t> </w:t>
      </w:r>
      <w:r>
        <w:rPr/>
        <w:t>progression</w:t>
      </w:r>
      <w:r>
        <w:rPr>
          <w:spacing w:val="-16"/>
        </w:rPr>
        <w:t> </w:t>
      </w:r>
      <w:r>
        <w:rPr/>
        <w:t>tumorale</w:t>
      </w:r>
      <w:r>
        <w:rPr>
          <w:spacing w:val="-17"/>
        </w:rPr>
        <w:t> </w:t>
      </w:r>
      <w:r>
        <w:rPr/>
        <w:t>continue</w:t>
      </w:r>
      <w:r>
        <w:rPr>
          <w:spacing w:val="-17"/>
        </w:rPr>
        <w:t> </w:t>
      </w:r>
      <w:r>
        <w:rPr/>
        <w:t>malgré la chimiothérapie mise en place (Spugnini et al., 2011). Elle consiste à évaluer la capacité du lansoprazole</w:t>
      </w:r>
      <w:r>
        <w:rPr>
          <w:spacing w:val="-8"/>
        </w:rPr>
        <w:t> </w:t>
      </w:r>
      <w:r>
        <w:rPr/>
        <w:t>à</w:t>
      </w:r>
      <w:r>
        <w:rPr>
          <w:spacing w:val="-8"/>
        </w:rPr>
        <w:t> </w:t>
      </w:r>
      <w:r>
        <w:rPr/>
        <w:t>lever</w:t>
      </w:r>
      <w:r>
        <w:rPr>
          <w:spacing w:val="-8"/>
        </w:rPr>
        <w:t> </w:t>
      </w:r>
      <w:r>
        <w:rPr/>
        <w:t>la</w:t>
      </w:r>
      <w:r>
        <w:rPr>
          <w:spacing w:val="-8"/>
        </w:rPr>
        <w:t> </w:t>
      </w:r>
      <w:r>
        <w:rPr/>
        <w:t>chimiorésistance</w:t>
      </w:r>
      <w:r>
        <w:rPr>
          <w:spacing w:val="-8"/>
        </w:rPr>
        <w:t> </w:t>
      </w:r>
      <w:r>
        <w:rPr/>
        <w:t>(cancers</w:t>
      </w:r>
      <w:r>
        <w:rPr>
          <w:spacing w:val="-8"/>
        </w:rPr>
        <w:t> </w:t>
      </w:r>
      <w:r>
        <w:rPr/>
        <w:t>réfractaires,</w:t>
      </w:r>
      <w:r>
        <w:rPr>
          <w:spacing w:val="-7"/>
        </w:rPr>
        <w:t> </w:t>
      </w:r>
      <w:r>
        <w:rPr/>
        <w:t>tumeurs</w:t>
      </w:r>
      <w:r>
        <w:rPr>
          <w:spacing w:val="-8"/>
        </w:rPr>
        <w:t> </w:t>
      </w:r>
      <w:r>
        <w:rPr/>
        <w:t>qui</w:t>
      </w:r>
      <w:r>
        <w:rPr>
          <w:spacing w:val="-7"/>
        </w:rPr>
        <w:t> </w:t>
      </w:r>
      <w:r>
        <w:rPr/>
        <w:t>ne</w:t>
      </w:r>
      <w:r>
        <w:rPr>
          <w:spacing w:val="-8"/>
        </w:rPr>
        <w:t> </w:t>
      </w:r>
      <w:r>
        <w:rPr/>
        <w:t>répondent</w:t>
      </w:r>
      <w:r>
        <w:rPr>
          <w:spacing w:val="-7"/>
        </w:rPr>
        <w:t> </w:t>
      </w:r>
      <w:r>
        <w:rPr/>
        <w:t>plus</w:t>
      </w:r>
      <w:r>
        <w:rPr>
          <w:spacing w:val="-7"/>
        </w:rPr>
        <w:t> </w:t>
      </w:r>
      <w:r>
        <w:rPr/>
        <w:t>au traitement conventionnel). </w:t>
      </w:r>
      <w:r>
        <w:rPr>
          <w:spacing w:val="-3"/>
        </w:rPr>
        <w:t>Le </w:t>
      </w:r>
      <w:r>
        <w:rPr/>
        <w:t>lansoprazole est un inhibiteur de pompes à protons activé dans un environnement acide. </w:t>
      </w:r>
      <w:r>
        <w:rPr>
          <w:spacing w:val="-3"/>
        </w:rPr>
        <w:t>Il </w:t>
      </w:r>
      <w:r>
        <w:rPr/>
        <w:t>est habituellement utilisé à une faible dose de 1 mg/kg pour le traitement de l’acidité gastrique ou à plus forte dose (2 mg/kg) pour le traitement des gastrinomes.</w:t>
      </w:r>
    </w:p>
    <w:p>
      <w:pPr>
        <w:pStyle w:val="BodyText"/>
        <w:spacing w:line="259" w:lineRule="auto" w:before="2"/>
        <w:ind w:left="116" w:right="115" w:firstLine="707"/>
        <w:jc w:val="both"/>
      </w:pPr>
      <w:r>
        <w:rPr/>
        <w:t>Le groupe témoin est constitué de 17 animaux (10 chiens et 7 chats) pour lesquels les propriétaires ont choisi de poursuivre la chimiothérapie (sans IPP). Les animaux de l’étude</w:t>
      </w:r>
      <w:r>
        <w:rPr>
          <w:spacing w:val="-37"/>
        </w:rPr>
        <w:t> </w:t>
      </w:r>
      <w:r>
        <w:rPr/>
        <w:t>ont reçu du lansoprazole en plus de la chimiothérapie. 27 chiens et 7 chats de propriétaires ont été enrôlés dans l’étude entre septembre 2009 et avril</w:t>
      </w:r>
      <w:r>
        <w:rPr>
          <w:spacing w:val="-9"/>
        </w:rPr>
        <w:t> </w:t>
      </w:r>
      <w:r>
        <w:rPr/>
        <w:t>2011.</w:t>
      </w:r>
    </w:p>
    <w:p>
      <w:pPr>
        <w:pStyle w:val="BodyText"/>
        <w:spacing w:line="259" w:lineRule="auto" w:before="163"/>
        <w:ind w:left="116" w:right="120" w:firstLine="707"/>
        <w:jc w:val="both"/>
      </w:pPr>
      <w:r>
        <w:rPr/>
        <w:t>Le protocole consiste en une dose d’attaque de lansoprazole 5 mg/kg SID pendant 3 jours consécutifs en même temps que l’administration de la chimiothérapie (pour diminuer le pH dans l’environnement tumoral et favoriser la réponse à la chimiothérapie), puis d’une dose à 1 mg/kg SID (pour éviter une hyperacidité gastrique rebond) pendant 4 jours.</w:t>
      </w:r>
    </w:p>
    <w:p>
      <w:pPr>
        <w:spacing w:after="0" w:line="259" w:lineRule="auto"/>
        <w:jc w:val="both"/>
        <w:sectPr>
          <w:footerReference w:type="even" r:id="rId49"/>
          <w:footerReference w:type="default" r:id="rId50"/>
          <w:pgSz w:w="11910" w:h="16840"/>
          <w:pgMar w:footer="1055" w:header="0" w:top="1320" w:bottom="1240" w:left="1300" w:right="1300"/>
        </w:sectPr>
      </w:pPr>
    </w:p>
    <w:p>
      <w:pPr>
        <w:pStyle w:val="BodyText"/>
        <w:spacing w:line="259" w:lineRule="auto" w:before="72"/>
        <w:ind w:left="216" w:right="216" w:firstLine="707"/>
        <w:jc w:val="both"/>
      </w:pPr>
      <w:bookmarkStart w:name="_bookmark146" w:id="246"/>
      <w:bookmarkEnd w:id="246"/>
      <w:r>
        <w:rPr/>
      </w:r>
      <w:r>
        <w:rPr/>
        <w:t>La réponse au traitement et la toxicité sont évaluées systématiquement, ainsi qu’un examen</w:t>
      </w:r>
      <w:r>
        <w:rPr>
          <w:spacing w:val="-14"/>
        </w:rPr>
        <w:t> </w:t>
      </w:r>
      <w:r>
        <w:rPr/>
        <w:t>physique</w:t>
      </w:r>
      <w:r>
        <w:rPr>
          <w:spacing w:val="-11"/>
        </w:rPr>
        <w:t> </w:t>
      </w:r>
      <w:r>
        <w:rPr/>
        <w:t>et</w:t>
      </w:r>
      <w:r>
        <w:rPr>
          <w:spacing w:val="-13"/>
        </w:rPr>
        <w:t> </w:t>
      </w:r>
      <w:r>
        <w:rPr/>
        <w:t>une</w:t>
      </w:r>
      <w:r>
        <w:rPr>
          <w:spacing w:val="-12"/>
        </w:rPr>
        <w:t> </w:t>
      </w:r>
      <w:r>
        <w:rPr/>
        <w:t>mesure</w:t>
      </w:r>
      <w:r>
        <w:rPr>
          <w:spacing w:val="-14"/>
        </w:rPr>
        <w:t> </w:t>
      </w:r>
      <w:r>
        <w:rPr/>
        <w:t>de</w:t>
      </w:r>
      <w:r>
        <w:rPr>
          <w:spacing w:val="-14"/>
        </w:rPr>
        <w:t> </w:t>
      </w:r>
      <w:r>
        <w:rPr/>
        <w:t>la</w:t>
      </w:r>
      <w:r>
        <w:rPr>
          <w:spacing w:val="-14"/>
        </w:rPr>
        <w:t> </w:t>
      </w:r>
      <w:r>
        <w:rPr/>
        <w:t>tumeur.</w:t>
      </w:r>
      <w:r>
        <w:rPr>
          <w:spacing w:val="-14"/>
        </w:rPr>
        <w:t> </w:t>
      </w:r>
      <w:r>
        <w:rPr/>
        <w:t>Des</w:t>
      </w:r>
      <w:r>
        <w:rPr>
          <w:spacing w:val="-11"/>
        </w:rPr>
        <w:t> </w:t>
      </w:r>
      <w:r>
        <w:rPr/>
        <w:t>radiographies</w:t>
      </w:r>
      <w:r>
        <w:rPr>
          <w:spacing w:val="-14"/>
        </w:rPr>
        <w:t> </w:t>
      </w:r>
      <w:r>
        <w:rPr/>
        <w:t>thoraciques</w:t>
      </w:r>
      <w:r>
        <w:rPr>
          <w:spacing w:val="-13"/>
        </w:rPr>
        <w:t> </w:t>
      </w:r>
      <w:r>
        <w:rPr/>
        <w:t>et</w:t>
      </w:r>
      <w:r>
        <w:rPr>
          <w:spacing w:val="-13"/>
        </w:rPr>
        <w:t> </w:t>
      </w:r>
      <w:r>
        <w:rPr/>
        <w:t>une</w:t>
      </w:r>
      <w:r>
        <w:rPr>
          <w:spacing w:val="-14"/>
        </w:rPr>
        <w:t> </w:t>
      </w:r>
      <w:r>
        <w:rPr/>
        <w:t>échographie abdominale sont réalisées tous les 2 mois pour documenter l’extension de la tumeur. Le traitement était poursuivi pendant 6 mois après rémission complète dans le cas des patients atteints de lymphome, et pendant 3 mois après rémission pour les tumeurs</w:t>
      </w:r>
      <w:r>
        <w:rPr>
          <w:spacing w:val="-8"/>
        </w:rPr>
        <w:t> </w:t>
      </w:r>
      <w:r>
        <w:rPr/>
        <w:t>solides.</w:t>
      </w:r>
    </w:p>
    <w:p>
      <w:pPr>
        <w:pStyle w:val="BodyText"/>
        <w:spacing w:line="259" w:lineRule="auto" w:before="163"/>
        <w:ind w:left="216" w:right="216" w:firstLine="707"/>
        <w:jc w:val="both"/>
      </w:pPr>
      <w:r>
        <w:rPr/>
        <w:t>Les résultats sont globalement satisfaisants : le lansoprazole est en majorité bien toléré (4 chiens ont eu des effets secondaires gastro-intestinaux avec vomissements, diarrhées et flatulences), et 67,6% des animaux ont montré une réponse partielle ou complète (contre 17% de réponse partielle uniquement pour le groupe témoin). Les animaux de l’étude n’ayant pas répondu ont néanmoins montré une amélioration significative de leur qualité de vie (réduction de la douleur et amélioration de leur statut de Karnofski). Ces résultats suggèrent que le lansoprazole contribue à lever la chimiorésistance, tout en améliorant la qualité de vie et en étant généralement bien toléré.</w:t>
      </w:r>
    </w:p>
    <w:p>
      <w:pPr>
        <w:pStyle w:val="BodyText"/>
        <w:spacing w:line="259" w:lineRule="auto" w:before="163"/>
        <w:ind w:left="216" w:right="214" w:firstLine="707"/>
        <w:jc w:val="both"/>
      </w:pPr>
      <w:r>
        <w:rPr/>
        <w:t>Le même groupe s’est ensuite intéressé à l’efficacité du lansoprazole non pas sur </w:t>
      </w:r>
      <w:r>
        <w:rPr>
          <w:spacing w:val="1"/>
        </w:rPr>
        <w:t>des </w:t>
      </w:r>
      <w:r>
        <w:rPr/>
        <w:t>tumeurs</w:t>
      </w:r>
      <w:r>
        <w:rPr>
          <w:spacing w:val="-15"/>
        </w:rPr>
        <w:t> </w:t>
      </w:r>
      <w:r>
        <w:rPr/>
        <w:t>chimiorésistantes,</w:t>
      </w:r>
      <w:r>
        <w:rPr>
          <w:spacing w:val="-14"/>
        </w:rPr>
        <w:t> </w:t>
      </w:r>
      <w:r>
        <w:rPr/>
        <w:t>mais</w:t>
      </w:r>
      <w:r>
        <w:rPr>
          <w:spacing w:val="-14"/>
        </w:rPr>
        <w:t> </w:t>
      </w:r>
      <w:r>
        <w:rPr/>
        <w:t>en</w:t>
      </w:r>
      <w:r>
        <w:rPr>
          <w:spacing w:val="-14"/>
        </w:rPr>
        <w:t> </w:t>
      </w:r>
      <w:r>
        <w:rPr/>
        <w:t>association</w:t>
      </w:r>
      <w:r>
        <w:rPr>
          <w:spacing w:val="-14"/>
        </w:rPr>
        <w:t> </w:t>
      </w:r>
      <w:r>
        <w:rPr/>
        <w:t>avec</w:t>
      </w:r>
      <w:r>
        <w:rPr>
          <w:spacing w:val="-15"/>
        </w:rPr>
        <w:t> </w:t>
      </w:r>
      <w:r>
        <w:rPr/>
        <w:t>la</w:t>
      </w:r>
      <w:r>
        <w:rPr>
          <w:spacing w:val="-15"/>
        </w:rPr>
        <w:t> </w:t>
      </w:r>
      <w:r>
        <w:rPr/>
        <w:t>chimiothérapie</w:t>
      </w:r>
      <w:r>
        <w:rPr>
          <w:spacing w:val="-15"/>
        </w:rPr>
        <w:t> </w:t>
      </w:r>
      <w:r>
        <w:rPr/>
        <w:t>métronomique</w:t>
      </w:r>
      <w:r>
        <w:rPr>
          <w:spacing w:val="-11"/>
        </w:rPr>
        <w:t> </w:t>
      </w:r>
      <w:r>
        <w:rPr/>
        <w:t>(Spugnini et al., 2014). Le groupe témoin est un groupe historique constitué de 10 animaux uniquement traités avec de la chimiothérapie</w:t>
      </w:r>
      <w:r>
        <w:rPr>
          <w:spacing w:val="-8"/>
        </w:rPr>
        <w:t> </w:t>
      </w:r>
      <w:r>
        <w:rPr/>
        <w:t>métronomique.</w:t>
      </w:r>
    </w:p>
    <w:p>
      <w:pPr>
        <w:pStyle w:val="BodyText"/>
        <w:spacing w:line="259" w:lineRule="auto" w:before="163"/>
        <w:ind w:left="216" w:right="218" w:firstLine="707"/>
        <w:jc w:val="both"/>
      </w:pPr>
      <w:r>
        <w:rPr/>
        <w:t>24 animaux (22 chiens et 2 chats) sont enrôlés dans l’étude (stade avancé, métastases ou chimiorésistance de cancers solides). En plus de leur chimiothérapie métronomique (cyclophosphamide</w:t>
      </w:r>
      <w:r>
        <w:rPr>
          <w:spacing w:val="-14"/>
        </w:rPr>
        <w:t> </w:t>
      </w:r>
      <w:r>
        <w:rPr/>
        <w:t>12,5</w:t>
      </w:r>
      <w:r>
        <w:rPr>
          <w:spacing w:val="-10"/>
        </w:rPr>
        <w:t> </w:t>
      </w:r>
      <w:r>
        <w:rPr/>
        <w:t>mg/m²</w:t>
      </w:r>
      <w:r>
        <w:rPr>
          <w:spacing w:val="-13"/>
        </w:rPr>
        <w:t> </w:t>
      </w:r>
      <w:r>
        <w:rPr/>
        <w:t>et</w:t>
      </w:r>
      <w:r>
        <w:rPr>
          <w:spacing w:val="-13"/>
        </w:rPr>
        <w:t> </w:t>
      </w:r>
      <w:r>
        <w:rPr/>
        <w:t>piroxicam</w:t>
      </w:r>
      <w:r>
        <w:rPr>
          <w:spacing w:val="-13"/>
        </w:rPr>
        <w:t> </w:t>
      </w:r>
      <w:r>
        <w:rPr/>
        <w:t>0,3</w:t>
      </w:r>
      <w:r>
        <w:rPr>
          <w:spacing w:val="-12"/>
        </w:rPr>
        <w:t> </w:t>
      </w:r>
      <w:r>
        <w:rPr/>
        <w:t>mg/kg)</w:t>
      </w:r>
      <w:r>
        <w:rPr>
          <w:spacing w:val="-14"/>
        </w:rPr>
        <w:t> </w:t>
      </w:r>
      <w:r>
        <w:rPr/>
        <w:t>est</w:t>
      </w:r>
      <w:r>
        <w:rPr>
          <w:spacing w:val="-11"/>
        </w:rPr>
        <w:t> </w:t>
      </w:r>
      <w:r>
        <w:rPr/>
        <w:t>ajouté</w:t>
      </w:r>
      <w:r>
        <w:rPr>
          <w:spacing w:val="-14"/>
        </w:rPr>
        <w:t> </w:t>
      </w:r>
      <w:r>
        <w:rPr/>
        <w:t>du</w:t>
      </w:r>
      <w:r>
        <w:rPr>
          <w:spacing w:val="-13"/>
        </w:rPr>
        <w:t> </w:t>
      </w:r>
      <w:r>
        <w:rPr/>
        <w:t>lansoprazole</w:t>
      </w:r>
      <w:r>
        <w:rPr>
          <w:spacing w:val="-14"/>
        </w:rPr>
        <w:t> </w:t>
      </w:r>
      <w:r>
        <w:rPr/>
        <w:t>à</w:t>
      </w:r>
      <w:r>
        <w:rPr>
          <w:spacing w:val="-14"/>
        </w:rPr>
        <w:t> </w:t>
      </w:r>
      <w:r>
        <w:rPr/>
        <w:t>haute</w:t>
      </w:r>
      <w:r>
        <w:rPr>
          <w:spacing w:val="-14"/>
        </w:rPr>
        <w:t> </w:t>
      </w:r>
      <w:r>
        <w:rPr/>
        <w:t>dose (5</w:t>
      </w:r>
      <w:r>
        <w:rPr>
          <w:spacing w:val="-7"/>
        </w:rPr>
        <w:t> </w:t>
      </w:r>
      <w:r>
        <w:rPr/>
        <w:t>mg/kg</w:t>
      </w:r>
      <w:r>
        <w:rPr>
          <w:spacing w:val="-9"/>
        </w:rPr>
        <w:t> </w:t>
      </w:r>
      <w:r>
        <w:rPr/>
        <w:t>pendant</w:t>
      </w:r>
      <w:r>
        <w:rPr>
          <w:spacing w:val="-6"/>
        </w:rPr>
        <w:t> </w:t>
      </w:r>
      <w:r>
        <w:rPr/>
        <w:t>3</w:t>
      </w:r>
      <w:r>
        <w:rPr>
          <w:spacing w:val="-6"/>
        </w:rPr>
        <w:t> </w:t>
      </w:r>
      <w:r>
        <w:rPr/>
        <w:t>jours</w:t>
      </w:r>
      <w:r>
        <w:rPr>
          <w:spacing w:val="-4"/>
        </w:rPr>
        <w:t> </w:t>
      </w:r>
      <w:r>
        <w:rPr/>
        <w:t>puis</w:t>
      </w:r>
      <w:r>
        <w:rPr>
          <w:spacing w:val="-6"/>
        </w:rPr>
        <w:t> </w:t>
      </w:r>
      <w:r>
        <w:rPr/>
        <w:t>1</w:t>
      </w:r>
      <w:r>
        <w:rPr>
          <w:spacing w:val="-5"/>
        </w:rPr>
        <w:t> </w:t>
      </w:r>
      <w:r>
        <w:rPr/>
        <w:t>mg/kg</w:t>
      </w:r>
      <w:r>
        <w:rPr>
          <w:spacing w:val="-8"/>
        </w:rPr>
        <w:t> </w:t>
      </w:r>
      <w:r>
        <w:rPr/>
        <w:t>pendant</w:t>
      </w:r>
      <w:r>
        <w:rPr>
          <w:spacing w:val="-6"/>
        </w:rPr>
        <w:t> </w:t>
      </w:r>
      <w:r>
        <w:rPr/>
        <w:t>4</w:t>
      </w:r>
      <w:r>
        <w:rPr>
          <w:spacing w:val="-6"/>
        </w:rPr>
        <w:t> </w:t>
      </w:r>
      <w:r>
        <w:rPr/>
        <w:t>jours)</w:t>
      </w:r>
      <w:r>
        <w:rPr>
          <w:spacing w:val="-7"/>
        </w:rPr>
        <w:t> </w:t>
      </w:r>
      <w:r>
        <w:rPr/>
        <w:t>et</w:t>
      </w:r>
      <w:r>
        <w:rPr>
          <w:spacing w:val="-6"/>
        </w:rPr>
        <w:t> </w:t>
      </w:r>
      <w:r>
        <w:rPr/>
        <w:t>du</w:t>
      </w:r>
      <w:r>
        <w:rPr>
          <w:spacing w:val="-6"/>
        </w:rPr>
        <w:t> </w:t>
      </w:r>
      <w:r>
        <w:rPr/>
        <w:t>bicarbonate</w:t>
      </w:r>
      <w:r>
        <w:rPr>
          <w:spacing w:val="-7"/>
        </w:rPr>
        <w:t> </w:t>
      </w:r>
      <w:r>
        <w:rPr/>
        <w:t>de</w:t>
      </w:r>
      <w:r>
        <w:rPr>
          <w:spacing w:val="-7"/>
        </w:rPr>
        <w:t> </w:t>
      </w:r>
      <w:r>
        <w:rPr/>
        <w:t>sodium</w:t>
      </w:r>
      <w:r>
        <w:rPr>
          <w:spacing w:val="-6"/>
        </w:rPr>
        <w:t> </w:t>
      </w:r>
      <w:r>
        <w:rPr/>
        <w:t>dans</w:t>
      </w:r>
      <w:r>
        <w:rPr>
          <w:spacing w:val="-6"/>
        </w:rPr>
        <w:t> </w:t>
      </w:r>
      <w:r>
        <w:rPr/>
        <w:t>l’eau de boisson (le pH de l’eau de boisson doit être de 9). Pour les chats, la chimiothérapie métronomique utilisée est le chlorambucil (4 mg/m²) et le piroxicam (0,3</w:t>
      </w:r>
      <w:r>
        <w:rPr>
          <w:spacing w:val="-19"/>
        </w:rPr>
        <w:t> </w:t>
      </w:r>
      <w:r>
        <w:rPr/>
        <w:t>mg/kg).</w:t>
      </w:r>
    </w:p>
    <w:p>
      <w:pPr>
        <w:pStyle w:val="BodyText"/>
        <w:spacing w:line="259" w:lineRule="auto" w:before="163"/>
        <w:ind w:left="216" w:right="217" w:firstLine="707"/>
        <w:jc w:val="both"/>
      </w:pPr>
      <w:r>
        <w:rPr/>
        <w:t>La réponse au traitement et la toxicité sont évalués systématiquement, ainsi qu’un examen</w:t>
      </w:r>
      <w:r>
        <w:rPr>
          <w:spacing w:val="-14"/>
        </w:rPr>
        <w:t> </w:t>
      </w:r>
      <w:r>
        <w:rPr/>
        <w:t>physique</w:t>
      </w:r>
      <w:r>
        <w:rPr>
          <w:spacing w:val="-11"/>
        </w:rPr>
        <w:t> </w:t>
      </w:r>
      <w:r>
        <w:rPr/>
        <w:t>et</w:t>
      </w:r>
      <w:r>
        <w:rPr>
          <w:spacing w:val="-13"/>
        </w:rPr>
        <w:t> </w:t>
      </w:r>
      <w:r>
        <w:rPr/>
        <w:t>une</w:t>
      </w:r>
      <w:r>
        <w:rPr>
          <w:spacing w:val="-12"/>
        </w:rPr>
        <w:t> </w:t>
      </w:r>
      <w:r>
        <w:rPr/>
        <w:t>mesure</w:t>
      </w:r>
      <w:r>
        <w:rPr>
          <w:spacing w:val="-14"/>
        </w:rPr>
        <w:t> </w:t>
      </w:r>
      <w:r>
        <w:rPr/>
        <w:t>de</w:t>
      </w:r>
      <w:r>
        <w:rPr>
          <w:spacing w:val="-14"/>
        </w:rPr>
        <w:t> </w:t>
      </w:r>
      <w:r>
        <w:rPr/>
        <w:t>la</w:t>
      </w:r>
      <w:r>
        <w:rPr>
          <w:spacing w:val="-14"/>
        </w:rPr>
        <w:t> </w:t>
      </w:r>
      <w:r>
        <w:rPr/>
        <w:t>tumeur.</w:t>
      </w:r>
      <w:r>
        <w:rPr>
          <w:spacing w:val="-14"/>
        </w:rPr>
        <w:t> </w:t>
      </w:r>
      <w:r>
        <w:rPr/>
        <w:t>Des</w:t>
      </w:r>
      <w:r>
        <w:rPr>
          <w:spacing w:val="-11"/>
        </w:rPr>
        <w:t> </w:t>
      </w:r>
      <w:r>
        <w:rPr/>
        <w:t>radiographies</w:t>
      </w:r>
      <w:r>
        <w:rPr>
          <w:spacing w:val="-14"/>
        </w:rPr>
        <w:t> </w:t>
      </w:r>
      <w:r>
        <w:rPr/>
        <w:t>thoraciques</w:t>
      </w:r>
      <w:r>
        <w:rPr>
          <w:spacing w:val="-13"/>
        </w:rPr>
        <w:t> </w:t>
      </w:r>
      <w:r>
        <w:rPr/>
        <w:t>et</w:t>
      </w:r>
      <w:r>
        <w:rPr>
          <w:spacing w:val="-13"/>
        </w:rPr>
        <w:t> </w:t>
      </w:r>
      <w:r>
        <w:rPr/>
        <w:t>une</w:t>
      </w:r>
      <w:r>
        <w:rPr>
          <w:spacing w:val="-14"/>
        </w:rPr>
        <w:t> </w:t>
      </w:r>
      <w:r>
        <w:rPr/>
        <w:t>échographie abdominale sont réalisées tous les 2 mois pour documenter l’extension de la tumeur. Des analyses biochimiques et de numération formule sont effectuées toutes les 2 semaines. Le traitement était poursuivi pendant 1 an après rémission complète. Selon les cas, l’arrêt de la chimiothérapie métronomique était effectué plus</w:t>
      </w:r>
      <w:r>
        <w:rPr>
          <w:spacing w:val="-7"/>
        </w:rPr>
        <w:t> </w:t>
      </w:r>
      <w:r>
        <w:rPr/>
        <w:t>tôt.</w:t>
      </w:r>
    </w:p>
    <w:p>
      <w:pPr>
        <w:pStyle w:val="BodyText"/>
        <w:spacing w:line="259" w:lineRule="auto" w:before="161"/>
        <w:ind w:left="216" w:right="215" w:firstLine="707"/>
        <w:jc w:val="both"/>
      </w:pPr>
      <w:r>
        <w:rPr/>
        <w:t>Les résultats sont globalement satisfaisants, seulement 2 chiens présentent des effets secondaires gastro-intestinaux (vomissements, diarrhée). 75% des patients présentent une réponse partielle ou complète, contre 40% pour le groupe témoin. La médiane de survie est de 34 semaines pour le groupe de l’étude contre 2 semaines pour le contrôle (p = 0,042).</w:t>
      </w:r>
    </w:p>
    <w:p>
      <w:pPr>
        <w:pStyle w:val="BodyText"/>
        <w:spacing w:line="256" w:lineRule="auto" w:before="163"/>
        <w:ind w:left="216" w:right="218" w:firstLine="707"/>
        <w:jc w:val="both"/>
      </w:pPr>
      <w:r>
        <w:rPr/>
        <w:t>L’ajout de lansoprazole et l’alcalinisation de l’eau de boisson sont globalement bien tolérés,</w:t>
      </w:r>
      <w:r>
        <w:rPr>
          <w:spacing w:val="-8"/>
        </w:rPr>
        <w:t> </w:t>
      </w:r>
      <w:r>
        <w:rPr/>
        <w:t>ce</w:t>
      </w:r>
      <w:r>
        <w:rPr>
          <w:spacing w:val="-10"/>
        </w:rPr>
        <w:t> </w:t>
      </w:r>
      <w:r>
        <w:rPr/>
        <w:t>qui</w:t>
      </w:r>
      <w:r>
        <w:rPr>
          <w:spacing w:val="-8"/>
        </w:rPr>
        <w:t> </w:t>
      </w:r>
      <w:r>
        <w:rPr/>
        <w:t>permet</w:t>
      </w:r>
      <w:r>
        <w:rPr>
          <w:spacing w:val="-8"/>
        </w:rPr>
        <w:t> </w:t>
      </w:r>
      <w:r>
        <w:rPr/>
        <w:t>de</w:t>
      </w:r>
      <w:r>
        <w:rPr>
          <w:spacing w:val="-7"/>
        </w:rPr>
        <w:t> </w:t>
      </w:r>
      <w:r>
        <w:rPr/>
        <w:t>potentialiser</w:t>
      </w:r>
      <w:r>
        <w:rPr>
          <w:spacing w:val="-10"/>
        </w:rPr>
        <w:t> </w:t>
      </w:r>
      <w:r>
        <w:rPr/>
        <w:t>la</w:t>
      </w:r>
      <w:r>
        <w:rPr>
          <w:spacing w:val="-9"/>
        </w:rPr>
        <w:t> </w:t>
      </w:r>
      <w:r>
        <w:rPr/>
        <w:t>réponse</w:t>
      </w:r>
      <w:r>
        <w:rPr>
          <w:spacing w:val="-7"/>
        </w:rPr>
        <w:t> </w:t>
      </w:r>
      <w:r>
        <w:rPr/>
        <w:t>à</w:t>
      </w:r>
      <w:r>
        <w:rPr>
          <w:spacing w:val="-10"/>
        </w:rPr>
        <w:t> </w:t>
      </w:r>
      <w:r>
        <w:rPr/>
        <w:t>la</w:t>
      </w:r>
      <w:r>
        <w:rPr>
          <w:spacing w:val="-9"/>
        </w:rPr>
        <w:t> </w:t>
      </w:r>
      <w:r>
        <w:rPr/>
        <w:t>chimiothérapie</w:t>
      </w:r>
      <w:r>
        <w:rPr>
          <w:spacing w:val="-9"/>
        </w:rPr>
        <w:t> </w:t>
      </w:r>
      <w:r>
        <w:rPr/>
        <w:t>métronomique</w:t>
      </w:r>
      <w:r>
        <w:rPr>
          <w:spacing w:val="-10"/>
        </w:rPr>
        <w:t> </w:t>
      </w:r>
      <w:r>
        <w:rPr/>
        <w:t>et</w:t>
      </w:r>
      <w:r>
        <w:rPr>
          <w:spacing w:val="-8"/>
        </w:rPr>
        <w:t> </w:t>
      </w:r>
      <w:r>
        <w:rPr/>
        <w:t>la</w:t>
      </w:r>
      <w:r>
        <w:rPr>
          <w:spacing w:val="-9"/>
        </w:rPr>
        <w:t> </w:t>
      </w:r>
      <w:r>
        <w:rPr/>
        <w:t>qualité de vie des patients. Ceci est valable pour tous les types de cancers enrôlés dans</w:t>
      </w:r>
      <w:r>
        <w:rPr>
          <w:spacing w:val="-20"/>
        </w:rPr>
        <w:t> </w:t>
      </w:r>
      <w:r>
        <w:rPr/>
        <w:t>l’étude.</w:t>
      </w:r>
    </w:p>
    <w:p>
      <w:pPr>
        <w:pStyle w:val="BodyText"/>
        <w:spacing w:before="3"/>
        <w:rPr>
          <w:sz w:val="11"/>
        </w:rPr>
      </w:pPr>
      <w:r>
        <w:rPr/>
        <w:pict>
          <v:shape style="position:absolute;margin-left:65.183998pt;margin-top:8.677152pt;width:465pt;height:32.3pt;mso-position-horizontal-relative:page;mso-position-vertical-relative:paragraph;z-index:1696;mso-wrap-distance-left:0;mso-wrap-distance-right:0" type="#_x0000_t202" filled="false" stroked="true" strokeweight=".47998pt" strokecolor="#000000">
            <v:textbox inset="0,0,0,0">
              <w:txbxContent>
                <w:p>
                  <w:pPr>
                    <w:pStyle w:val="BodyText"/>
                    <w:spacing w:line="261" w:lineRule="auto" w:before="13"/>
                    <w:ind w:left="2938" w:right="113" w:hanging="2111"/>
                  </w:pPr>
                  <w:r>
                    <w:rPr>
                      <w:u w:val="single"/>
                    </w:rPr>
                    <w:t>LSP</w:t>
                  </w:r>
                  <w:r>
                    <w:rPr/>
                    <w:t> : dose habituelle à 1-2 mg/kg PO, bien toléré à 5 mg/kg PO pendant 3 jours puis 1 mg/kg pendant 4 jours (chat, chien)</w:t>
                  </w:r>
                </w:p>
              </w:txbxContent>
            </v:textbox>
            <v:stroke dashstyle="solid"/>
            <w10:wrap type="topAndBottom"/>
          </v:shape>
        </w:pict>
      </w:r>
    </w:p>
    <w:p>
      <w:pPr>
        <w:spacing w:after="0"/>
        <w:rPr>
          <w:sz w:val="11"/>
        </w:rPr>
        <w:sectPr>
          <w:pgSz w:w="11910" w:h="16840"/>
          <w:pgMar w:header="0" w:footer="1055" w:top="1320" w:bottom="1240" w:left="1200" w:right="1200"/>
        </w:sectPr>
      </w:pPr>
    </w:p>
    <w:p>
      <w:pPr>
        <w:pStyle w:val="Heading5"/>
        <w:numPr>
          <w:ilvl w:val="1"/>
          <w:numId w:val="24"/>
        </w:numPr>
        <w:tabs>
          <w:tab w:pos="2352" w:val="left" w:leader="none"/>
          <w:tab w:pos="2353" w:val="left" w:leader="none"/>
        </w:tabs>
        <w:spacing w:line="240" w:lineRule="auto" w:before="77" w:after="0"/>
        <w:ind w:left="2352" w:right="0" w:hanging="720"/>
        <w:jc w:val="left"/>
        <w:rPr>
          <w:i/>
        </w:rPr>
      </w:pPr>
      <w:bookmarkStart w:name="_bookmark148" w:id="247"/>
      <w:bookmarkEnd w:id="247"/>
      <w:r>
        <w:rPr>
          <w:b w:val="0"/>
          <w:i w:val="0"/>
        </w:rPr>
      </w:r>
      <w:bookmarkStart w:name="_bookmark148" w:id="248"/>
      <w:bookmarkEnd w:id="248"/>
      <w:r>
        <w:rPr>
          <w:i/>
        </w:rPr>
        <w:t>La</w:t>
      </w:r>
      <w:r>
        <w:rPr>
          <w:i/>
        </w:rPr>
        <w:t> metformine</w:t>
      </w:r>
      <w:r>
        <w:rPr>
          <w:i/>
          <w:spacing w:val="-3"/>
        </w:rPr>
        <w:t> </w:t>
      </w:r>
      <w:r>
        <w:rPr>
          <w:i/>
        </w:rPr>
        <w:t>(MET)</w:t>
      </w:r>
    </w:p>
    <w:p>
      <w:pPr>
        <w:pStyle w:val="BodyText"/>
        <w:rPr>
          <w:b/>
          <w:i/>
          <w:sz w:val="26"/>
        </w:rPr>
      </w:pPr>
    </w:p>
    <w:p>
      <w:pPr>
        <w:pStyle w:val="BodyText"/>
        <w:spacing w:line="259" w:lineRule="auto" w:before="176"/>
        <w:ind w:left="216" w:right="215" w:firstLine="707"/>
        <w:jc w:val="both"/>
      </w:pPr>
      <w:r>
        <w:rPr/>
        <w:t>L’inhibition de la glycogénolyse a été démontrée sur des chiens à la dose de 0,15 mg/kg/min IV (Chu et al., 2000). Un essai clinique est actuellement en cours à l’université du Saskatchewan</w:t>
      </w:r>
      <w:r>
        <w:rPr>
          <w:spacing w:val="-5"/>
        </w:rPr>
        <w:t> </w:t>
      </w:r>
      <w:r>
        <w:rPr/>
        <w:t>concernant</w:t>
      </w:r>
      <w:r>
        <w:rPr>
          <w:spacing w:val="-7"/>
        </w:rPr>
        <w:t> </w:t>
      </w:r>
      <w:r>
        <w:rPr/>
        <w:t>l’utilisation</w:t>
      </w:r>
      <w:r>
        <w:rPr>
          <w:spacing w:val="-9"/>
        </w:rPr>
        <w:t> </w:t>
      </w:r>
      <w:r>
        <w:rPr/>
        <w:t>de</w:t>
      </w:r>
      <w:r>
        <w:rPr>
          <w:spacing w:val="-8"/>
        </w:rPr>
        <w:t> </w:t>
      </w:r>
      <w:r>
        <w:rPr/>
        <w:t>la</w:t>
      </w:r>
      <w:r>
        <w:rPr>
          <w:spacing w:val="-7"/>
        </w:rPr>
        <w:t> </w:t>
      </w:r>
      <w:r>
        <w:rPr/>
        <w:t>MET</w:t>
      </w:r>
      <w:r>
        <w:rPr>
          <w:spacing w:val="-7"/>
        </w:rPr>
        <w:t> </w:t>
      </w:r>
      <w:r>
        <w:rPr/>
        <w:t>sur</w:t>
      </w:r>
      <w:r>
        <w:rPr>
          <w:spacing w:val="-8"/>
        </w:rPr>
        <w:t> </w:t>
      </w:r>
      <w:r>
        <w:rPr/>
        <w:t>les</w:t>
      </w:r>
      <w:r>
        <w:rPr>
          <w:spacing w:val="-7"/>
        </w:rPr>
        <w:t> </w:t>
      </w:r>
      <w:r>
        <w:rPr/>
        <w:t>lymphomes</w:t>
      </w:r>
      <w:r>
        <w:rPr>
          <w:spacing w:val="-7"/>
        </w:rPr>
        <w:t> </w:t>
      </w:r>
      <w:r>
        <w:rPr/>
        <w:t>chimiorésistants</w:t>
      </w:r>
      <w:r>
        <w:rPr>
          <w:spacing w:val="-5"/>
        </w:rPr>
        <w:t> </w:t>
      </w:r>
      <w:r>
        <w:rPr/>
        <w:t>de</w:t>
      </w:r>
      <w:r>
        <w:rPr>
          <w:spacing w:val="-8"/>
        </w:rPr>
        <w:t> </w:t>
      </w:r>
      <w:r>
        <w:rPr/>
        <w:t>chien. Les chiens sont testés pour l’expression du gène MDR (Multi Drug Resistant). </w:t>
      </w:r>
      <w:r>
        <w:rPr>
          <w:spacing w:val="-3"/>
        </w:rPr>
        <w:t>Il </w:t>
      </w:r>
      <w:r>
        <w:rPr/>
        <w:t>apparaît que dans une grande majorité de cas (résultats non publiés, communication personnelle 2016), l’utilisation de la MET réverserait l’expression du gène</w:t>
      </w:r>
      <w:r>
        <w:rPr>
          <w:spacing w:val="-17"/>
        </w:rPr>
        <w:t> </w:t>
      </w:r>
      <w:r>
        <w:rPr/>
        <w:t>MDR.</w:t>
      </w:r>
    </w:p>
    <w:p>
      <w:pPr>
        <w:pStyle w:val="BodyText"/>
        <w:spacing w:line="259" w:lineRule="auto" w:before="163"/>
        <w:ind w:left="216" w:right="216" w:firstLine="707"/>
        <w:jc w:val="both"/>
      </w:pPr>
      <w:r>
        <w:rPr/>
        <w:t>Chez le chat diabétique, un essai clinique utilisant la MET à une dose de 50 mg/chat toutes</w:t>
      </w:r>
      <w:r>
        <w:rPr>
          <w:spacing w:val="-10"/>
        </w:rPr>
        <w:t> </w:t>
      </w:r>
      <w:r>
        <w:rPr/>
        <w:t>les</w:t>
      </w:r>
      <w:r>
        <w:rPr>
          <w:spacing w:val="-10"/>
        </w:rPr>
        <w:t> </w:t>
      </w:r>
      <w:r>
        <w:rPr/>
        <w:t>12</w:t>
      </w:r>
      <w:r>
        <w:rPr>
          <w:spacing w:val="-10"/>
        </w:rPr>
        <w:t> </w:t>
      </w:r>
      <w:r>
        <w:rPr/>
        <w:t>heures</w:t>
      </w:r>
      <w:r>
        <w:rPr>
          <w:spacing w:val="-10"/>
        </w:rPr>
        <w:t> </w:t>
      </w:r>
      <w:r>
        <w:rPr/>
        <w:t>a</w:t>
      </w:r>
      <w:r>
        <w:rPr>
          <w:spacing w:val="-11"/>
        </w:rPr>
        <w:t> </w:t>
      </w:r>
      <w:r>
        <w:rPr/>
        <w:t>été</w:t>
      </w:r>
      <w:r>
        <w:rPr>
          <w:spacing w:val="-12"/>
        </w:rPr>
        <w:t> </w:t>
      </w:r>
      <w:r>
        <w:rPr/>
        <w:t>réalisé.</w:t>
      </w:r>
      <w:r>
        <w:rPr>
          <w:spacing w:val="-7"/>
        </w:rPr>
        <w:t> </w:t>
      </w:r>
      <w:r>
        <w:rPr/>
        <w:t>Les</w:t>
      </w:r>
      <w:r>
        <w:rPr>
          <w:spacing w:val="-10"/>
        </w:rPr>
        <w:t> </w:t>
      </w:r>
      <w:r>
        <w:rPr/>
        <w:t>effets</w:t>
      </w:r>
      <w:r>
        <w:rPr>
          <w:spacing w:val="-9"/>
        </w:rPr>
        <w:t> </w:t>
      </w:r>
      <w:r>
        <w:rPr/>
        <w:t>secondaires</w:t>
      </w:r>
      <w:r>
        <w:rPr>
          <w:spacing w:val="-10"/>
        </w:rPr>
        <w:t> </w:t>
      </w:r>
      <w:r>
        <w:rPr/>
        <w:t>étaient</w:t>
      </w:r>
      <w:r>
        <w:rPr>
          <w:spacing w:val="-9"/>
        </w:rPr>
        <w:t> </w:t>
      </w:r>
      <w:r>
        <w:rPr/>
        <w:t>de</w:t>
      </w:r>
      <w:r>
        <w:rPr>
          <w:spacing w:val="-11"/>
        </w:rPr>
        <w:t> </w:t>
      </w:r>
      <w:r>
        <w:rPr/>
        <w:t>la</w:t>
      </w:r>
      <w:r>
        <w:rPr>
          <w:spacing w:val="-10"/>
        </w:rPr>
        <w:t> </w:t>
      </w:r>
      <w:r>
        <w:rPr/>
        <w:t>léthargie,</w:t>
      </w:r>
      <w:r>
        <w:rPr>
          <w:spacing w:val="-10"/>
        </w:rPr>
        <w:t> </w:t>
      </w:r>
      <w:r>
        <w:rPr/>
        <w:t>de</w:t>
      </w:r>
      <w:r>
        <w:rPr>
          <w:spacing w:val="-11"/>
        </w:rPr>
        <w:t> </w:t>
      </w:r>
      <w:r>
        <w:rPr/>
        <w:t>l’inappétence, des vomissements et une perte de poids (Nelson et al.,</w:t>
      </w:r>
      <w:r>
        <w:rPr>
          <w:spacing w:val="-6"/>
        </w:rPr>
        <w:t> </w:t>
      </w:r>
      <w:r>
        <w:rPr/>
        <w:t>2004).</w:t>
      </w:r>
    </w:p>
    <w:p>
      <w:pPr>
        <w:pStyle w:val="BodyText"/>
        <w:spacing w:line="259" w:lineRule="auto" w:before="160"/>
        <w:ind w:left="216" w:right="217" w:firstLine="707"/>
        <w:jc w:val="both"/>
      </w:pPr>
      <w:r>
        <w:rPr/>
        <w:t>Chez le chat, une étude pilote prospective a été réalisée avec un traitement à base de MET per os administrée pendant 14 jours chez 9 chats ayant des tumeurs spontanées mesurables, sans groupe témoin (Wypij, 2015). Les paramètres suivis étaient une numération formule,</w:t>
      </w:r>
      <w:r>
        <w:rPr>
          <w:spacing w:val="-11"/>
        </w:rPr>
        <w:t> </w:t>
      </w:r>
      <w:r>
        <w:rPr/>
        <w:t>un</w:t>
      </w:r>
      <w:r>
        <w:rPr>
          <w:spacing w:val="-11"/>
        </w:rPr>
        <w:t> </w:t>
      </w:r>
      <w:r>
        <w:rPr/>
        <w:t>examen</w:t>
      </w:r>
      <w:r>
        <w:rPr>
          <w:spacing w:val="-11"/>
        </w:rPr>
        <w:t> </w:t>
      </w:r>
      <w:r>
        <w:rPr/>
        <w:t>biochimique,</w:t>
      </w:r>
      <w:r>
        <w:rPr>
          <w:spacing w:val="-11"/>
        </w:rPr>
        <w:t> </w:t>
      </w:r>
      <w:r>
        <w:rPr/>
        <w:t>la</w:t>
      </w:r>
      <w:r>
        <w:rPr>
          <w:spacing w:val="-11"/>
        </w:rPr>
        <w:t> </w:t>
      </w:r>
      <w:r>
        <w:rPr/>
        <w:t>mesure</w:t>
      </w:r>
      <w:r>
        <w:rPr>
          <w:spacing w:val="-12"/>
        </w:rPr>
        <w:t> </w:t>
      </w:r>
      <w:r>
        <w:rPr/>
        <w:t>du</w:t>
      </w:r>
      <w:r>
        <w:rPr>
          <w:spacing w:val="-9"/>
        </w:rPr>
        <w:t> </w:t>
      </w:r>
      <w:r>
        <w:rPr/>
        <w:t>lactate,</w:t>
      </w:r>
      <w:r>
        <w:rPr>
          <w:spacing w:val="-11"/>
        </w:rPr>
        <w:t> </w:t>
      </w:r>
      <w:r>
        <w:rPr/>
        <w:t>du</w:t>
      </w:r>
      <w:r>
        <w:rPr>
          <w:spacing w:val="-11"/>
        </w:rPr>
        <w:t> </w:t>
      </w:r>
      <w:r>
        <w:rPr/>
        <w:t>pH,</w:t>
      </w:r>
      <w:r>
        <w:rPr>
          <w:spacing w:val="-12"/>
        </w:rPr>
        <w:t> </w:t>
      </w:r>
      <w:r>
        <w:rPr/>
        <w:t>de</w:t>
      </w:r>
      <w:r>
        <w:rPr>
          <w:spacing w:val="-12"/>
        </w:rPr>
        <w:t> </w:t>
      </w:r>
      <w:r>
        <w:rPr/>
        <w:t>l’IGF-1</w:t>
      </w:r>
      <w:r>
        <w:rPr>
          <w:spacing w:val="-9"/>
        </w:rPr>
        <w:t> </w:t>
      </w:r>
      <w:r>
        <w:rPr/>
        <w:t>(Insulin-Like</w:t>
      </w:r>
      <w:r>
        <w:rPr>
          <w:spacing w:val="-12"/>
        </w:rPr>
        <w:t> </w:t>
      </w:r>
      <w:r>
        <w:rPr/>
        <w:t>Growth Factor</w:t>
      </w:r>
      <w:r>
        <w:rPr>
          <w:spacing w:val="-4"/>
        </w:rPr>
        <w:t> </w:t>
      </w:r>
      <w:r>
        <w:rPr/>
        <w:t>1)</w:t>
      </w:r>
      <w:r>
        <w:rPr>
          <w:spacing w:val="-5"/>
        </w:rPr>
        <w:t> </w:t>
      </w:r>
      <w:r>
        <w:rPr/>
        <w:t>et</w:t>
      </w:r>
      <w:r>
        <w:rPr>
          <w:spacing w:val="-3"/>
        </w:rPr>
        <w:t> </w:t>
      </w:r>
      <w:r>
        <w:rPr/>
        <w:t>du</w:t>
      </w:r>
      <w:r>
        <w:rPr>
          <w:spacing w:val="-4"/>
        </w:rPr>
        <w:t> </w:t>
      </w:r>
      <w:r>
        <w:rPr/>
        <w:t>VEGF.</w:t>
      </w:r>
      <w:r>
        <w:rPr>
          <w:spacing w:val="-2"/>
        </w:rPr>
        <w:t> </w:t>
      </w:r>
      <w:r>
        <w:rPr/>
        <w:t>L’utilisation</w:t>
      </w:r>
      <w:r>
        <w:rPr>
          <w:spacing w:val="-4"/>
        </w:rPr>
        <w:t> </w:t>
      </w:r>
      <w:r>
        <w:rPr/>
        <w:t>de</w:t>
      </w:r>
      <w:r>
        <w:rPr>
          <w:spacing w:val="-5"/>
        </w:rPr>
        <w:t> </w:t>
      </w:r>
      <w:r>
        <w:rPr/>
        <w:t>la</w:t>
      </w:r>
      <w:r>
        <w:rPr>
          <w:spacing w:val="-4"/>
        </w:rPr>
        <w:t> </w:t>
      </w:r>
      <w:r>
        <w:rPr/>
        <w:t>dose</w:t>
      </w:r>
      <w:r>
        <w:rPr>
          <w:spacing w:val="-5"/>
        </w:rPr>
        <w:t> </w:t>
      </w:r>
      <w:r>
        <w:rPr/>
        <w:t>maximale</w:t>
      </w:r>
      <w:r>
        <w:rPr>
          <w:spacing w:val="-5"/>
        </w:rPr>
        <w:t> </w:t>
      </w:r>
      <w:r>
        <w:rPr/>
        <w:t>tolérée</w:t>
      </w:r>
      <w:r>
        <w:rPr>
          <w:spacing w:val="-5"/>
        </w:rPr>
        <w:t> </w:t>
      </w:r>
      <w:r>
        <w:rPr/>
        <w:t>de</w:t>
      </w:r>
      <w:r>
        <w:rPr>
          <w:spacing w:val="-5"/>
        </w:rPr>
        <w:t> </w:t>
      </w:r>
      <w:r>
        <w:rPr/>
        <w:t>10</w:t>
      </w:r>
      <w:r>
        <w:rPr>
          <w:spacing w:val="-4"/>
        </w:rPr>
        <w:t> </w:t>
      </w:r>
      <w:r>
        <w:rPr/>
        <w:t>mg/kg</w:t>
      </w:r>
      <w:r>
        <w:rPr>
          <w:spacing w:val="-4"/>
        </w:rPr>
        <w:t> </w:t>
      </w:r>
      <w:r>
        <w:rPr/>
        <w:t>BID</w:t>
      </w:r>
      <w:r>
        <w:rPr>
          <w:spacing w:val="-4"/>
        </w:rPr>
        <w:t> </w:t>
      </w:r>
      <w:r>
        <w:rPr/>
        <w:t>présente</w:t>
      </w:r>
      <w:r>
        <w:rPr>
          <w:spacing w:val="-4"/>
        </w:rPr>
        <w:t> </w:t>
      </w:r>
      <w:r>
        <w:rPr/>
        <w:t>des effets secondaires modérés (anorexie, vomissements, perte de poids). Une diminution de l’hématocrite est également à noter. 6/9 chats ont développé une hyperlactatémie et 1 chat a développé une acidose lactique non symptomatique. En termes de réponse clinique, seuls 2 chats (sur 9) ont eu une modeste réduction de la taille de la</w:t>
      </w:r>
      <w:r>
        <w:rPr>
          <w:spacing w:val="-12"/>
        </w:rPr>
        <w:t> </w:t>
      </w:r>
      <w:r>
        <w:rPr/>
        <w:t>tumeur.</w:t>
      </w:r>
    </w:p>
    <w:p>
      <w:pPr>
        <w:pStyle w:val="BodyText"/>
        <w:spacing w:before="2"/>
        <w:rPr>
          <w:sz w:val="11"/>
        </w:rPr>
      </w:pPr>
      <w:r>
        <w:rPr/>
        <w:pict>
          <v:shape style="position:absolute;margin-left:65.183998pt;margin-top:8.665532pt;width:465pt;height:17.45pt;mso-position-horizontal-relative:page;mso-position-vertical-relative:paragraph;z-index:1720;mso-wrap-distance-left:0;mso-wrap-distance-right:0" type="#_x0000_t202" filled="false" stroked="true" strokeweight=".47998pt" strokecolor="#000000">
            <v:textbox inset="0,0,0,0">
              <w:txbxContent>
                <w:p>
                  <w:pPr>
                    <w:pStyle w:val="BodyText"/>
                    <w:spacing w:before="14"/>
                    <w:ind w:left="1216"/>
                  </w:pPr>
                  <w:r>
                    <w:rPr>
                      <w:u w:val="single"/>
                    </w:rPr>
                    <w:t>MET</w:t>
                  </w:r>
                  <w:r>
                    <w:rPr/>
                    <w:t> : 10 mg/kg PO BID avec effets secondaires modérés (chat, chien)</w:t>
                  </w:r>
                </w:p>
              </w:txbxContent>
            </v:textbox>
            <v:stroke dashstyle="solid"/>
            <w10:wrap type="topAndBottom"/>
          </v:shape>
        </w:pict>
      </w:r>
    </w:p>
    <w:p>
      <w:pPr>
        <w:pStyle w:val="BodyText"/>
        <w:rPr>
          <w:sz w:val="20"/>
        </w:rPr>
      </w:pPr>
    </w:p>
    <w:p>
      <w:pPr>
        <w:pStyle w:val="BodyText"/>
        <w:spacing w:before="6"/>
        <w:rPr>
          <w:sz w:val="20"/>
        </w:rPr>
      </w:pPr>
    </w:p>
    <w:p>
      <w:pPr>
        <w:pStyle w:val="Heading5"/>
        <w:numPr>
          <w:ilvl w:val="1"/>
          <w:numId w:val="24"/>
        </w:numPr>
        <w:tabs>
          <w:tab w:pos="2352" w:val="left" w:leader="none"/>
          <w:tab w:pos="2353" w:val="left" w:leader="none"/>
        </w:tabs>
        <w:spacing w:line="240" w:lineRule="auto" w:before="0" w:after="0"/>
        <w:ind w:left="2352" w:right="0" w:hanging="720"/>
        <w:jc w:val="left"/>
        <w:rPr>
          <w:i/>
        </w:rPr>
      </w:pPr>
      <w:bookmarkStart w:name="_bookmark147" w:id="249"/>
      <w:bookmarkEnd w:id="249"/>
      <w:r>
        <w:rPr>
          <w:b w:val="0"/>
          <w:i w:val="0"/>
        </w:rPr>
      </w:r>
      <w:bookmarkStart w:name="_bookmark147" w:id="250"/>
      <w:bookmarkEnd w:id="250"/>
      <w:r>
        <w:rPr>
          <w:i/>
        </w:rPr>
        <w:t>L</w:t>
      </w:r>
      <w:r>
        <w:rPr>
          <w:i/>
        </w:rPr>
        <w:t>’hydroxycitrate</w:t>
      </w:r>
      <w:r>
        <w:rPr>
          <w:i/>
          <w:spacing w:val="-8"/>
        </w:rPr>
        <w:t> </w:t>
      </w:r>
      <w:r>
        <w:rPr>
          <w:i/>
        </w:rPr>
        <w:t>(HCA)</w:t>
      </w:r>
    </w:p>
    <w:p>
      <w:pPr>
        <w:pStyle w:val="BodyText"/>
        <w:rPr>
          <w:b/>
          <w:i/>
          <w:sz w:val="26"/>
        </w:rPr>
      </w:pPr>
    </w:p>
    <w:p>
      <w:pPr>
        <w:pStyle w:val="BodyText"/>
        <w:spacing w:line="259" w:lineRule="auto" w:before="175"/>
        <w:ind w:left="216" w:right="214" w:firstLine="707"/>
        <w:jc w:val="both"/>
      </w:pPr>
      <w:r>
        <w:rPr/>
        <w:t>L’hydroxycitrate a été testé chez le chien dans le cadre du traitement de l’arthrose en combinaison avec du collagène et du chrome. 1800 mg/chien de HCA ont été utilisés sans que des</w:t>
      </w:r>
      <w:r>
        <w:rPr>
          <w:spacing w:val="-9"/>
        </w:rPr>
        <w:t> </w:t>
      </w:r>
      <w:r>
        <w:rPr/>
        <w:t>effets</w:t>
      </w:r>
      <w:r>
        <w:rPr>
          <w:spacing w:val="-9"/>
        </w:rPr>
        <w:t> </w:t>
      </w:r>
      <w:r>
        <w:rPr/>
        <w:t>secondaires</w:t>
      </w:r>
      <w:r>
        <w:rPr>
          <w:spacing w:val="-9"/>
        </w:rPr>
        <w:t> </w:t>
      </w:r>
      <w:r>
        <w:rPr/>
        <w:t>ne</w:t>
      </w:r>
      <w:r>
        <w:rPr>
          <w:spacing w:val="-8"/>
        </w:rPr>
        <w:t> </w:t>
      </w:r>
      <w:r>
        <w:rPr/>
        <w:t>soient</w:t>
      </w:r>
      <w:r>
        <w:rPr>
          <w:spacing w:val="-9"/>
        </w:rPr>
        <w:t> </w:t>
      </w:r>
      <w:r>
        <w:rPr/>
        <w:t>mis</w:t>
      </w:r>
      <w:r>
        <w:rPr>
          <w:spacing w:val="-9"/>
        </w:rPr>
        <w:t> </w:t>
      </w:r>
      <w:r>
        <w:rPr/>
        <w:t>en</w:t>
      </w:r>
      <w:r>
        <w:rPr>
          <w:spacing w:val="-10"/>
        </w:rPr>
        <w:t> </w:t>
      </w:r>
      <w:r>
        <w:rPr/>
        <w:t>évidence.</w:t>
      </w:r>
      <w:r>
        <w:rPr>
          <w:spacing w:val="-7"/>
        </w:rPr>
        <w:t> </w:t>
      </w:r>
      <w:r>
        <w:rPr/>
        <w:t>Les</w:t>
      </w:r>
      <w:r>
        <w:rPr>
          <w:spacing w:val="-9"/>
        </w:rPr>
        <w:t> </w:t>
      </w:r>
      <w:r>
        <w:rPr/>
        <w:t>contrôles</w:t>
      </w:r>
      <w:r>
        <w:rPr>
          <w:spacing w:val="-10"/>
        </w:rPr>
        <w:t> </w:t>
      </w:r>
      <w:r>
        <w:rPr/>
        <w:t>biochimiques</w:t>
      </w:r>
      <w:r>
        <w:rPr>
          <w:spacing w:val="-9"/>
        </w:rPr>
        <w:t> </w:t>
      </w:r>
      <w:r>
        <w:rPr/>
        <w:t>des</w:t>
      </w:r>
      <w:r>
        <w:rPr>
          <w:spacing w:val="-9"/>
        </w:rPr>
        <w:t> </w:t>
      </w:r>
      <w:r>
        <w:rPr/>
        <w:t>paramètres</w:t>
      </w:r>
      <w:r>
        <w:rPr>
          <w:spacing w:val="-9"/>
        </w:rPr>
        <w:t> </w:t>
      </w:r>
      <w:r>
        <w:rPr/>
        <w:t>du foie et des reins étaient également inchangés (Peal et al.,</w:t>
      </w:r>
      <w:r>
        <w:rPr>
          <w:spacing w:val="-9"/>
        </w:rPr>
        <w:t> </w:t>
      </w:r>
      <w:r>
        <w:rPr/>
        <w:t>2007).</w:t>
      </w:r>
    </w:p>
    <w:p>
      <w:pPr>
        <w:pStyle w:val="BodyText"/>
        <w:spacing w:before="158"/>
        <w:ind w:left="924"/>
      </w:pPr>
      <w:r>
        <w:rPr/>
        <w:t>Chez le rat, la LD</w:t>
      </w:r>
      <w:r>
        <w:rPr>
          <w:position w:val="-1"/>
          <w:sz w:val="16"/>
        </w:rPr>
        <w:t>50  </w:t>
      </w:r>
      <w:r>
        <w:rPr/>
        <w:t>a été évaluée à plus de 5000 mg/kg (Ranjith et al., 2011).</w:t>
      </w:r>
    </w:p>
    <w:p>
      <w:pPr>
        <w:pStyle w:val="BodyText"/>
        <w:spacing w:line="259" w:lineRule="auto" w:before="182"/>
        <w:ind w:left="216" w:right="216" w:firstLine="707"/>
        <w:jc w:val="both"/>
      </w:pPr>
      <w:r>
        <w:rPr/>
        <w:t>Chez le chat, une étude a été menée afin d’évaluer le rôle du </w:t>
      </w:r>
      <w:r>
        <w:rPr>
          <w:i/>
        </w:rPr>
        <w:t>Garcinia cambogia </w:t>
      </w:r>
      <w:r>
        <w:rPr/>
        <w:t>sur la perte de poids. Les chats ont reçu 45 mg/kg de ce fruit sans présenter d’effets secondaires notables (Leray et al., 2006). Il est à noter que le fruit contient entre 10 et 30% de HCA, qui peut être facilement extrait (Semwal et al., 2015).</w:t>
      </w:r>
    </w:p>
    <w:p>
      <w:pPr>
        <w:pStyle w:val="BodyText"/>
        <w:spacing w:before="3"/>
        <w:rPr>
          <w:sz w:val="11"/>
        </w:rPr>
      </w:pPr>
      <w:r>
        <w:rPr/>
        <w:pict>
          <v:shape style="position:absolute;margin-left:65.183998pt;margin-top:8.679171pt;width:465pt;height:17.4pt;mso-position-horizontal-relative:page;mso-position-vertical-relative:paragraph;z-index:1744;mso-wrap-distance-left:0;mso-wrap-distance-right:0" type="#_x0000_t202" filled="false" stroked="true" strokeweight=".47998pt" strokecolor="#000000">
            <v:textbox inset="0,0,0,0">
              <w:txbxContent>
                <w:p>
                  <w:pPr>
                    <w:pStyle w:val="BodyText"/>
                    <w:spacing w:before="13"/>
                    <w:ind w:left="141"/>
                  </w:pPr>
                  <w:r>
                    <w:rPr>
                      <w:u w:val="single"/>
                    </w:rPr>
                    <w:t>HCA</w:t>
                  </w:r>
                  <w:r>
                    <w:rPr/>
                    <w:t> : jusqu’à 50 mg/kg PO bien toléré chez le chien, 5-10 mg/kg PO bien toléré chez le chat</w:t>
                  </w:r>
                </w:p>
              </w:txbxContent>
            </v:textbox>
            <v:stroke dashstyle="solid"/>
            <w10:wrap type="topAndBottom"/>
          </v:shape>
        </w:pict>
      </w:r>
    </w:p>
    <w:p>
      <w:pPr>
        <w:spacing w:after="0"/>
        <w:rPr>
          <w:sz w:val="11"/>
        </w:rPr>
        <w:sectPr>
          <w:footerReference w:type="even" r:id="rId51"/>
          <w:footerReference w:type="default" r:id="rId52"/>
          <w:pgSz w:w="11910" w:h="16840"/>
          <w:pgMar w:footer="1055" w:header="0" w:top="1320" w:bottom="1240" w:left="1200" w:right="1200"/>
          <w:pgNumType w:start="102"/>
        </w:sectPr>
      </w:pPr>
    </w:p>
    <w:p>
      <w:pPr>
        <w:pStyle w:val="Heading5"/>
        <w:numPr>
          <w:ilvl w:val="1"/>
          <w:numId w:val="24"/>
        </w:numPr>
        <w:tabs>
          <w:tab w:pos="2352" w:val="left" w:leader="none"/>
          <w:tab w:pos="2353" w:val="left" w:leader="none"/>
        </w:tabs>
        <w:spacing w:line="240" w:lineRule="auto" w:before="77" w:after="0"/>
        <w:ind w:left="2352" w:right="0" w:hanging="720"/>
        <w:jc w:val="left"/>
        <w:rPr>
          <w:i/>
        </w:rPr>
      </w:pPr>
      <w:bookmarkStart w:name="_bookmark150" w:id="251"/>
      <w:bookmarkEnd w:id="251"/>
      <w:r>
        <w:rPr>
          <w:b w:val="0"/>
          <w:i w:val="0"/>
        </w:rPr>
      </w:r>
      <w:bookmarkStart w:name="_bookmark150" w:id="252"/>
      <w:bookmarkEnd w:id="252"/>
      <w:r>
        <w:rPr>
          <w:i/>
        </w:rPr>
        <w:t>L</w:t>
      </w:r>
      <w:r>
        <w:rPr>
          <w:i/>
        </w:rPr>
        <w:t>’acide alpha lipoïque</w:t>
      </w:r>
      <w:r>
        <w:rPr>
          <w:i/>
          <w:spacing w:val="-2"/>
        </w:rPr>
        <w:t> </w:t>
      </w:r>
      <w:r>
        <w:rPr>
          <w:i/>
        </w:rPr>
        <w:t>(ALA)</w:t>
      </w:r>
    </w:p>
    <w:p>
      <w:pPr>
        <w:pStyle w:val="BodyText"/>
        <w:rPr>
          <w:b/>
          <w:i/>
          <w:sz w:val="26"/>
        </w:rPr>
      </w:pPr>
    </w:p>
    <w:p>
      <w:pPr>
        <w:pStyle w:val="BodyText"/>
        <w:spacing w:line="256" w:lineRule="auto" w:before="176"/>
        <w:ind w:left="216" w:right="217" w:firstLine="707"/>
        <w:jc w:val="both"/>
      </w:pPr>
      <w:r>
        <w:rPr/>
        <w:t>L’étude chez le rat suggère que la dose sans effet nocif observable (NOAEL) est de 60 mg/kg/jour (Cremer et al., 2006). La mortalité était même diminuée par rapport au groupe contrôle.</w:t>
      </w:r>
    </w:p>
    <w:p>
      <w:pPr>
        <w:pStyle w:val="BodyText"/>
        <w:spacing w:line="259" w:lineRule="auto" w:before="166"/>
        <w:ind w:left="216" w:right="212" w:firstLine="707"/>
        <w:jc w:val="both"/>
      </w:pPr>
      <w:r>
        <w:rPr/>
        <w:t>La dose létale médiane de l’ALA chez le chien est de 400-500 mg/kg (Packer et al., 1995). D’après une étude de cas, l’ALA est toxique à des doses de 190 mg/kg et 210 mg/kg avec des symptômes d’hypoglycémie, d’insuffisance hépatique, d’insuffisance rénale (Loftin et Herold, 2009). Une étude sur 30 chiens montre que l’utilisation d’une dose de 50 mg/kg PO au</w:t>
      </w:r>
      <w:r>
        <w:rPr>
          <w:spacing w:val="-9"/>
        </w:rPr>
        <w:t> </w:t>
      </w:r>
      <w:r>
        <w:rPr/>
        <w:t>long</w:t>
      </w:r>
      <w:r>
        <w:rPr>
          <w:spacing w:val="-11"/>
        </w:rPr>
        <w:t> </w:t>
      </w:r>
      <w:r>
        <w:rPr/>
        <w:t>cours</w:t>
      </w:r>
      <w:r>
        <w:rPr>
          <w:spacing w:val="-9"/>
        </w:rPr>
        <w:t> </w:t>
      </w:r>
      <w:r>
        <w:rPr/>
        <w:t>(12</w:t>
      </w:r>
      <w:r>
        <w:rPr>
          <w:spacing w:val="-9"/>
        </w:rPr>
        <w:t> </w:t>
      </w:r>
      <w:r>
        <w:rPr/>
        <w:t>mois)</w:t>
      </w:r>
      <w:r>
        <w:rPr>
          <w:spacing w:val="-9"/>
        </w:rPr>
        <w:t> </w:t>
      </w:r>
      <w:r>
        <w:rPr/>
        <w:t>présente</w:t>
      </w:r>
      <w:r>
        <w:rPr>
          <w:spacing w:val="-9"/>
        </w:rPr>
        <w:t> </w:t>
      </w:r>
      <w:r>
        <w:rPr/>
        <w:t>une</w:t>
      </w:r>
      <w:r>
        <w:rPr>
          <w:spacing w:val="-10"/>
        </w:rPr>
        <w:t> </w:t>
      </w:r>
      <w:r>
        <w:rPr/>
        <w:t>bonne</w:t>
      </w:r>
      <w:r>
        <w:rPr>
          <w:spacing w:val="-10"/>
        </w:rPr>
        <w:t> </w:t>
      </w:r>
      <w:r>
        <w:rPr/>
        <w:t>tolérance</w:t>
      </w:r>
      <w:r>
        <w:rPr>
          <w:spacing w:val="-7"/>
        </w:rPr>
        <w:t> </w:t>
      </w:r>
      <w:r>
        <w:rPr/>
        <w:t>(Paetau-Robinson</w:t>
      </w:r>
      <w:r>
        <w:rPr>
          <w:spacing w:val="-9"/>
        </w:rPr>
        <w:t> </w:t>
      </w:r>
      <w:r>
        <w:rPr/>
        <w:t>et</w:t>
      </w:r>
      <w:r>
        <w:rPr>
          <w:spacing w:val="-8"/>
        </w:rPr>
        <w:t> </w:t>
      </w:r>
      <w:r>
        <w:rPr/>
        <w:t>al.,</w:t>
      </w:r>
      <w:r>
        <w:rPr>
          <w:spacing w:val="-8"/>
        </w:rPr>
        <w:t> </w:t>
      </w:r>
      <w:r>
        <w:rPr/>
        <w:t>2013).</w:t>
      </w:r>
      <w:r>
        <w:rPr>
          <w:spacing w:val="-6"/>
        </w:rPr>
        <w:t> </w:t>
      </w:r>
      <w:r>
        <w:rPr/>
        <w:t>Les</w:t>
      </w:r>
      <w:r>
        <w:rPr>
          <w:spacing w:val="-8"/>
        </w:rPr>
        <w:t> </w:t>
      </w:r>
      <w:r>
        <w:rPr/>
        <w:t>effets secondaires étaient d’ordre gastro-intestinaux (vomissements), et il n’y avait pas </w:t>
      </w:r>
      <w:r>
        <w:rPr>
          <w:spacing w:val="1"/>
        </w:rPr>
        <w:t>de </w:t>
      </w:r>
      <w:r>
        <w:rPr/>
        <w:t>répercussions sur le bilan</w:t>
      </w:r>
      <w:r>
        <w:rPr>
          <w:spacing w:val="-6"/>
        </w:rPr>
        <w:t> </w:t>
      </w:r>
      <w:r>
        <w:rPr/>
        <w:t>hémato-biochimique.</w:t>
      </w:r>
    </w:p>
    <w:p>
      <w:pPr>
        <w:pStyle w:val="BodyText"/>
        <w:spacing w:before="163"/>
        <w:ind w:left="924"/>
      </w:pPr>
      <w:r>
        <w:rPr/>
        <w:t>Chez le chat, la dose maximale tolérée est beaucoup plus faible (30 mg/kg) (Hill et al.,</w:t>
      </w:r>
    </w:p>
    <w:p>
      <w:pPr>
        <w:pStyle w:val="BodyText"/>
        <w:spacing w:before="18"/>
        <w:ind w:left="216"/>
      </w:pPr>
      <w:r>
        <w:rPr/>
        <w:t>(2004).</w:t>
      </w:r>
    </w:p>
    <w:p>
      <w:pPr>
        <w:pStyle w:val="BodyText"/>
        <w:spacing w:before="10"/>
        <w:rPr>
          <w:sz w:val="12"/>
        </w:rPr>
      </w:pPr>
      <w:r>
        <w:rPr/>
        <w:pict>
          <v:shape style="position:absolute;margin-left:65.183998pt;margin-top:9.605935pt;width:465pt;height:17.4pt;mso-position-horizontal-relative:page;mso-position-vertical-relative:paragraph;z-index:1768;mso-wrap-distance-left:0;mso-wrap-distance-right:0" type="#_x0000_t202" filled="false" stroked="true" strokeweight=".47998pt" strokecolor="#000000">
            <v:textbox inset="0,0,0,0">
              <w:txbxContent>
                <w:p>
                  <w:pPr>
                    <w:pStyle w:val="BodyText"/>
                    <w:spacing w:before="13"/>
                    <w:ind w:left="1319"/>
                  </w:pPr>
                  <w:r>
                    <w:rPr>
                      <w:u w:val="single"/>
                    </w:rPr>
                    <w:t>ALA</w:t>
                  </w:r>
                  <w:r>
                    <w:rPr/>
                    <w:t> : chien : 50 mg/kg PO SID ; chat : 30 mg/kg PO SID maximum</w:t>
                  </w:r>
                </w:p>
              </w:txbxContent>
            </v:textbox>
            <v:stroke dashstyle="solid"/>
            <w10:wrap type="topAndBottom"/>
          </v:shape>
        </w:pict>
      </w:r>
    </w:p>
    <w:p>
      <w:pPr>
        <w:pStyle w:val="BodyText"/>
        <w:rPr>
          <w:sz w:val="20"/>
        </w:rPr>
      </w:pPr>
    </w:p>
    <w:p>
      <w:pPr>
        <w:pStyle w:val="BodyText"/>
        <w:spacing w:before="6"/>
        <w:rPr>
          <w:sz w:val="20"/>
        </w:rPr>
      </w:pPr>
    </w:p>
    <w:p>
      <w:pPr>
        <w:pStyle w:val="Heading5"/>
        <w:numPr>
          <w:ilvl w:val="1"/>
          <w:numId w:val="24"/>
        </w:numPr>
        <w:tabs>
          <w:tab w:pos="2352" w:val="left" w:leader="none"/>
          <w:tab w:pos="2353" w:val="left" w:leader="none"/>
        </w:tabs>
        <w:spacing w:line="240" w:lineRule="auto" w:before="0" w:after="0"/>
        <w:ind w:left="2352" w:right="0" w:hanging="720"/>
        <w:jc w:val="left"/>
        <w:rPr>
          <w:i/>
        </w:rPr>
      </w:pPr>
      <w:bookmarkStart w:name="_bookmark149" w:id="253"/>
      <w:bookmarkEnd w:id="253"/>
      <w:r>
        <w:rPr>
          <w:b w:val="0"/>
          <w:i w:val="0"/>
        </w:rPr>
      </w:r>
      <w:bookmarkStart w:name="_bookmark149" w:id="254"/>
      <w:bookmarkEnd w:id="254"/>
      <w:r>
        <w:rPr>
          <w:i/>
        </w:rPr>
        <w:t>Le</w:t>
      </w:r>
      <w:r>
        <w:rPr>
          <w:i/>
        </w:rPr>
        <w:t> dichloroacétate</w:t>
      </w:r>
      <w:r>
        <w:rPr>
          <w:i/>
          <w:spacing w:val="-6"/>
        </w:rPr>
        <w:t> </w:t>
      </w:r>
      <w:r>
        <w:rPr>
          <w:i/>
        </w:rPr>
        <w:t>(DCA)</w:t>
      </w:r>
    </w:p>
    <w:p>
      <w:pPr>
        <w:pStyle w:val="BodyText"/>
        <w:rPr>
          <w:b/>
          <w:i/>
          <w:sz w:val="26"/>
        </w:rPr>
      </w:pPr>
    </w:p>
    <w:p>
      <w:pPr>
        <w:pStyle w:val="BodyText"/>
        <w:spacing w:line="259" w:lineRule="auto" w:before="178"/>
        <w:ind w:left="216" w:right="213" w:firstLine="707"/>
        <w:jc w:val="both"/>
      </w:pPr>
      <w:r>
        <w:rPr/>
        <w:t>L’étude de Maisenbacher et al. s’intéresse à la pharmacocinétique du DCA administré par</w:t>
      </w:r>
      <w:r>
        <w:rPr>
          <w:spacing w:val="-5"/>
        </w:rPr>
        <w:t> </w:t>
      </w:r>
      <w:r>
        <w:rPr/>
        <w:t>voie</w:t>
      </w:r>
      <w:r>
        <w:rPr>
          <w:spacing w:val="-4"/>
        </w:rPr>
        <w:t> </w:t>
      </w:r>
      <w:r>
        <w:rPr/>
        <w:t>orale</w:t>
      </w:r>
      <w:r>
        <w:rPr>
          <w:spacing w:val="-5"/>
        </w:rPr>
        <w:t> </w:t>
      </w:r>
      <w:r>
        <w:rPr/>
        <w:t>(6,25</w:t>
      </w:r>
      <w:r>
        <w:rPr>
          <w:spacing w:val="-4"/>
        </w:rPr>
        <w:t> </w:t>
      </w:r>
      <w:r>
        <w:rPr/>
        <w:t>mg/kg</w:t>
      </w:r>
      <w:r>
        <w:rPr>
          <w:spacing w:val="-3"/>
        </w:rPr>
        <w:t> </w:t>
      </w:r>
      <w:r>
        <w:rPr/>
        <w:t>BID</w:t>
      </w:r>
      <w:r>
        <w:rPr>
          <w:spacing w:val="-4"/>
        </w:rPr>
        <w:t> </w:t>
      </w:r>
      <w:r>
        <w:rPr/>
        <w:t>pendant</w:t>
      </w:r>
      <w:r>
        <w:rPr>
          <w:spacing w:val="-3"/>
        </w:rPr>
        <w:t> </w:t>
      </w:r>
      <w:r>
        <w:rPr/>
        <w:t>4</w:t>
      </w:r>
      <w:r>
        <w:rPr>
          <w:spacing w:val="-4"/>
        </w:rPr>
        <w:t> </w:t>
      </w:r>
      <w:r>
        <w:rPr/>
        <w:t>semaines)</w:t>
      </w:r>
      <w:r>
        <w:rPr>
          <w:spacing w:val="-4"/>
        </w:rPr>
        <w:t> </w:t>
      </w:r>
      <w:r>
        <w:rPr/>
        <w:t>chez</w:t>
      </w:r>
      <w:r>
        <w:rPr>
          <w:spacing w:val="-3"/>
        </w:rPr>
        <w:t> </w:t>
      </w:r>
      <w:r>
        <w:rPr/>
        <w:t>le</w:t>
      </w:r>
      <w:r>
        <w:rPr>
          <w:spacing w:val="-4"/>
        </w:rPr>
        <w:t> </w:t>
      </w:r>
      <w:r>
        <w:rPr/>
        <w:t>chien</w:t>
      </w:r>
      <w:r>
        <w:rPr>
          <w:spacing w:val="-3"/>
        </w:rPr>
        <w:t> </w:t>
      </w:r>
      <w:r>
        <w:rPr/>
        <w:t>(Maisenbacher</w:t>
      </w:r>
      <w:r>
        <w:rPr>
          <w:spacing w:val="-2"/>
        </w:rPr>
        <w:t> </w:t>
      </w:r>
      <w:r>
        <w:rPr/>
        <w:t>et</w:t>
      </w:r>
      <w:r>
        <w:rPr>
          <w:spacing w:val="-3"/>
        </w:rPr>
        <w:t> </w:t>
      </w:r>
      <w:r>
        <w:rPr/>
        <w:t>al.,</w:t>
      </w:r>
      <w:r>
        <w:rPr>
          <w:spacing w:val="-4"/>
        </w:rPr>
        <w:t> </w:t>
      </w:r>
      <w:r>
        <w:rPr/>
        <w:t>2013). Il apparaît que la clairance du DCA est plutôt lente en comparaison au rat et à l’humain. </w:t>
      </w:r>
      <w:r>
        <w:rPr>
          <w:spacing w:val="-3"/>
        </w:rPr>
        <w:t>Le </w:t>
      </w:r>
      <w:r>
        <w:rPr/>
        <w:t>détail des effets secondaires éventuels n’est malheureusement pas</w:t>
      </w:r>
      <w:r>
        <w:rPr>
          <w:spacing w:val="-19"/>
        </w:rPr>
        <w:t> </w:t>
      </w:r>
      <w:r>
        <w:rPr/>
        <w:t>disponible.</w:t>
      </w:r>
    </w:p>
    <w:p>
      <w:pPr>
        <w:pStyle w:val="BodyText"/>
        <w:spacing w:before="4"/>
      </w:pPr>
    </w:p>
    <w:p>
      <w:pPr>
        <w:pStyle w:val="BodyText"/>
        <w:spacing w:before="1"/>
        <w:ind w:left="216" w:right="217" w:firstLine="707"/>
        <w:jc w:val="both"/>
      </w:pPr>
      <w:r>
        <w:rPr/>
        <w:t>L’utilisation</w:t>
      </w:r>
      <w:r>
        <w:rPr>
          <w:spacing w:val="-16"/>
        </w:rPr>
        <w:t> </w:t>
      </w:r>
      <w:r>
        <w:rPr/>
        <w:t>du</w:t>
      </w:r>
      <w:r>
        <w:rPr>
          <w:spacing w:val="-17"/>
        </w:rPr>
        <w:t> </w:t>
      </w:r>
      <w:r>
        <w:rPr/>
        <w:t>DCA</w:t>
      </w:r>
      <w:r>
        <w:rPr>
          <w:spacing w:val="-17"/>
        </w:rPr>
        <w:t> </w:t>
      </w:r>
      <w:r>
        <w:rPr/>
        <w:t>a</w:t>
      </w:r>
      <w:r>
        <w:rPr>
          <w:spacing w:val="-18"/>
        </w:rPr>
        <w:t> </w:t>
      </w:r>
      <w:r>
        <w:rPr/>
        <w:t>tout</w:t>
      </w:r>
      <w:r>
        <w:rPr>
          <w:spacing w:val="-16"/>
        </w:rPr>
        <w:t> </w:t>
      </w:r>
      <w:r>
        <w:rPr/>
        <w:t>d’abord</w:t>
      </w:r>
      <w:r>
        <w:rPr>
          <w:spacing w:val="-18"/>
        </w:rPr>
        <w:t> </w:t>
      </w:r>
      <w:r>
        <w:rPr/>
        <w:t>été</w:t>
      </w:r>
      <w:r>
        <w:rPr>
          <w:spacing w:val="-17"/>
        </w:rPr>
        <w:t> </w:t>
      </w:r>
      <w:r>
        <w:rPr/>
        <w:t>étudiée</w:t>
      </w:r>
      <w:r>
        <w:rPr>
          <w:spacing w:val="-18"/>
        </w:rPr>
        <w:t> </w:t>
      </w:r>
      <w:r>
        <w:rPr/>
        <w:t>chez</w:t>
      </w:r>
      <w:r>
        <w:rPr>
          <w:spacing w:val="-16"/>
        </w:rPr>
        <w:t> </w:t>
      </w:r>
      <w:r>
        <w:rPr/>
        <w:t>le</w:t>
      </w:r>
      <w:r>
        <w:rPr>
          <w:spacing w:val="-17"/>
        </w:rPr>
        <w:t> </w:t>
      </w:r>
      <w:r>
        <w:rPr/>
        <w:t>chien</w:t>
      </w:r>
      <w:r>
        <w:rPr>
          <w:spacing w:val="-17"/>
        </w:rPr>
        <w:t> </w:t>
      </w:r>
      <w:r>
        <w:rPr/>
        <w:t>diabétique,</w:t>
      </w:r>
      <w:r>
        <w:rPr>
          <w:spacing w:val="-17"/>
        </w:rPr>
        <w:t> </w:t>
      </w:r>
      <w:r>
        <w:rPr/>
        <w:t>en</w:t>
      </w:r>
      <w:r>
        <w:rPr>
          <w:spacing w:val="-17"/>
        </w:rPr>
        <w:t> </w:t>
      </w:r>
      <w:r>
        <w:rPr/>
        <w:t>comparaison au chien sain. Dans cette étude, chez le chien sain, l’administration chronique du DCA (150 mg/kg SID pendant 7 jours) entraîne une diminution de la glycémie, des concentrations en lactate, pyruvate et OAA (Ribes et al., 1979). Le détail des effets secondaires éventuels n’est malheureusement pas</w:t>
      </w:r>
      <w:r>
        <w:rPr>
          <w:spacing w:val="-4"/>
        </w:rPr>
        <w:t> </w:t>
      </w:r>
      <w:r>
        <w:rPr/>
        <w:t>disponible.</w:t>
      </w:r>
    </w:p>
    <w:p>
      <w:pPr>
        <w:pStyle w:val="BodyText"/>
        <w:spacing w:before="2"/>
      </w:pPr>
    </w:p>
    <w:p>
      <w:pPr>
        <w:pStyle w:val="BodyText"/>
        <w:ind w:left="216" w:right="218" w:firstLine="707"/>
        <w:jc w:val="both"/>
      </w:pPr>
      <w:r>
        <w:rPr/>
        <w:t>Si aucune étude précise n’est disponible, un site internet permet de calculer la dose théorique nécessaire à son chien (PetDCA). Aucun recul n’existe concernant les effets secondaires. La dose de 10 mg/kg par jour (5 mg/kg PO BID) est recommandée par ce site.</w:t>
      </w:r>
    </w:p>
    <w:p>
      <w:pPr>
        <w:pStyle w:val="BodyText"/>
        <w:spacing w:before="4"/>
      </w:pPr>
    </w:p>
    <w:p>
      <w:pPr>
        <w:pStyle w:val="BodyText"/>
        <w:ind w:left="216" w:right="220" w:firstLine="707"/>
        <w:jc w:val="both"/>
      </w:pPr>
      <w:r>
        <w:rPr/>
        <w:t>D’autres</w:t>
      </w:r>
      <w:r>
        <w:rPr>
          <w:spacing w:val="-3"/>
        </w:rPr>
        <w:t> </w:t>
      </w:r>
      <w:r>
        <w:rPr/>
        <w:t>études</w:t>
      </w:r>
      <w:r>
        <w:rPr>
          <w:spacing w:val="-5"/>
        </w:rPr>
        <w:t> </w:t>
      </w:r>
      <w:r>
        <w:rPr/>
        <w:t>sont</w:t>
      </w:r>
      <w:r>
        <w:rPr>
          <w:spacing w:val="-4"/>
        </w:rPr>
        <w:t> </w:t>
      </w:r>
      <w:r>
        <w:rPr/>
        <w:t>nécessaires</w:t>
      </w:r>
      <w:r>
        <w:rPr>
          <w:spacing w:val="-5"/>
        </w:rPr>
        <w:t> </w:t>
      </w:r>
      <w:r>
        <w:rPr/>
        <w:t>pour</w:t>
      </w:r>
      <w:r>
        <w:rPr>
          <w:spacing w:val="-6"/>
        </w:rPr>
        <w:t> </w:t>
      </w:r>
      <w:r>
        <w:rPr/>
        <w:t>préciser</w:t>
      </w:r>
      <w:r>
        <w:rPr>
          <w:spacing w:val="-6"/>
        </w:rPr>
        <w:t> </w:t>
      </w:r>
      <w:r>
        <w:rPr/>
        <w:t>la</w:t>
      </w:r>
      <w:r>
        <w:rPr>
          <w:spacing w:val="-5"/>
        </w:rPr>
        <w:t> </w:t>
      </w:r>
      <w:r>
        <w:rPr/>
        <w:t>dose</w:t>
      </w:r>
      <w:r>
        <w:rPr>
          <w:spacing w:val="-6"/>
        </w:rPr>
        <w:t> </w:t>
      </w:r>
      <w:r>
        <w:rPr/>
        <w:t>adéquate</w:t>
      </w:r>
      <w:r>
        <w:rPr>
          <w:spacing w:val="-6"/>
        </w:rPr>
        <w:t> </w:t>
      </w:r>
      <w:r>
        <w:rPr/>
        <w:t>et</w:t>
      </w:r>
      <w:r>
        <w:rPr>
          <w:spacing w:val="-4"/>
        </w:rPr>
        <w:t> </w:t>
      </w:r>
      <w:r>
        <w:rPr/>
        <w:t>les</w:t>
      </w:r>
      <w:r>
        <w:rPr>
          <w:spacing w:val="-5"/>
        </w:rPr>
        <w:t> </w:t>
      </w:r>
      <w:r>
        <w:rPr/>
        <w:t>effets</w:t>
      </w:r>
      <w:r>
        <w:rPr>
          <w:spacing w:val="-4"/>
        </w:rPr>
        <w:t> </w:t>
      </w:r>
      <w:r>
        <w:rPr/>
        <w:t>secondaires associés.</w:t>
      </w:r>
    </w:p>
    <w:p>
      <w:pPr>
        <w:pStyle w:val="BodyText"/>
        <w:spacing w:before="7"/>
        <w:rPr>
          <w:sz w:val="21"/>
        </w:rPr>
      </w:pPr>
      <w:r>
        <w:rPr/>
        <w:pict>
          <v:shape style="position:absolute;margin-left:65.183998pt;margin-top:14.668652pt;width:465pt;height:16.2pt;mso-position-horizontal-relative:page;mso-position-vertical-relative:paragraph;z-index:1792;mso-wrap-distance-left:0;mso-wrap-distance-right:0" type="#_x0000_t202" filled="false" stroked="true" strokeweight=".47998pt" strokecolor="#000000">
            <v:textbox inset="0,0,0,0">
              <w:txbxContent>
                <w:p>
                  <w:pPr>
                    <w:pStyle w:val="BodyText"/>
                    <w:spacing w:before="13"/>
                    <w:ind w:left="1041"/>
                  </w:pPr>
                  <w:r>
                    <w:rPr>
                      <w:u w:val="single"/>
                    </w:rPr>
                    <w:t>DCA</w:t>
                  </w:r>
                  <w:r>
                    <w:rPr/>
                    <w:t> : suggestion de 5 mg/kg PO BID (chien), pas de données chez le chat</w:t>
                  </w:r>
                </w:p>
              </w:txbxContent>
            </v:textbox>
            <v:stroke dashstyle="solid"/>
            <w10:wrap type="topAndBottom"/>
          </v:shape>
        </w:pict>
      </w:r>
    </w:p>
    <w:p>
      <w:pPr>
        <w:spacing w:after="0"/>
        <w:rPr>
          <w:sz w:val="21"/>
        </w:rPr>
        <w:sectPr>
          <w:pgSz w:w="11910" w:h="16840"/>
          <w:pgMar w:header="0" w:footer="1055" w:top="1320" w:bottom="1240" w:left="1200" w:right="1200"/>
        </w:sectPr>
      </w:pPr>
    </w:p>
    <w:p>
      <w:pPr>
        <w:pStyle w:val="Heading5"/>
        <w:numPr>
          <w:ilvl w:val="1"/>
          <w:numId w:val="24"/>
        </w:numPr>
        <w:tabs>
          <w:tab w:pos="2352" w:val="left" w:leader="none"/>
          <w:tab w:pos="2353" w:val="left" w:leader="none"/>
        </w:tabs>
        <w:spacing w:line="240" w:lineRule="auto" w:before="77" w:after="0"/>
        <w:ind w:left="2352" w:right="0" w:hanging="720"/>
        <w:jc w:val="left"/>
        <w:rPr>
          <w:i/>
        </w:rPr>
      </w:pPr>
      <w:bookmarkStart w:name="_bookmark153" w:id="255"/>
      <w:bookmarkEnd w:id="255"/>
      <w:r>
        <w:rPr>
          <w:b w:val="0"/>
          <w:i w:val="0"/>
        </w:rPr>
      </w:r>
      <w:bookmarkStart w:name="_bookmark153" w:id="256"/>
      <w:bookmarkEnd w:id="256"/>
      <w:r>
        <w:rPr>
          <w:i/>
        </w:rPr>
        <w:t>Le</w:t>
      </w:r>
      <w:r>
        <w:rPr>
          <w:i/>
        </w:rPr>
        <w:t> citrate</w:t>
      </w:r>
      <w:r>
        <w:rPr>
          <w:i/>
          <w:spacing w:val="-5"/>
        </w:rPr>
        <w:t> </w:t>
      </w:r>
      <w:r>
        <w:rPr>
          <w:i/>
        </w:rPr>
        <w:t>(CIT)</w:t>
      </w:r>
    </w:p>
    <w:p>
      <w:pPr>
        <w:pStyle w:val="BodyText"/>
        <w:rPr>
          <w:b/>
          <w:i/>
          <w:sz w:val="26"/>
        </w:rPr>
      </w:pPr>
    </w:p>
    <w:p>
      <w:pPr>
        <w:pStyle w:val="BodyText"/>
        <w:spacing w:line="256" w:lineRule="auto" w:before="176"/>
        <w:ind w:left="216" w:firstLine="707"/>
      </w:pPr>
      <w:r>
        <w:rPr/>
        <w:t>L’acide citrique présente une toxicité faible. La dose sans effet observé est de 1200 mg/kg/jour chez le rat, 1500 mg/kg/jour chez le lapin et 1400 mg/kg/jour chez le chien.</w:t>
      </w:r>
    </w:p>
    <w:p>
      <w:pPr>
        <w:pStyle w:val="BodyText"/>
        <w:spacing w:line="256" w:lineRule="auto" w:before="166"/>
        <w:ind w:left="216" w:firstLine="707"/>
      </w:pPr>
      <w:r>
        <w:rPr/>
        <w:t>Aucun effet secondaire n’a été rapporté par la prise orale chez 3 chiens de 1380 mg/kg d’acide citrique par jour pendant 120 jours. Les résultats sont similaires chez le lapin.</w:t>
      </w:r>
    </w:p>
    <w:p>
      <w:pPr>
        <w:pStyle w:val="BodyText"/>
        <w:spacing w:before="6"/>
        <w:rPr>
          <w:sz w:val="11"/>
        </w:rPr>
      </w:pPr>
      <w:r>
        <w:rPr/>
        <w:pict>
          <v:shape style="position:absolute;margin-left:65.183998pt;margin-top:8.828721pt;width:465pt;height:17.4pt;mso-position-horizontal-relative:page;mso-position-vertical-relative:paragraph;z-index:1816;mso-wrap-distance-left:0;mso-wrap-distance-right:0" type="#_x0000_t202" filled="false" stroked="true" strokeweight=".47998pt" strokecolor="#000000">
            <v:textbox inset="0,0,0,0">
              <w:txbxContent>
                <w:p>
                  <w:pPr>
                    <w:pStyle w:val="BodyText"/>
                    <w:spacing w:before="13"/>
                    <w:ind w:left="1329"/>
                  </w:pPr>
                  <w:r>
                    <w:rPr>
                      <w:u w:val="single"/>
                    </w:rPr>
                    <w:t>CIT</w:t>
                  </w:r>
                  <w:r>
                    <w:rPr/>
                    <w:t> : 1400 mg/kg/jour PO chez le chien, pas de données chez le chat</w:t>
                  </w:r>
                </w:p>
              </w:txbxContent>
            </v:textbox>
            <v:stroke dashstyle="solid"/>
            <w10:wrap type="topAndBottom"/>
          </v:shape>
        </w:pict>
      </w:r>
    </w:p>
    <w:p>
      <w:pPr>
        <w:pStyle w:val="BodyText"/>
        <w:rPr>
          <w:sz w:val="20"/>
        </w:rPr>
      </w:pPr>
    </w:p>
    <w:p>
      <w:pPr>
        <w:pStyle w:val="Heading5"/>
        <w:numPr>
          <w:ilvl w:val="1"/>
          <w:numId w:val="24"/>
        </w:numPr>
        <w:tabs>
          <w:tab w:pos="2352" w:val="left" w:leader="none"/>
          <w:tab w:pos="2353" w:val="left" w:leader="none"/>
        </w:tabs>
        <w:spacing w:line="240" w:lineRule="auto" w:before="215" w:after="0"/>
        <w:ind w:left="2352" w:right="0" w:hanging="720"/>
        <w:jc w:val="left"/>
        <w:rPr>
          <w:i/>
        </w:rPr>
      </w:pPr>
      <w:bookmarkStart w:name="_bookmark151" w:id="257"/>
      <w:bookmarkEnd w:id="257"/>
      <w:r>
        <w:rPr>
          <w:b w:val="0"/>
          <w:i w:val="0"/>
        </w:rPr>
      </w:r>
      <w:bookmarkStart w:name="_bookmark151" w:id="258"/>
      <w:bookmarkEnd w:id="258"/>
      <w:r>
        <w:rPr>
          <w:i/>
        </w:rPr>
        <w:t>Le</w:t>
      </w:r>
      <w:r>
        <w:rPr>
          <w:i/>
        </w:rPr>
        <w:t> 3-Bromopyruvate</w:t>
      </w:r>
      <w:r>
        <w:rPr>
          <w:i/>
          <w:spacing w:val="-7"/>
        </w:rPr>
        <w:t> </w:t>
      </w:r>
      <w:r>
        <w:rPr>
          <w:i/>
        </w:rPr>
        <w:t>(3-BP)</w:t>
      </w:r>
    </w:p>
    <w:p>
      <w:pPr>
        <w:pStyle w:val="BodyText"/>
        <w:rPr>
          <w:b/>
          <w:i/>
          <w:sz w:val="26"/>
        </w:rPr>
      </w:pPr>
    </w:p>
    <w:p>
      <w:pPr>
        <w:pStyle w:val="BodyText"/>
        <w:spacing w:line="259" w:lineRule="auto" w:before="176"/>
        <w:ind w:left="216" w:right="211" w:firstLine="707"/>
        <w:jc w:val="both"/>
      </w:pPr>
      <w:r>
        <w:rPr/>
        <w:t>L’étude de Vali et al. démontre l’avantage en termes de survie de l’utilisation du 3-BP sur</w:t>
      </w:r>
      <w:r>
        <w:rPr>
          <w:spacing w:val="-9"/>
        </w:rPr>
        <w:t> </w:t>
      </w:r>
      <w:r>
        <w:rPr/>
        <w:t>des</w:t>
      </w:r>
      <w:r>
        <w:rPr>
          <w:spacing w:val="-8"/>
        </w:rPr>
        <w:t> </w:t>
      </w:r>
      <w:r>
        <w:rPr/>
        <w:t>rats</w:t>
      </w:r>
      <w:r>
        <w:rPr>
          <w:spacing w:val="-6"/>
        </w:rPr>
        <w:t> </w:t>
      </w:r>
      <w:r>
        <w:rPr/>
        <w:t>avec</w:t>
      </w:r>
      <w:r>
        <w:rPr>
          <w:spacing w:val="-7"/>
        </w:rPr>
        <w:t> </w:t>
      </w:r>
      <w:r>
        <w:rPr/>
        <w:t>des</w:t>
      </w:r>
      <w:r>
        <w:rPr>
          <w:spacing w:val="-8"/>
        </w:rPr>
        <w:t> </w:t>
      </w:r>
      <w:r>
        <w:rPr/>
        <w:t>doses</w:t>
      </w:r>
      <w:r>
        <w:rPr>
          <w:spacing w:val="-8"/>
        </w:rPr>
        <w:t> </w:t>
      </w:r>
      <w:r>
        <w:rPr/>
        <w:t>de</w:t>
      </w:r>
      <w:r>
        <w:rPr>
          <w:spacing w:val="-10"/>
        </w:rPr>
        <w:t> </w:t>
      </w:r>
      <w:r>
        <w:rPr/>
        <w:t>1,75</w:t>
      </w:r>
      <w:r>
        <w:rPr>
          <w:spacing w:val="-9"/>
        </w:rPr>
        <w:t> </w:t>
      </w:r>
      <w:r>
        <w:rPr/>
        <w:t>mM</w:t>
      </w:r>
      <w:r>
        <w:rPr>
          <w:spacing w:val="-8"/>
        </w:rPr>
        <w:t> </w:t>
      </w:r>
      <w:r>
        <w:rPr/>
        <w:t>en</w:t>
      </w:r>
      <w:r>
        <w:rPr>
          <w:spacing w:val="-9"/>
        </w:rPr>
        <w:t> </w:t>
      </w:r>
      <w:r>
        <w:rPr/>
        <w:t>intra-artériel</w:t>
      </w:r>
      <w:r>
        <w:rPr>
          <w:spacing w:val="-7"/>
        </w:rPr>
        <w:t> </w:t>
      </w:r>
      <w:r>
        <w:rPr/>
        <w:t>(Vali</w:t>
      </w:r>
      <w:r>
        <w:rPr>
          <w:spacing w:val="-8"/>
        </w:rPr>
        <w:t> </w:t>
      </w:r>
      <w:r>
        <w:rPr/>
        <w:t>et</w:t>
      </w:r>
      <w:r>
        <w:rPr>
          <w:spacing w:val="-8"/>
        </w:rPr>
        <w:t> </w:t>
      </w:r>
      <w:r>
        <w:rPr/>
        <w:t>al.,</w:t>
      </w:r>
      <w:r>
        <w:rPr>
          <w:spacing w:val="-9"/>
        </w:rPr>
        <w:t> </w:t>
      </w:r>
      <w:r>
        <w:rPr/>
        <w:t>2008).</w:t>
      </w:r>
      <w:r>
        <w:rPr>
          <w:spacing w:val="-6"/>
        </w:rPr>
        <w:t> </w:t>
      </w:r>
      <w:r>
        <w:rPr/>
        <w:t>On</w:t>
      </w:r>
      <w:r>
        <w:rPr>
          <w:spacing w:val="-9"/>
        </w:rPr>
        <w:t> </w:t>
      </w:r>
      <w:r>
        <w:rPr/>
        <w:t>note</w:t>
      </w:r>
      <w:r>
        <w:rPr>
          <w:spacing w:val="-9"/>
        </w:rPr>
        <w:t> </w:t>
      </w:r>
      <w:r>
        <w:rPr/>
        <w:t>une</w:t>
      </w:r>
      <w:r>
        <w:rPr>
          <w:spacing w:val="-10"/>
        </w:rPr>
        <w:t> </w:t>
      </w:r>
      <w:r>
        <w:rPr/>
        <w:t>absence de</w:t>
      </w:r>
      <w:r>
        <w:rPr>
          <w:spacing w:val="-12"/>
        </w:rPr>
        <w:t> </w:t>
      </w:r>
      <w:r>
        <w:rPr/>
        <w:t>toxicité</w:t>
      </w:r>
      <w:r>
        <w:rPr>
          <w:spacing w:val="-12"/>
        </w:rPr>
        <w:t> </w:t>
      </w:r>
      <w:r>
        <w:rPr/>
        <w:t>pour</w:t>
      </w:r>
      <w:r>
        <w:rPr>
          <w:spacing w:val="-12"/>
        </w:rPr>
        <w:t> </w:t>
      </w:r>
      <w:r>
        <w:rPr/>
        <w:t>cette</w:t>
      </w:r>
      <w:r>
        <w:rPr>
          <w:spacing w:val="-12"/>
        </w:rPr>
        <w:t> </w:t>
      </w:r>
      <w:r>
        <w:rPr/>
        <w:t>dose</w:t>
      </w:r>
      <w:r>
        <w:rPr>
          <w:spacing w:val="-11"/>
        </w:rPr>
        <w:t> </w:t>
      </w:r>
      <w:r>
        <w:rPr/>
        <w:t>(Kunjithapatham</w:t>
      </w:r>
      <w:r>
        <w:rPr>
          <w:spacing w:val="-11"/>
        </w:rPr>
        <w:t> </w:t>
      </w:r>
      <w:r>
        <w:rPr/>
        <w:t>et</w:t>
      </w:r>
      <w:r>
        <w:rPr>
          <w:spacing w:val="-11"/>
        </w:rPr>
        <w:t> </w:t>
      </w:r>
      <w:r>
        <w:rPr/>
        <w:t>al.,</w:t>
      </w:r>
      <w:r>
        <w:rPr>
          <w:spacing w:val="-9"/>
        </w:rPr>
        <w:t> </w:t>
      </w:r>
      <w:r>
        <w:rPr/>
        <w:t>2013).</w:t>
      </w:r>
      <w:r>
        <w:rPr>
          <w:spacing w:val="-11"/>
        </w:rPr>
        <w:t> </w:t>
      </w:r>
      <w:r>
        <w:rPr/>
        <w:t>Sur</w:t>
      </w:r>
      <w:r>
        <w:rPr>
          <w:spacing w:val="-12"/>
        </w:rPr>
        <w:t> </w:t>
      </w:r>
      <w:r>
        <w:rPr/>
        <w:t>des</w:t>
      </w:r>
      <w:r>
        <w:rPr>
          <w:spacing w:val="-11"/>
        </w:rPr>
        <w:t> </w:t>
      </w:r>
      <w:r>
        <w:rPr/>
        <w:t>lapins,</w:t>
      </w:r>
      <w:r>
        <w:rPr>
          <w:spacing w:val="-11"/>
        </w:rPr>
        <w:t> </w:t>
      </w:r>
      <w:r>
        <w:rPr/>
        <w:t>l’utilisation</w:t>
      </w:r>
      <w:r>
        <w:rPr>
          <w:spacing w:val="-10"/>
        </w:rPr>
        <w:t> </w:t>
      </w:r>
      <w:r>
        <w:rPr/>
        <w:t>d’une</w:t>
      </w:r>
      <w:r>
        <w:rPr>
          <w:spacing w:val="-13"/>
        </w:rPr>
        <w:t> </w:t>
      </w:r>
      <w:r>
        <w:rPr/>
        <w:t>dose de 25 mM en intra-artériel entraîne de nombreux effets secondaires (toxicité hépatique et gastro-intestinale, dose dépendante et pouvant entraîner la mort) (Chang et al.,</w:t>
      </w:r>
      <w:r>
        <w:rPr>
          <w:spacing w:val="-12"/>
        </w:rPr>
        <w:t> </w:t>
      </w:r>
      <w:r>
        <w:rPr/>
        <w:t>2007).</w:t>
      </w:r>
    </w:p>
    <w:p>
      <w:pPr>
        <w:pStyle w:val="BodyText"/>
        <w:spacing w:line="259" w:lineRule="auto" w:before="160"/>
        <w:ind w:left="216" w:right="211" w:firstLine="707"/>
        <w:jc w:val="both"/>
      </w:pPr>
      <w:r>
        <w:rPr/>
        <w:t>L’étude</w:t>
      </w:r>
      <w:r>
        <w:rPr>
          <w:spacing w:val="-15"/>
        </w:rPr>
        <w:t> </w:t>
      </w:r>
      <w:r>
        <w:rPr/>
        <w:t>de</w:t>
      </w:r>
      <w:r>
        <w:rPr>
          <w:spacing w:val="-15"/>
        </w:rPr>
        <w:t> </w:t>
      </w:r>
      <w:r>
        <w:rPr/>
        <w:t>Godin</w:t>
      </w:r>
      <w:r>
        <w:rPr>
          <w:spacing w:val="-14"/>
        </w:rPr>
        <w:t> </w:t>
      </w:r>
      <w:r>
        <w:rPr/>
        <w:t>et</w:t>
      </w:r>
      <w:r>
        <w:rPr>
          <w:spacing w:val="-14"/>
        </w:rPr>
        <w:t> </w:t>
      </w:r>
      <w:r>
        <w:rPr/>
        <w:t>al.</w:t>
      </w:r>
      <w:r>
        <w:rPr>
          <w:spacing w:val="-13"/>
        </w:rPr>
        <w:t> </w:t>
      </w:r>
      <w:r>
        <w:rPr/>
        <w:t>s’intéresse</w:t>
      </w:r>
      <w:r>
        <w:rPr>
          <w:spacing w:val="-15"/>
        </w:rPr>
        <w:t> </w:t>
      </w:r>
      <w:r>
        <w:rPr/>
        <w:t>à</w:t>
      </w:r>
      <w:r>
        <w:rPr>
          <w:spacing w:val="-15"/>
        </w:rPr>
        <w:t> </w:t>
      </w:r>
      <w:r>
        <w:rPr/>
        <w:t>l’administration</w:t>
      </w:r>
      <w:r>
        <w:rPr>
          <w:spacing w:val="-13"/>
        </w:rPr>
        <w:t> </w:t>
      </w:r>
      <w:r>
        <w:rPr/>
        <w:t>chez</w:t>
      </w:r>
      <w:r>
        <w:rPr>
          <w:spacing w:val="-13"/>
        </w:rPr>
        <w:t> </w:t>
      </w:r>
      <w:r>
        <w:rPr/>
        <w:t>le</w:t>
      </w:r>
      <w:r>
        <w:rPr>
          <w:spacing w:val="-15"/>
        </w:rPr>
        <w:t> </w:t>
      </w:r>
      <w:r>
        <w:rPr/>
        <w:t>chien</w:t>
      </w:r>
      <w:r>
        <w:rPr>
          <w:spacing w:val="-15"/>
        </w:rPr>
        <w:t> </w:t>
      </w:r>
      <w:r>
        <w:rPr/>
        <w:t>du</w:t>
      </w:r>
      <w:r>
        <w:rPr>
          <w:spacing w:val="-14"/>
        </w:rPr>
        <w:t> </w:t>
      </w:r>
      <w:r>
        <w:rPr/>
        <w:t>3-BP</w:t>
      </w:r>
      <w:r>
        <w:rPr>
          <w:spacing w:val="-14"/>
        </w:rPr>
        <w:t> </w:t>
      </w:r>
      <w:r>
        <w:rPr/>
        <w:t>en</w:t>
      </w:r>
      <w:r>
        <w:rPr>
          <w:spacing w:val="-14"/>
        </w:rPr>
        <w:t> </w:t>
      </w:r>
      <w:r>
        <w:rPr/>
        <w:t>voie</w:t>
      </w:r>
      <w:r>
        <w:rPr>
          <w:spacing w:val="-15"/>
        </w:rPr>
        <w:t> </w:t>
      </w:r>
      <w:r>
        <w:rPr/>
        <w:t>intra- artérielle, pendant 5 jours consécutifs, et ce à deux semaines d’intervalle (Godin et al., 2015). Les</w:t>
      </w:r>
      <w:r>
        <w:rPr>
          <w:spacing w:val="-1"/>
        </w:rPr>
        <w:t> </w:t>
      </w:r>
      <w:r>
        <w:rPr/>
        <w:t>groupes</w:t>
      </w:r>
      <w:r>
        <w:rPr>
          <w:spacing w:val="-6"/>
        </w:rPr>
        <w:t> </w:t>
      </w:r>
      <w:r>
        <w:rPr/>
        <w:t>recevant</w:t>
      </w:r>
      <w:r>
        <w:rPr>
          <w:spacing w:val="-6"/>
        </w:rPr>
        <w:t> </w:t>
      </w:r>
      <w:r>
        <w:rPr/>
        <w:t>la</w:t>
      </w:r>
      <w:r>
        <w:rPr>
          <w:spacing w:val="-5"/>
        </w:rPr>
        <w:t> </w:t>
      </w:r>
      <w:r>
        <w:rPr/>
        <w:t>dose</w:t>
      </w:r>
      <w:r>
        <w:rPr>
          <w:spacing w:val="-7"/>
        </w:rPr>
        <w:t> </w:t>
      </w:r>
      <w:r>
        <w:rPr/>
        <w:t>de</w:t>
      </w:r>
      <w:r>
        <w:rPr>
          <w:spacing w:val="-5"/>
        </w:rPr>
        <w:t> </w:t>
      </w:r>
      <w:r>
        <w:rPr/>
        <w:t>7,5</w:t>
      </w:r>
      <w:r>
        <w:rPr>
          <w:spacing w:val="-4"/>
        </w:rPr>
        <w:t> </w:t>
      </w:r>
      <w:r>
        <w:rPr/>
        <w:t>mg/kg</w:t>
      </w:r>
      <w:r>
        <w:rPr>
          <w:spacing w:val="-9"/>
        </w:rPr>
        <w:t> </w:t>
      </w:r>
      <w:r>
        <w:rPr/>
        <w:t>sont</w:t>
      </w:r>
      <w:r>
        <w:rPr>
          <w:spacing w:val="-6"/>
        </w:rPr>
        <w:t> </w:t>
      </w:r>
      <w:r>
        <w:rPr/>
        <w:t>morts.</w:t>
      </w:r>
      <w:r>
        <w:rPr>
          <w:spacing w:val="-4"/>
        </w:rPr>
        <w:t> </w:t>
      </w:r>
      <w:r>
        <w:rPr/>
        <w:t>La</w:t>
      </w:r>
      <w:r>
        <w:rPr>
          <w:spacing w:val="-7"/>
        </w:rPr>
        <w:t> </w:t>
      </w:r>
      <w:r>
        <w:rPr/>
        <w:t>dose</w:t>
      </w:r>
      <w:r>
        <w:rPr>
          <w:spacing w:val="-7"/>
        </w:rPr>
        <w:t> </w:t>
      </w:r>
      <w:r>
        <w:rPr/>
        <w:t>sans</w:t>
      </w:r>
      <w:r>
        <w:rPr>
          <w:spacing w:val="-6"/>
        </w:rPr>
        <w:t> </w:t>
      </w:r>
      <w:r>
        <w:rPr/>
        <w:t>effet</w:t>
      </w:r>
      <w:r>
        <w:rPr>
          <w:spacing w:val="-4"/>
        </w:rPr>
        <w:t> </w:t>
      </w:r>
      <w:r>
        <w:rPr/>
        <w:t>observé</w:t>
      </w:r>
      <w:r>
        <w:rPr>
          <w:spacing w:val="-6"/>
        </w:rPr>
        <w:t> </w:t>
      </w:r>
      <w:r>
        <w:rPr/>
        <w:t>est</w:t>
      </w:r>
      <w:r>
        <w:rPr>
          <w:spacing w:val="-6"/>
        </w:rPr>
        <w:t> </w:t>
      </w:r>
      <w:r>
        <w:rPr/>
        <w:t>inférieure à 0,25 mg/kg/dose. Cette dose se retrouve lors de l’injection intrapéritonéale (2 heures par</w:t>
      </w:r>
      <w:r>
        <w:rPr>
          <w:spacing w:val="-40"/>
        </w:rPr>
        <w:t> </w:t>
      </w:r>
      <w:r>
        <w:rPr/>
        <w:t>jour pendant 21 jours consécutifs). La plus haute dose non sévèrement toxique, en intra-artériel comme en intrapéritonéal, est inférieure à 2,5</w:t>
      </w:r>
      <w:r>
        <w:rPr>
          <w:spacing w:val="-12"/>
        </w:rPr>
        <w:t> </w:t>
      </w:r>
      <w:r>
        <w:rPr/>
        <w:t>mg/kg/dose.</w:t>
      </w:r>
    </w:p>
    <w:p>
      <w:pPr>
        <w:pStyle w:val="BodyText"/>
        <w:spacing w:line="256" w:lineRule="auto" w:before="163"/>
        <w:ind w:left="216" w:right="217" w:firstLine="707"/>
        <w:jc w:val="both"/>
      </w:pPr>
      <w:r>
        <w:rPr/>
        <w:t>Les données concernant l’administration par voie orale de cette molécule sont malheureusement marginales (une étude sur le rat, dont les résultats ne sont pas disponibles).</w:t>
      </w:r>
    </w:p>
    <w:p>
      <w:pPr>
        <w:pStyle w:val="BodyText"/>
        <w:spacing w:line="259" w:lineRule="auto" w:before="163"/>
        <w:ind w:left="216" w:right="213" w:firstLine="707"/>
        <w:jc w:val="both"/>
      </w:pPr>
      <w:r>
        <w:rPr/>
        <w:t>En comparaison avec les données de médecine humaine, et en tenant compte de la toxicité</w:t>
      </w:r>
      <w:r>
        <w:rPr>
          <w:spacing w:val="-16"/>
        </w:rPr>
        <w:t> </w:t>
      </w:r>
      <w:r>
        <w:rPr/>
        <w:t>observée</w:t>
      </w:r>
      <w:r>
        <w:rPr>
          <w:spacing w:val="-17"/>
        </w:rPr>
        <w:t> </w:t>
      </w:r>
      <w:r>
        <w:rPr/>
        <w:t>lors</w:t>
      </w:r>
      <w:r>
        <w:rPr>
          <w:spacing w:val="-16"/>
        </w:rPr>
        <w:t> </w:t>
      </w:r>
      <w:r>
        <w:rPr/>
        <w:t>de</w:t>
      </w:r>
      <w:r>
        <w:rPr>
          <w:spacing w:val="-17"/>
        </w:rPr>
        <w:t> </w:t>
      </w:r>
      <w:r>
        <w:rPr/>
        <w:t>l’utilisation</w:t>
      </w:r>
      <w:r>
        <w:rPr>
          <w:spacing w:val="-16"/>
        </w:rPr>
        <w:t> </w:t>
      </w:r>
      <w:r>
        <w:rPr/>
        <w:t>en</w:t>
      </w:r>
      <w:r>
        <w:rPr>
          <w:spacing w:val="-16"/>
        </w:rPr>
        <w:t> </w:t>
      </w:r>
      <w:r>
        <w:rPr/>
        <w:t>intra-artériel,</w:t>
      </w:r>
      <w:r>
        <w:rPr>
          <w:spacing w:val="-15"/>
        </w:rPr>
        <w:t> </w:t>
      </w:r>
      <w:r>
        <w:rPr/>
        <w:t>la</w:t>
      </w:r>
      <w:r>
        <w:rPr>
          <w:spacing w:val="-16"/>
        </w:rPr>
        <w:t> </w:t>
      </w:r>
      <w:r>
        <w:rPr/>
        <w:t>dose</w:t>
      </w:r>
      <w:r>
        <w:rPr>
          <w:spacing w:val="-17"/>
        </w:rPr>
        <w:t> </w:t>
      </w:r>
      <w:r>
        <w:rPr/>
        <w:t>de</w:t>
      </w:r>
      <w:r>
        <w:rPr>
          <w:spacing w:val="-17"/>
        </w:rPr>
        <w:t> </w:t>
      </w:r>
      <w:r>
        <w:rPr/>
        <w:t>1</w:t>
      </w:r>
      <w:r>
        <w:rPr>
          <w:spacing w:val="-13"/>
        </w:rPr>
        <w:t> </w:t>
      </w:r>
      <w:r>
        <w:rPr/>
        <w:t>mg/kg</w:t>
      </w:r>
      <w:r>
        <w:rPr>
          <w:spacing w:val="-16"/>
        </w:rPr>
        <w:t> </w:t>
      </w:r>
      <w:r>
        <w:rPr/>
        <w:t>en</w:t>
      </w:r>
      <w:r>
        <w:rPr>
          <w:spacing w:val="-16"/>
        </w:rPr>
        <w:t> </w:t>
      </w:r>
      <w:r>
        <w:rPr/>
        <w:t>intraveineux</w:t>
      </w:r>
      <w:r>
        <w:rPr>
          <w:spacing w:val="-13"/>
        </w:rPr>
        <w:t> </w:t>
      </w:r>
      <w:r>
        <w:rPr/>
        <w:t>semble être un point de départ intéressant. Des études de toxicité en </w:t>
      </w:r>
      <w:r>
        <w:rPr>
          <w:spacing w:val="-3"/>
        </w:rPr>
        <w:t>IV </w:t>
      </w:r>
      <w:r>
        <w:rPr/>
        <w:t>et par voie orale chez l’animal de compagnie sont</w:t>
      </w:r>
      <w:r>
        <w:rPr>
          <w:spacing w:val="-7"/>
        </w:rPr>
        <w:t> </w:t>
      </w:r>
      <w:r>
        <w:rPr/>
        <w:t>nécessaires.</w:t>
      </w:r>
    </w:p>
    <w:p>
      <w:pPr>
        <w:pStyle w:val="BodyText"/>
        <w:spacing w:before="2"/>
        <w:rPr>
          <w:sz w:val="11"/>
        </w:rPr>
      </w:pPr>
      <w:r>
        <w:rPr/>
        <w:pict>
          <v:shape style="position:absolute;margin-left:65.183998pt;margin-top:8.664894pt;width:465pt;height:17.350pt;mso-position-horizontal-relative:page;mso-position-vertical-relative:paragraph;z-index:1840;mso-wrap-distance-left:0;mso-wrap-distance-right:0" type="#_x0000_t202" filled="false" stroked="true" strokeweight=".47998pt" strokecolor="#000000">
            <v:textbox inset="0,0,0,0">
              <w:txbxContent>
                <w:p>
                  <w:pPr>
                    <w:pStyle w:val="BodyText"/>
                    <w:spacing w:before="13"/>
                    <w:ind w:left="1691"/>
                  </w:pPr>
                  <w:r>
                    <w:rPr>
                      <w:u w:val="single"/>
                    </w:rPr>
                    <w:t>3-BP</w:t>
                  </w:r>
                  <w:r>
                    <w:rPr/>
                    <w:t> : pas d’informations sur l’utilisation per os (chien, chat)</w:t>
                  </w:r>
                </w:p>
              </w:txbxContent>
            </v:textbox>
            <v:stroke dashstyle="solid"/>
            <w10:wrap type="topAndBottom"/>
          </v:shape>
        </w:pict>
      </w:r>
    </w:p>
    <w:p>
      <w:pPr>
        <w:pStyle w:val="BodyText"/>
        <w:rPr>
          <w:sz w:val="20"/>
        </w:rPr>
      </w:pPr>
    </w:p>
    <w:p>
      <w:pPr>
        <w:pStyle w:val="Heading5"/>
        <w:numPr>
          <w:ilvl w:val="1"/>
          <w:numId w:val="24"/>
        </w:numPr>
        <w:tabs>
          <w:tab w:pos="2352" w:val="left" w:leader="none"/>
          <w:tab w:pos="2353" w:val="left" w:leader="none"/>
        </w:tabs>
        <w:spacing w:line="240" w:lineRule="auto" w:before="215" w:after="0"/>
        <w:ind w:left="2352" w:right="0" w:hanging="720"/>
        <w:jc w:val="left"/>
        <w:rPr>
          <w:i/>
        </w:rPr>
      </w:pPr>
      <w:bookmarkStart w:name="_bookmark152" w:id="259"/>
      <w:bookmarkEnd w:id="259"/>
      <w:r>
        <w:rPr>
          <w:b w:val="0"/>
          <w:i w:val="0"/>
        </w:rPr>
      </w:r>
      <w:bookmarkStart w:name="_bookmark152" w:id="260"/>
      <w:bookmarkEnd w:id="260"/>
      <w:r>
        <w:rPr>
          <w:i/>
        </w:rPr>
        <w:t>Le</w:t>
      </w:r>
      <w:r>
        <w:rPr>
          <w:i/>
        </w:rPr>
        <w:t> 2-désoxyglucose</w:t>
      </w:r>
      <w:r>
        <w:rPr>
          <w:i/>
          <w:spacing w:val="-6"/>
        </w:rPr>
        <w:t> </w:t>
      </w:r>
      <w:r>
        <w:rPr>
          <w:i/>
        </w:rPr>
        <w:t>(2-DG)</w:t>
      </w:r>
    </w:p>
    <w:p>
      <w:pPr>
        <w:pStyle w:val="BodyText"/>
        <w:rPr>
          <w:b/>
          <w:i/>
          <w:sz w:val="26"/>
        </w:rPr>
      </w:pPr>
    </w:p>
    <w:p>
      <w:pPr>
        <w:pStyle w:val="BodyText"/>
        <w:spacing w:line="259" w:lineRule="auto" w:before="178"/>
        <w:ind w:left="216" w:right="215" w:firstLine="707"/>
        <w:jc w:val="both"/>
      </w:pPr>
      <w:r>
        <w:rPr/>
        <w:t>Le</w:t>
      </w:r>
      <w:r>
        <w:rPr>
          <w:spacing w:val="-5"/>
        </w:rPr>
        <w:t> </w:t>
      </w:r>
      <w:r>
        <w:rPr/>
        <w:t>2-DG</w:t>
      </w:r>
      <w:r>
        <w:rPr>
          <w:spacing w:val="-7"/>
        </w:rPr>
        <w:t> </w:t>
      </w:r>
      <w:r>
        <w:rPr/>
        <w:t>a</w:t>
      </w:r>
      <w:r>
        <w:rPr>
          <w:spacing w:val="-5"/>
        </w:rPr>
        <w:t> </w:t>
      </w:r>
      <w:r>
        <w:rPr/>
        <w:t>été</w:t>
      </w:r>
      <w:r>
        <w:rPr>
          <w:spacing w:val="-5"/>
        </w:rPr>
        <w:t> </w:t>
      </w:r>
      <w:r>
        <w:rPr/>
        <w:t>testé</w:t>
      </w:r>
      <w:r>
        <w:rPr>
          <w:spacing w:val="-5"/>
        </w:rPr>
        <w:t> </w:t>
      </w:r>
      <w:r>
        <w:rPr/>
        <w:t>en</w:t>
      </w:r>
      <w:r>
        <w:rPr>
          <w:spacing w:val="-6"/>
        </w:rPr>
        <w:t> </w:t>
      </w:r>
      <w:r>
        <w:rPr/>
        <w:t>administration</w:t>
      </w:r>
      <w:r>
        <w:rPr>
          <w:spacing w:val="-6"/>
        </w:rPr>
        <w:t> </w:t>
      </w:r>
      <w:r>
        <w:rPr/>
        <w:t>par</w:t>
      </w:r>
      <w:r>
        <w:rPr>
          <w:spacing w:val="-7"/>
        </w:rPr>
        <w:t> </w:t>
      </w:r>
      <w:r>
        <w:rPr/>
        <w:t>voie</w:t>
      </w:r>
      <w:r>
        <w:rPr>
          <w:spacing w:val="-7"/>
        </w:rPr>
        <w:t> </w:t>
      </w:r>
      <w:r>
        <w:rPr/>
        <w:t>orale</w:t>
      </w:r>
      <w:r>
        <w:rPr>
          <w:spacing w:val="-7"/>
        </w:rPr>
        <w:t> </w:t>
      </w:r>
      <w:r>
        <w:rPr/>
        <w:t>sur</w:t>
      </w:r>
      <w:r>
        <w:rPr>
          <w:spacing w:val="-7"/>
        </w:rPr>
        <w:t> </w:t>
      </w:r>
      <w:r>
        <w:rPr/>
        <w:t>des</w:t>
      </w:r>
      <w:r>
        <w:rPr>
          <w:spacing w:val="-6"/>
        </w:rPr>
        <w:t> </w:t>
      </w:r>
      <w:r>
        <w:rPr/>
        <w:t>rats,</w:t>
      </w:r>
      <w:r>
        <w:rPr>
          <w:spacing w:val="-6"/>
        </w:rPr>
        <w:t> </w:t>
      </w:r>
      <w:r>
        <w:rPr/>
        <w:t>sans</w:t>
      </w:r>
      <w:r>
        <w:rPr>
          <w:spacing w:val="-4"/>
        </w:rPr>
        <w:t> </w:t>
      </w:r>
      <w:r>
        <w:rPr/>
        <w:t>effets</w:t>
      </w:r>
      <w:r>
        <w:rPr>
          <w:spacing w:val="-3"/>
        </w:rPr>
        <w:t> </w:t>
      </w:r>
      <w:r>
        <w:rPr/>
        <w:t>secondaires notables (Lane et al., 1998). Aucun effet secondaire n’a été rapporté lors de l’utilisation </w:t>
      </w:r>
      <w:r>
        <w:rPr>
          <w:spacing w:val="-3"/>
        </w:rPr>
        <w:t>IV </w:t>
      </w:r>
      <w:r>
        <w:rPr/>
        <w:t>de 2-DG</w:t>
      </w:r>
      <w:r>
        <w:rPr>
          <w:spacing w:val="-7"/>
        </w:rPr>
        <w:t> </w:t>
      </w:r>
      <w:r>
        <w:rPr/>
        <w:t>chez</w:t>
      </w:r>
      <w:r>
        <w:rPr>
          <w:spacing w:val="-5"/>
        </w:rPr>
        <w:t> </w:t>
      </w:r>
      <w:r>
        <w:rPr/>
        <w:t>le</w:t>
      </w:r>
      <w:r>
        <w:rPr>
          <w:spacing w:val="-7"/>
        </w:rPr>
        <w:t> </w:t>
      </w:r>
      <w:r>
        <w:rPr/>
        <w:t>chien</w:t>
      </w:r>
      <w:r>
        <w:rPr>
          <w:spacing w:val="-4"/>
        </w:rPr>
        <w:t> </w:t>
      </w:r>
      <w:r>
        <w:rPr/>
        <w:t>(0,5</w:t>
      </w:r>
      <w:r>
        <w:rPr>
          <w:spacing w:val="-5"/>
        </w:rPr>
        <w:t> </w:t>
      </w:r>
      <w:r>
        <w:rPr/>
        <w:t>mL/min</w:t>
      </w:r>
      <w:r>
        <w:rPr>
          <w:spacing w:val="-6"/>
        </w:rPr>
        <w:t> </w:t>
      </w:r>
      <w:r>
        <w:rPr/>
        <w:t>sur</w:t>
      </w:r>
      <w:r>
        <w:rPr>
          <w:spacing w:val="-7"/>
        </w:rPr>
        <w:t> </w:t>
      </w:r>
      <w:r>
        <w:rPr/>
        <w:t>15</w:t>
      </w:r>
      <w:r>
        <w:rPr>
          <w:spacing w:val="-6"/>
        </w:rPr>
        <w:t> </w:t>
      </w:r>
      <w:r>
        <w:rPr/>
        <w:t>minutes</w:t>
      </w:r>
      <w:r>
        <w:rPr>
          <w:spacing w:val="-7"/>
        </w:rPr>
        <w:t> </w:t>
      </w:r>
      <w:r>
        <w:rPr/>
        <w:t>chez</w:t>
      </w:r>
      <w:r>
        <w:rPr>
          <w:spacing w:val="-5"/>
        </w:rPr>
        <w:t> </w:t>
      </w:r>
      <w:r>
        <w:rPr/>
        <w:t>des</w:t>
      </w:r>
      <w:r>
        <w:rPr>
          <w:spacing w:val="-6"/>
        </w:rPr>
        <w:t> </w:t>
      </w:r>
      <w:r>
        <w:rPr/>
        <w:t>chiens</w:t>
      </w:r>
      <w:r>
        <w:rPr>
          <w:spacing w:val="-4"/>
        </w:rPr>
        <w:t> </w:t>
      </w:r>
      <w:r>
        <w:rPr/>
        <w:t>entre</w:t>
      </w:r>
      <w:r>
        <w:rPr>
          <w:spacing w:val="-7"/>
        </w:rPr>
        <w:t> </w:t>
      </w:r>
      <w:r>
        <w:rPr/>
        <w:t>15</w:t>
      </w:r>
      <w:r>
        <w:rPr>
          <w:spacing w:val="-4"/>
        </w:rPr>
        <w:t> </w:t>
      </w:r>
      <w:r>
        <w:rPr/>
        <w:t>et</w:t>
      </w:r>
      <w:r>
        <w:rPr>
          <w:spacing w:val="-4"/>
        </w:rPr>
        <w:t> </w:t>
      </w:r>
      <w:r>
        <w:rPr/>
        <w:t>25</w:t>
      </w:r>
      <w:r>
        <w:rPr>
          <w:spacing w:val="-6"/>
        </w:rPr>
        <w:t> </w:t>
      </w:r>
      <w:r>
        <w:rPr/>
        <w:t>kg)</w:t>
      </w:r>
      <w:r>
        <w:rPr>
          <w:spacing w:val="-3"/>
        </w:rPr>
        <w:t> </w:t>
      </w:r>
      <w:r>
        <w:rPr/>
        <w:t>(Frohman</w:t>
      </w:r>
      <w:r>
        <w:rPr>
          <w:spacing w:val="-4"/>
        </w:rPr>
        <w:t> </w:t>
      </w:r>
      <w:r>
        <w:rPr/>
        <w:t>et Nagai, 1976). Aucune information récente n’a pu être trouvée sur l’utilisation du 2-DG sur les chiens et les</w:t>
      </w:r>
      <w:r>
        <w:rPr>
          <w:spacing w:val="-5"/>
        </w:rPr>
        <w:t> </w:t>
      </w:r>
      <w:r>
        <w:rPr/>
        <w:t>chats.</w:t>
      </w:r>
    </w:p>
    <w:p>
      <w:pPr>
        <w:pStyle w:val="BodyText"/>
        <w:spacing w:before="3"/>
        <w:rPr>
          <w:sz w:val="11"/>
        </w:rPr>
      </w:pPr>
      <w:r>
        <w:rPr/>
        <w:pict>
          <v:shape style="position:absolute;margin-left:65.183998pt;margin-top:8.676618pt;width:465pt;height:17.45pt;mso-position-horizontal-relative:page;mso-position-vertical-relative:paragraph;z-index:1864;mso-wrap-distance-left:0;mso-wrap-distance-right:0" type="#_x0000_t202" filled="false" stroked="true" strokeweight=".47998pt" strokecolor="#000000">
            <v:textbox inset="0,0,0,0">
              <w:txbxContent>
                <w:p>
                  <w:pPr>
                    <w:pStyle w:val="BodyText"/>
                    <w:spacing w:before="13"/>
                    <w:ind w:left="1665"/>
                  </w:pPr>
                  <w:r>
                    <w:rPr>
                      <w:u w:val="single"/>
                    </w:rPr>
                    <w:t>2-DG</w:t>
                  </w:r>
                  <w:r>
                    <w:rPr/>
                    <w:t> : pas d’informations sur l’utilisation per os (chien, chat)</w:t>
                  </w:r>
                </w:p>
              </w:txbxContent>
            </v:textbox>
            <v:stroke dashstyle="solid"/>
            <w10:wrap type="topAndBottom"/>
          </v:shape>
        </w:pict>
      </w:r>
    </w:p>
    <w:p>
      <w:pPr>
        <w:spacing w:after="0"/>
        <w:rPr>
          <w:sz w:val="11"/>
        </w:rPr>
        <w:sectPr>
          <w:pgSz w:w="11910" w:h="16840"/>
          <w:pgMar w:header="0" w:footer="1055" w:top="1320" w:bottom="1240" w:left="1200" w:right="1200"/>
        </w:sectPr>
      </w:pPr>
    </w:p>
    <w:p>
      <w:pPr>
        <w:pStyle w:val="ListParagraph"/>
        <w:numPr>
          <w:ilvl w:val="0"/>
          <w:numId w:val="24"/>
        </w:numPr>
        <w:tabs>
          <w:tab w:pos="1043" w:val="left" w:leader="none"/>
        </w:tabs>
        <w:spacing w:line="240" w:lineRule="auto" w:before="72" w:after="0"/>
        <w:ind w:left="1042" w:right="0" w:hanging="360"/>
        <w:jc w:val="left"/>
        <w:rPr>
          <w:sz w:val="24"/>
        </w:rPr>
      </w:pPr>
      <w:bookmarkStart w:name="_bookmark154" w:id="261"/>
      <w:bookmarkEnd w:id="261"/>
      <w:r>
        <w:rPr/>
      </w:r>
      <w:bookmarkStart w:name="_bookmark154" w:id="262"/>
      <w:bookmarkEnd w:id="262"/>
      <w:r>
        <w:rPr>
          <w:sz w:val="24"/>
          <w:u w:val="single"/>
        </w:rPr>
        <w:t>C</w:t>
      </w:r>
      <w:r>
        <w:rPr>
          <w:sz w:val="24"/>
          <w:u w:val="single"/>
        </w:rPr>
        <w:t>onclusions et</w:t>
      </w:r>
      <w:r>
        <w:rPr>
          <w:spacing w:val="-7"/>
          <w:sz w:val="24"/>
          <w:u w:val="single"/>
        </w:rPr>
        <w:t> </w:t>
      </w:r>
      <w:r>
        <w:rPr>
          <w:sz w:val="24"/>
          <w:u w:val="single"/>
        </w:rPr>
        <w:t>discussion</w:t>
      </w:r>
    </w:p>
    <w:p>
      <w:pPr>
        <w:pStyle w:val="BodyText"/>
        <w:rPr>
          <w:sz w:val="20"/>
        </w:rPr>
      </w:pPr>
    </w:p>
    <w:p>
      <w:pPr>
        <w:pStyle w:val="BodyText"/>
        <w:spacing w:before="8"/>
        <w:rPr>
          <w:sz w:val="21"/>
        </w:rPr>
      </w:pPr>
    </w:p>
    <w:p>
      <w:pPr>
        <w:pStyle w:val="BodyText"/>
        <w:spacing w:line="256" w:lineRule="auto"/>
        <w:ind w:left="116" w:right="116" w:firstLine="707"/>
        <w:jc w:val="both"/>
      </w:pPr>
      <w:r>
        <w:rPr/>
        <w:t>Dans les 8 molécules retenues à l’issu du raisonnement de la partie 2, I.A, il s’avère qu’il n’y a aujourd’hui pas d’indication pour l’utilisation raisonnée du 3-bromopyruvate et du 2-désoxyglucose en thérapie par voie orale chez l’animal de compagnie.</w:t>
      </w:r>
    </w:p>
    <w:p>
      <w:pPr>
        <w:pStyle w:val="BodyText"/>
        <w:spacing w:line="259" w:lineRule="auto" w:before="166"/>
        <w:ind w:left="116" w:right="113" w:firstLine="707"/>
        <w:jc w:val="both"/>
      </w:pPr>
      <w:r>
        <w:rPr/>
        <w:t>Pour les 6 autres molécules, il n’existe des données scientifiques dans le cadre du traitement du cancer que dans le cas des IPP (Spugnini et al., 2014). Néanmoins, l’utilisation de ces molécules pour d’autres usages (IPP, MET, HCA) ou les études toxicologiques (CIT, ALA)</w:t>
      </w:r>
      <w:r>
        <w:rPr>
          <w:spacing w:val="-12"/>
        </w:rPr>
        <w:t> </w:t>
      </w:r>
      <w:r>
        <w:rPr/>
        <w:t>sur</w:t>
      </w:r>
      <w:r>
        <w:rPr>
          <w:spacing w:val="-9"/>
        </w:rPr>
        <w:t> </w:t>
      </w:r>
      <w:r>
        <w:rPr/>
        <w:t>les</w:t>
      </w:r>
      <w:r>
        <w:rPr>
          <w:spacing w:val="-11"/>
        </w:rPr>
        <w:t> </w:t>
      </w:r>
      <w:r>
        <w:rPr/>
        <w:t>modèles</w:t>
      </w:r>
      <w:r>
        <w:rPr>
          <w:spacing w:val="-11"/>
        </w:rPr>
        <w:t> </w:t>
      </w:r>
      <w:r>
        <w:rPr/>
        <w:t>animaux</w:t>
      </w:r>
      <w:r>
        <w:rPr>
          <w:spacing w:val="-9"/>
        </w:rPr>
        <w:t> </w:t>
      </w:r>
      <w:r>
        <w:rPr/>
        <w:t>permettent</w:t>
      </w:r>
      <w:r>
        <w:rPr>
          <w:spacing w:val="-11"/>
        </w:rPr>
        <w:t> </w:t>
      </w:r>
      <w:r>
        <w:rPr/>
        <w:t>de</w:t>
      </w:r>
      <w:r>
        <w:rPr>
          <w:spacing w:val="-12"/>
        </w:rPr>
        <w:t> </w:t>
      </w:r>
      <w:r>
        <w:rPr/>
        <w:t>déterminer,</w:t>
      </w:r>
      <w:r>
        <w:rPr>
          <w:spacing w:val="-12"/>
        </w:rPr>
        <w:t> </w:t>
      </w:r>
      <w:r>
        <w:rPr/>
        <w:t>dans</w:t>
      </w:r>
      <w:r>
        <w:rPr>
          <w:spacing w:val="-11"/>
        </w:rPr>
        <w:t> </w:t>
      </w:r>
      <w:r>
        <w:rPr/>
        <w:t>la</w:t>
      </w:r>
      <w:r>
        <w:rPr>
          <w:spacing w:val="-9"/>
        </w:rPr>
        <w:t> </w:t>
      </w:r>
      <w:r>
        <w:rPr/>
        <w:t>plupart</w:t>
      </w:r>
      <w:r>
        <w:rPr>
          <w:spacing w:val="-11"/>
        </w:rPr>
        <w:t> </w:t>
      </w:r>
      <w:r>
        <w:rPr/>
        <w:t>des</w:t>
      </w:r>
      <w:r>
        <w:rPr>
          <w:spacing w:val="-9"/>
        </w:rPr>
        <w:t> </w:t>
      </w:r>
      <w:r>
        <w:rPr/>
        <w:t>cas,</w:t>
      </w:r>
      <w:r>
        <w:rPr>
          <w:spacing w:val="-11"/>
        </w:rPr>
        <w:t> </w:t>
      </w:r>
      <w:r>
        <w:rPr/>
        <w:t>les</w:t>
      </w:r>
      <w:r>
        <w:rPr>
          <w:spacing w:val="-11"/>
        </w:rPr>
        <w:t> </w:t>
      </w:r>
      <w:r>
        <w:rPr/>
        <w:t>doses</w:t>
      </w:r>
      <w:r>
        <w:rPr>
          <w:spacing w:val="-11"/>
        </w:rPr>
        <w:t> </w:t>
      </w:r>
      <w:r>
        <w:rPr/>
        <w:t>sans effets</w:t>
      </w:r>
      <w:r>
        <w:rPr>
          <w:spacing w:val="-11"/>
        </w:rPr>
        <w:t> </w:t>
      </w:r>
      <w:r>
        <w:rPr/>
        <w:t>nocifs</w:t>
      </w:r>
      <w:r>
        <w:rPr>
          <w:spacing w:val="-12"/>
        </w:rPr>
        <w:t> </w:t>
      </w:r>
      <w:r>
        <w:rPr/>
        <w:t>observables</w:t>
      </w:r>
      <w:r>
        <w:rPr>
          <w:spacing w:val="-10"/>
        </w:rPr>
        <w:t> </w:t>
      </w:r>
      <w:r>
        <w:rPr/>
        <w:t>(voir</w:t>
      </w:r>
      <w:r>
        <w:rPr>
          <w:spacing w:val="-13"/>
        </w:rPr>
        <w:t> </w:t>
      </w:r>
      <w:r>
        <w:rPr/>
        <w:t>encadrés).</w:t>
      </w:r>
      <w:r>
        <w:rPr>
          <w:spacing w:val="-11"/>
        </w:rPr>
        <w:t> </w:t>
      </w:r>
      <w:r>
        <w:rPr/>
        <w:t>Ces</w:t>
      </w:r>
      <w:r>
        <w:rPr>
          <w:spacing w:val="-12"/>
        </w:rPr>
        <w:t> </w:t>
      </w:r>
      <w:r>
        <w:rPr/>
        <w:t>informations,</w:t>
      </w:r>
      <w:r>
        <w:rPr>
          <w:spacing w:val="-11"/>
        </w:rPr>
        <w:t> </w:t>
      </w:r>
      <w:r>
        <w:rPr/>
        <w:t>entre</w:t>
      </w:r>
      <w:r>
        <w:rPr>
          <w:spacing w:val="-13"/>
        </w:rPr>
        <w:t> </w:t>
      </w:r>
      <w:r>
        <w:rPr/>
        <w:t>autres,</w:t>
      </w:r>
      <w:r>
        <w:rPr>
          <w:spacing w:val="-12"/>
        </w:rPr>
        <w:t> </w:t>
      </w:r>
      <w:r>
        <w:rPr/>
        <w:t>ont</w:t>
      </w:r>
      <w:r>
        <w:rPr>
          <w:spacing w:val="-12"/>
        </w:rPr>
        <w:t> </w:t>
      </w:r>
      <w:r>
        <w:rPr/>
        <w:t>permis</w:t>
      </w:r>
      <w:r>
        <w:rPr>
          <w:spacing w:val="-12"/>
        </w:rPr>
        <w:t> </w:t>
      </w:r>
      <w:r>
        <w:rPr/>
        <w:t>l’utilisation de manière empirique de ces molécules en clinique vétérinaire (cf. Partie 2,</w:t>
      </w:r>
      <w:r>
        <w:rPr>
          <w:spacing w:val="-14"/>
        </w:rPr>
        <w:t> </w:t>
      </w:r>
      <w:r>
        <w:rPr/>
        <w:t>II).</w:t>
      </w:r>
    </w:p>
    <w:p>
      <w:pPr>
        <w:pStyle w:val="BodyText"/>
        <w:spacing w:line="259" w:lineRule="auto" w:before="161"/>
        <w:ind w:left="116" w:right="114" w:firstLine="707"/>
        <w:jc w:val="both"/>
      </w:pPr>
      <w:r>
        <w:rPr/>
        <w:t>Il n’existe aujourd’hui pas d’essai clinique publié en médecine vétérinaire concernant l’utilisation</w:t>
      </w:r>
      <w:r>
        <w:rPr>
          <w:spacing w:val="-9"/>
        </w:rPr>
        <w:t> </w:t>
      </w:r>
      <w:r>
        <w:rPr/>
        <w:t>de</w:t>
      </w:r>
      <w:r>
        <w:rPr>
          <w:spacing w:val="-11"/>
        </w:rPr>
        <w:t> </w:t>
      </w:r>
      <w:r>
        <w:rPr/>
        <w:t>ces</w:t>
      </w:r>
      <w:r>
        <w:rPr>
          <w:spacing w:val="-10"/>
        </w:rPr>
        <w:t> </w:t>
      </w:r>
      <w:r>
        <w:rPr/>
        <w:t>molécules.</w:t>
      </w:r>
      <w:r>
        <w:rPr>
          <w:spacing w:val="-8"/>
        </w:rPr>
        <w:t> </w:t>
      </w:r>
      <w:r>
        <w:rPr>
          <w:spacing w:val="-3"/>
        </w:rPr>
        <w:t>Il</w:t>
      </w:r>
      <w:r>
        <w:rPr>
          <w:spacing w:val="-7"/>
        </w:rPr>
        <w:t> </w:t>
      </w:r>
      <w:r>
        <w:rPr/>
        <w:t>en</w:t>
      </w:r>
      <w:r>
        <w:rPr>
          <w:spacing w:val="-10"/>
        </w:rPr>
        <w:t> </w:t>
      </w:r>
      <w:r>
        <w:rPr/>
        <w:t>existe</w:t>
      </w:r>
      <w:r>
        <w:rPr>
          <w:spacing w:val="-11"/>
        </w:rPr>
        <w:t> </w:t>
      </w:r>
      <w:r>
        <w:rPr/>
        <w:t>néanmoins</w:t>
      </w:r>
      <w:r>
        <w:rPr>
          <w:spacing w:val="-10"/>
        </w:rPr>
        <w:t> </w:t>
      </w:r>
      <w:r>
        <w:rPr/>
        <w:t>pour</w:t>
      </w:r>
      <w:r>
        <w:rPr>
          <w:spacing w:val="-11"/>
        </w:rPr>
        <w:t> </w:t>
      </w:r>
      <w:r>
        <w:rPr/>
        <w:t>les</w:t>
      </w:r>
      <w:r>
        <w:rPr>
          <w:spacing w:val="-10"/>
        </w:rPr>
        <w:t> </w:t>
      </w:r>
      <w:r>
        <w:rPr/>
        <w:t>inhibiteurs</w:t>
      </w:r>
      <w:r>
        <w:rPr>
          <w:spacing w:val="-11"/>
        </w:rPr>
        <w:t> </w:t>
      </w:r>
      <w:r>
        <w:rPr/>
        <w:t>de</w:t>
      </w:r>
      <w:r>
        <w:rPr>
          <w:spacing w:val="-9"/>
        </w:rPr>
        <w:t> </w:t>
      </w:r>
      <w:r>
        <w:rPr/>
        <w:t>mTOR,</w:t>
      </w:r>
      <w:r>
        <w:rPr>
          <w:spacing w:val="-10"/>
        </w:rPr>
        <w:t> </w:t>
      </w:r>
      <w:r>
        <w:rPr/>
        <w:t>notamment la rapamycine, que nous avions exclue pour des raisons financières. De nombreux essais cliniques en cours aux États-Unis concernent la rapamycine. Le détail de ces essais peut être trouvé dans la base de données des études en santé animale de l’Association Américaine de Médecine Vétérinaire (AAHSD000069 - AHSD000087 - AAHSD000185 - AAHSD000136 – AAHSD000258 - COTC021- AAHSD000120 - AAHSD000086 - AAHSD004140 - AAHSD000114 - AAHSD000076 -</w:t>
      </w:r>
      <w:r>
        <w:rPr>
          <w:spacing w:val="-3"/>
        </w:rPr>
        <w:t> </w:t>
      </w:r>
      <w:r>
        <w:rPr/>
        <w:t>AAHSD000079).</w:t>
      </w:r>
    </w:p>
    <w:p>
      <w:pPr>
        <w:pStyle w:val="BodyText"/>
        <w:spacing w:line="256" w:lineRule="auto" w:before="163"/>
        <w:ind w:left="116" w:right="120" w:firstLine="707"/>
        <w:jc w:val="both"/>
      </w:pPr>
      <w:r>
        <w:rPr/>
        <w:t>Voyons maintenant comment les 6 molécules retenues jusqu’alors ont pu être utilisées de manière empirique en clinique, et les apports de cette utilisation pour ce travail.</w:t>
      </w:r>
    </w:p>
    <w:p>
      <w:pPr>
        <w:spacing w:after="0" w:line="256" w:lineRule="auto"/>
        <w:jc w:val="both"/>
        <w:sectPr>
          <w:pgSz w:w="11910" w:h="16840"/>
          <w:pgMar w:header="0" w:footer="1055" w:top="1320" w:bottom="1240" w:left="1300" w:right="1300"/>
        </w:sectPr>
      </w:pPr>
    </w:p>
    <w:p>
      <w:pPr>
        <w:pStyle w:val="Heading2"/>
        <w:numPr>
          <w:ilvl w:val="0"/>
          <w:numId w:val="21"/>
        </w:numPr>
        <w:tabs>
          <w:tab w:pos="1196" w:val="left" w:leader="none"/>
          <w:tab w:pos="1197" w:val="left" w:leader="none"/>
        </w:tabs>
        <w:spacing w:line="240" w:lineRule="auto" w:before="57" w:after="0"/>
        <w:ind w:left="1196" w:right="0" w:hanging="720"/>
        <w:jc w:val="left"/>
        <w:rPr>
          <w:u w:val="none"/>
        </w:rPr>
      </w:pPr>
      <w:r>
        <w:rPr>
          <w:u w:val="thick"/>
        </w:rPr>
        <w:t>Rapport de cas</w:t>
      </w:r>
      <w:r>
        <w:rPr>
          <w:spacing w:val="-7"/>
          <w:u w:val="thick"/>
        </w:rPr>
        <w:t> </w:t>
      </w:r>
      <w:r>
        <w:rPr>
          <w:u w:val="thick"/>
        </w:rPr>
        <w:t>cliniques</w:t>
      </w:r>
    </w:p>
    <w:p>
      <w:pPr>
        <w:pStyle w:val="BodyText"/>
        <w:rPr>
          <w:b/>
          <w:sz w:val="20"/>
        </w:rPr>
      </w:pPr>
    </w:p>
    <w:p>
      <w:pPr>
        <w:pStyle w:val="BodyText"/>
        <w:spacing w:before="1"/>
        <w:rPr>
          <w:b/>
          <w:sz w:val="22"/>
        </w:rPr>
      </w:pPr>
    </w:p>
    <w:p>
      <w:pPr>
        <w:pStyle w:val="BodyText"/>
        <w:spacing w:line="259" w:lineRule="auto"/>
        <w:ind w:left="116" w:right="117" w:firstLine="707"/>
        <w:jc w:val="both"/>
      </w:pPr>
      <w:r>
        <w:rPr/>
        <w:t>Cette partie consiste en une étude descriptive de plusieurs patients (chats et chiens) cancéreux chez lesquels une thérapie à base de molécules ciblant le métabolisme de la cellule cancéreuse a été mise en place. Cette thérapie sera appelée </w:t>
      </w:r>
      <w:r>
        <w:rPr>
          <w:b/>
        </w:rPr>
        <w:t>thérapie métabolique </w:t>
      </w:r>
      <w:r>
        <w:rPr/>
        <w:t>(TM), au sens de thérapie à base d’une association de molécules ciblant le métabolisme spécifique de la cellule cancéreuse. Cette étude préliminaire a motivé la réalisation de cette thèse d’exercice et vise à évaluer la tolérance des animaux aux molécules sélectionnées précédemment.</w:t>
      </w:r>
    </w:p>
    <w:p>
      <w:pPr>
        <w:pStyle w:val="BodyText"/>
        <w:rPr>
          <w:sz w:val="26"/>
        </w:rPr>
      </w:pPr>
    </w:p>
    <w:p>
      <w:pPr>
        <w:pStyle w:val="BodyText"/>
        <w:spacing w:before="2"/>
        <w:rPr>
          <w:sz w:val="28"/>
        </w:rPr>
      </w:pPr>
    </w:p>
    <w:p>
      <w:pPr>
        <w:pStyle w:val="Heading3"/>
        <w:numPr>
          <w:ilvl w:val="1"/>
          <w:numId w:val="21"/>
        </w:numPr>
        <w:tabs>
          <w:tab w:pos="1535" w:val="left" w:leader="none"/>
        </w:tabs>
        <w:spacing w:line="240" w:lineRule="auto" w:before="0" w:after="0"/>
        <w:ind w:left="1534" w:right="0" w:hanging="360"/>
        <w:jc w:val="left"/>
      </w:pPr>
      <w:bookmarkStart w:name="_bookmark155" w:id="263"/>
      <w:bookmarkEnd w:id="263"/>
      <w:r>
        <w:rPr>
          <w:b w:val="0"/>
        </w:rPr>
      </w:r>
      <w:bookmarkStart w:name="_bookmark155" w:id="264"/>
      <w:bookmarkEnd w:id="264"/>
      <w:r>
        <w:rPr/>
        <w:t>M</w:t>
      </w:r>
      <w:r>
        <w:rPr/>
        <w:t>atériels et</w:t>
      </w:r>
      <w:r>
        <w:rPr>
          <w:spacing w:val="-6"/>
        </w:rPr>
        <w:t> </w:t>
      </w:r>
      <w:r>
        <w:rPr/>
        <w:t>méthodes</w:t>
      </w:r>
    </w:p>
    <w:p>
      <w:pPr>
        <w:pStyle w:val="BodyText"/>
        <w:spacing w:before="9"/>
        <w:rPr>
          <w:b/>
          <w:sz w:val="41"/>
        </w:rPr>
      </w:pPr>
    </w:p>
    <w:p>
      <w:pPr>
        <w:pStyle w:val="ListParagraph"/>
        <w:numPr>
          <w:ilvl w:val="0"/>
          <w:numId w:val="25"/>
        </w:numPr>
        <w:tabs>
          <w:tab w:pos="1110" w:val="left" w:leader="none"/>
        </w:tabs>
        <w:spacing w:line="240" w:lineRule="auto" w:before="0" w:after="0"/>
        <w:ind w:left="1110" w:right="0" w:hanging="360"/>
        <w:jc w:val="left"/>
        <w:rPr>
          <w:sz w:val="24"/>
        </w:rPr>
      </w:pPr>
      <w:bookmarkStart w:name="_bookmark156" w:id="265"/>
      <w:bookmarkEnd w:id="265"/>
      <w:r>
        <w:rPr/>
      </w:r>
      <w:bookmarkStart w:name="_bookmark156" w:id="266"/>
      <w:bookmarkEnd w:id="266"/>
      <w:r>
        <w:rPr>
          <w:sz w:val="24"/>
          <w:u w:val="single"/>
        </w:rPr>
        <w:t>C</w:t>
      </w:r>
      <w:r>
        <w:rPr>
          <w:sz w:val="24"/>
          <w:u w:val="single"/>
        </w:rPr>
        <w:t>ritères d’inclusion des</w:t>
      </w:r>
      <w:r>
        <w:rPr>
          <w:spacing w:val="-5"/>
          <w:sz w:val="24"/>
          <w:u w:val="single"/>
        </w:rPr>
        <w:t> </w:t>
      </w:r>
      <w:r>
        <w:rPr>
          <w:sz w:val="24"/>
          <w:u w:val="single"/>
        </w:rPr>
        <w:t>patients</w:t>
      </w:r>
    </w:p>
    <w:p>
      <w:pPr>
        <w:pStyle w:val="BodyText"/>
        <w:rPr>
          <w:sz w:val="20"/>
        </w:rPr>
      </w:pPr>
    </w:p>
    <w:p>
      <w:pPr>
        <w:pStyle w:val="BodyText"/>
        <w:spacing w:before="8"/>
        <w:rPr>
          <w:sz w:val="21"/>
        </w:rPr>
      </w:pPr>
    </w:p>
    <w:p>
      <w:pPr>
        <w:pStyle w:val="BodyText"/>
        <w:spacing w:line="276" w:lineRule="auto"/>
        <w:ind w:left="116" w:right="115" w:firstLine="707"/>
        <w:jc w:val="both"/>
      </w:pPr>
      <w:r>
        <w:rPr/>
        <w:t>Tous les cas ont été suivis au Centre Hospitalier Vétérinaire (CHV) Saint-Martin par le docteur Stéphane Doliger entre 2013 et 2015. Les protocoles ont été instaurés soit à l’issue d’une rémission obtenue à l’aide d’une chimiothérapie classique, soit en parallèle d’un traitement</w:t>
      </w:r>
      <w:r>
        <w:rPr>
          <w:spacing w:val="-10"/>
        </w:rPr>
        <w:t> </w:t>
      </w:r>
      <w:r>
        <w:rPr/>
        <w:t>conventionnel</w:t>
      </w:r>
      <w:r>
        <w:rPr>
          <w:spacing w:val="-9"/>
        </w:rPr>
        <w:t> </w:t>
      </w:r>
      <w:r>
        <w:rPr/>
        <w:t>(chimiothérapie</w:t>
      </w:r>
      <w:r>
        <w:rPr>
          <w:spacing w:val="-10"/>
        </w:rPr>
        <w:t> </w:t>
      </w:r>
      <w:r>
        <w:rPr/>
        <w:t>MTD</w:t>
      </w:r>
      <w:r>
        <w:rPr>
          <w:spacing w:val="-10"/>
        </w:rPr>
        <w:t> </w:t>
      </w:r>
      <w:r>
        <w:rPr/>
        <w:t>(Maximum</w:t>
      </w:r>
      <w:r>
        <w:rPr>
          <w:spacing w:val="-12"/>
        </w:rPr>
        <w:t> </w:t>
      </w:r>
      <w:r>
        <w:rPr/>
        <w:t>Tolerated</w:t>
      </w:r>
      <w:r>
        <w:rPr>
          <w:spacing w:val="-10"/>
        </w:rPr>
        <w:t> </w:t>
      </w:r>
      <w:r>
        <w:rPr/>
        <w:t>Dose),</w:t>
      </w:r>
      <w:r>
        <w:rPr>
          <w:spacing w:val="-8"/>
        </w:rPr>
        <w:t> </w:t>
      </w:r>
      <w:r>
        <w:rPr/>
        <w:t>métronomique</w:t>
      </w:r>
      <w:r>
        <w:rPr>
          <w:spacing w:val="-11"/>
        </w:rPr>
        <w:t> </w:t>
      </w:r>
      <w:r>
        <w:rPr/>
        <w:t>ou anti-inflammatoires anti COX-2) lorsque les clients étaient intéressés. Le traitement était également proposé en thérapie palliative en cas de tumeur non opérable ou lorsque les propriétaires étaient demandeurs d’une alternative aux thérapies</w:t>
      </w:r>
      <w:r>
        <w:rPr>
          <w:spacing w:val="-14"/>
        </w:rPr>
        <w:t> </w:t>
      </w:r>
      <w:r>
        <w:rPr/>
        <w:t>conventionnelles.</w:t>
      </w:r>
    </w:p>
    <w:p>
      <w:pPr>
        <w:pStyle w:val="BodyText"/>
        <w:spacing w:line="276" w:lineRule="auto" w:before="164"/>
        <w:ind w:left="116" w:right="115" w:firstLine="707"/>
        <w:jc w:val="both"/>
      </w:pPr>
      <w:r>
        <w:rPr/>
        <w:t>Les animaux ayant reçu une prescription de thérapie métabolique (TM) ont été recherchés</w:t>
      </w:r>
      <w:r>
        <w:rPr>
          <w:spacing w:val="-3"/>
        </w:rPr>
        <w:t> </w:t>
      </w:r>
      <w:r>
        <w:rPr/>
        <w:t>dans</w:t>
      </w:r>
      <w:r>
        <w:rPr>
          <w:spacing w:val="-4"/>
        </w:rPr>
        <w:t> </w:t>
      </w:r>
      <w:r>
        <w:rPr/>
        <w:t>le</w:t>
      </w:r>
      <w:r>
        <w:rPr>
          <w:spacing w:val="-4"/>
        </w:rPr>
        <w:t> </w:t>
      </w:r>
      <w:r>
        <w:rPr/>
        <w:t>logiciel</w:t>
      </w:r>
      <w:r>
        <w:rPr>
          <w:spacing w:val="-3"/>
        </w:rPr>
        <w:t> </w:t>
      </w:r>
      <w:r>
        <w:rPr/>
        <w:t>du</w:t>
      </w:r>
      <w:r>
        <w:rPr>
          <w:spacing w:val="-4"/>
        </w:rPr>
        <w:t> </w:t>
      </w:r>
      <w:r>
        <w:rPr/>
        <w:t>CHV</w:t>
      </w:r>
      <w:r>
        <w:rPr>
          <w:spacing w:val="-4"/>
        </w:rPr>
        <w:t> </w:t>
      </w:r>
      <w:r>
        <w:rPr/>
        <w:t>en</w:t>
      </w:r>
      <w:r>
        <w:rPr>
          <w:spacing w:val="-4"/>
        </w:rPr>
        <w:t> </w:t>
      </w:r>
      <w:r>
        <w:rPr/>
        <w:t>juillet</w:t>
      </w:r>
      <w:r>
        <w:rPr>
          <w:spacing w:val="-3"/>
        </w:rPr>
        <w:t> </w:t>
      </w:r>
      <w:r>
        <w:rPr/>
        <w:t>2015,</w:t>
      </w:r>
      <w:r>
        <w:rPr>
          <w:spacing w:val="-4"/>
        </w:rPr>
        <w:t> </w:t>
      </w:r>
      <w:r>
        <w:rPr/>
        <w:t>à</w:t>
      </w:r>
      <w:r>
        <w:rPr>
          <w:spacing w:val="-5"/>
        </w:rPr>
        <w:t> </w:t>
      </w:r>
      <w:r>
        <w:rPr/>
        <w:t>l’aide</w:t>
      </w:r>
      <w:r>
        <w:rPr>
          <w:spacing w:val="-4"/>
        </w:rPr>
        <w:t> </w:t>
      </w:r>
      <w:r>
        <w:rPr/>
        <w:t>du</w:t>
      </w:r>
      <w:r>
        <w:rPr>
          <w:spacing w:val="-4"/>
        </w:rPr>
        <w:t> </w:t>
      </w:r>
      <w:r>
        <w:rPr/>
        <w:t>mot</w:t>
      </w:r>
      <w:r>
        <w:rPr>
          <w:spacing w:val="-3"/>
        </w:rPr>
        <w:t> </w:t>
      </w:r>
      <w:r>
        <w:rPr/>
        <w:t>clef</w:t>
      </w:r>
      <w:r>
        <w:rPr>
          <w:spacing w:val="-1"/>
        </w:rPr>
        <w:t> </w:t>
      </w:r>
      <w:r>
        <w:rPr/>
        <w:t>«</w:t>
      </w:r>
      <w:r>
        <w:rPr>
          <w:spacing w:val="-6"/>
        </w:rPr>
        <w:t> </w:t>
      </w:r>
      <w:r>
        <w:rPr/>
        <w:t>métabolique</w:t>
      </w:r>
      <w:r>
        <w:rPr>
          <w:spacing w:val="2"/>
        </w:rPr>
        <w:t> </w:t>
      </w:r>
      <w:r>
        <w:rPr>
          <w:spacing w:val="-4"/>
        </w:rPr>
        <w:t>»,</w:t>
      </w:r>
      <w:r>
        <w:rPr>
          <w:spacing w:val="-1"/>
        </w:rPr>
        <w:t> </w:t>
      </w:r>
      <w:r>
        <w:rPr/>
        <w:t>et</w:t>
      </w:r>
      <w:r>
        <w:rPr>
          <w:spacing w:val="-3"/>
        </w:rPr>
        <w:t> </w:t>
      </w:r>
      <w:r>
        <w:rPr/>
        <w:t>des noms des molécules utilisées. Suite à l’étude de ces premiers dossiers collectés, n’ont été conservés que les animaux ayant suivi un minimum de 2 semaines de traitement à base d’une molécule</w:t>
      </w:r>
      <w:r>
        <w:rPr>
          <w:spacing w:val="-7"/>
        </w:rPr>
        <w:t> </w:t>
      </w:r>
      <w:r>
        <w:rPr/>
        <w:t>ciblant</w:t>
      </w:r>
      <w:r>
        <w:rPr>
          <w:spacing w:val="-6"/>
        </w:rPr>
        <w:t> </w:t>
      </w:r>
      <w:r>
        <w:rPr/>
        <w:t>le</w:t>
      </w:r>
      <w:r>
        <w:rPr>
          <w:spacing w:val="-7"/>
        </w:rPr>
        <w:t> </w:t>
      </w:r>
      <w:r>
        <w:rPr/>
        <w:t>métabolisme</w:t>
      </w:r>
      <w:r>
        <w:rPr>
          <w:spacing w:val="-7"/>
        </w:rPr>
        <w:t> </w:t>
      </w:r>
      <w:r>
        <w:rPr/>
        <w:t>et</w:t>
      </w:r>
      <w:r>
        <w:rPr>
          <w:spacing w:val="-6"/>
        </w:rPr>
        <w:t> </w:t>
      </w:r>
      <w:r>
        <w:rPr/>
        <w:t>dont</w:t>
      </w:r>
      <w:r>
        <w:rPr>
          <w:spacing w:val="-6"/>
        </w:rPr>
        <w:t> </w:t>
      </w:r>
      <w:r>
        <w:rPr/>
        <w:t>la</w:t>
      </w:r>
      <w:r>
        <w:rPr>
          <w:spacing w:val="-7"/>
        </w:rPr>
        <w:t> </w:t>
      </w:r>
      <w:r>
        <w:rPr/>
        <w:t>date</w:t>
      </w:r>
      <w:r>
        <w:rPr>
          <w:spacing w:val="-7"/>
        </w:rPr>
        <w:t> </w:t>
      </w:r>
      <w:r>
        <w:rPr/>
        <w:t>de</w:t>
      </w:r>
      <w:r>
        <w:rPr>
          <w:spacing w:val="-5"/>
        </w:rPr>
        <w:t> </w:t>
      </w:r>
      <w:r>
        <w:rPr/>
        <w:t>décès</w:t>
      </w:r>
      <w:r>
        <w:rPr>
          <w:spacing w:val="-6"/>
        </w:rPr>
        <w:t> </w:t>
      </w:r>
      <w:r>
        <w:rPr/>
        <w:t>était</w:t>
      </w:r>
      <w:r>
        <w:rPr>
          <w:spacing w:val="-3"/>
        </w:rPr>
        <w:t> </w:t>
      </w:r>
      <w:r>
        <w:rPr/>
        <w:t>connue. 2</w:t>
      </w:r>
      <w:r>
        <w:rPr>
          <w:spacing w:val="-6"/>
        </w:rPr>
        <w:t> </w:t>
      </w:r>
      <w:r>
        <w:rPr/>
        <w:t>semaines</w:t>
      </w:r>
      <w:r>
        <w:rPr>
          <w:spacing w:val="-6"/>
        </w:rPr>
        <w:t> </w:t>
      </w:r>
      <w:r>
        <w:rPr/>
        <w:t>de</w:t>
      </w:r>
      <w:r>
        <w:rPr>
          <w:spacing w:val="-7"/>
        </w:rPr>
        <w:t> </w:t>
      </w:r>
      <w:r>
        <w:rPr/>
        <w:t>traitement sont en effet nécessaires pour évaluer la réponse au traitement, observer les effets secondaires éventuels et ainsi déterminer la</w:t>
      </w:r>
      <w:r>
        <w:rPr>
          <w:spacing w:val="-9"/>
        </w:rPr>
        <w:t> </w:t>
      </w:r>
      <w:r>
        <w:rPr/>
        <w:t>tolérance.</w:t>
      </w:r>
    </w:p>
    <w:p>
      <w:pPr>
        <w:pStyle w:val="BodyText"/>
        <w:rPr>
          <w:sz w:val="26"/>
        </w:rPr>
      </w:pPr>
    </w:p>
    <w:p>
      <w:pPr>
        <w:pStyle w:val="BodyText"/>
        <w:spacing w:before="9"/>
        <w:rPr>
          <w:sz w:val="29"/>
        </w:rPr>
      </w:pPr>
    </w:p>
    <w:p>
      <w:pPr>
        <w:pStyle w:val="ListParagraph"/>
        <w:numPr>
          <w:ilvl w:val="0"/>
          <w:numId w:val="25"/>
        </w:numPr>
        <w:tabs>
          <w:tab w:pos="1110" w:val="left" w:leader="none"/>
        </w:tabs>
        <w:spacing w:line="240" w:lineRule="auto" w:before="1" w:after="0"/>
        <w:ind w:left="1110" w:right="0" w:hanging="360"/>
        <w:jc w:val="left"/>
        <w:rPr>
          <w:sz w:val="24"/>
        </w:rPr>
      </w:pPr>
      <w:bookmarkStart w:name="_bookmark157" w:id="267"/>
      <w:bookmarkEnd w:id="267"/>
      <w:r>
        <w:rPr/>
      </w:r>
      <w:bookmarkStart w:name="_bookmark157" w:id="268"/>
      <w:bookmarkEnd w:id="268"/>
      <w:r>
        <w:rPr>
          <w:sz w:val="24"/>
          <w:u w:val="single"/>
        </w:rPr>
        <w:t>Molé</w:t>
      </w:r>
      <w:r>
        <w:rPr>
          <w:sz w:val="24"/>
          <w:u w:val="single"/>
        </w:rPr>
        <w:t>cules utilisées et critères de la</w:t>
      </w:r>
      <w:r>
        <w:rPr>
          <w:spacing w:val="-10"/>
          <w:sz w:val="24"/>
          <w:u w:val="single"/>
        </w:rPr>
        <w:t> </w:t>
      </w:r>
      <w:r>
        <w:rPr>
          <w:sz w:val="24"/>
          <w:u w:val="single"/>
        </w:rPr>
        <w:t>prescription</w:t>
      </w:r>
    </w:p>
    <w:p>
      <w:pPr>
        <w:pStyle w:val="BodyText"/>
        <w:rPr>
          <w:sz w:val="20"/>
        </w:rPr>
      </w:pPr>
    </w:p>
    <w:p>
      <w:pPr>
        <w:pStyle w:val="BodyText"/>
        <w:spacing w:before="10"/>
        <w:rPr>
          <w:sz w:val="21"/>
        </w:rPr>
      </w:pPr>
    </w:p>
    <w:p>
      <w:pPr>
        <w:pStyle w:val="Heading5"/>
        <w:numPr>
          <w:ilvl w:val="1"/>
          <w:numId w:val="25"/>
        </w:numPr>
        <w:tabs>
          <w:tab w:pos="2252" w:val="left" w:leader="none"/>
          <w:tab w:pos="2253" w:val="left" w:leader="none"/>
        </w:tabs>
        <w:spacing w:line="240" w:lineRule="auto" w:before="1" w:after="0"/>
        <w:ind w:left="2252" w:right="0" w:hanging="720"/>
        <w:jc w:val="left"/>
        <w:rPr>
          <w:i/>
        </w:rPr>
      </w:pPr>
      <w:bookmarkStart w:name="_bookmark158" w:id="269"/>
      <w:bookmarkEnd w:id="269"/>
      <w:r>
        <w:rPr>
          <w:b w:val="0"/>
          <w:i w:val="0"/>
        </w:rPr>
      </w:r>
      <w:bookmarkStart w:name="_bookmark158" w:id="270"/>
      <w:bookmarkEnd w:id="270"/>
      <w:r>
        <w:rPr>
          <w:i/>
        </w:rPr>
        <w:t>Molé</w:t>
      </w:r>
      <w:r>
        <w:rPr>
          <w:i/>
        </w:rPr>
        <w:t>cules utilisées et</w:t>
      </w:r>
      <w:r>
        <w:rPr>
          <w:i/>
          <w:spacing w:val="-7"/>
        </w:rPr>
        <w:t> </w:t>
      </w:r>
      <w:r>
        <w:rPr>
          <w:i/>
        </w:rPr>
        <w:t>association</w:t>
      </w:r>
    </w:p>
    <w:p>
      <w:pPr>
        <w:pStyle w:val="BodyText"/>
        <w:rPr>
          <w:b/>
          <w:i/>
          <w:sz w:val="26"/>
        </w:rPr>
      </w:pPr>
    </w:p>
    <w:p>
      <w:pPr>
        <w:pStyle w:val="BodyText"/>
        <w:spacing w:line="259" w:lineRule="auto" w:before="176"/>
        <w:ind w:left="116" w:right="116" w:firstLine="707"/>
        <w:jc w:val="both"/>
      </w:pPr>
      <w:r>
        <w:rPr/>
        <w:t>Les thérapies mises en place varient selon les animaux. Ont été utilisés de l’acide lipoïque (ALA), du dichloroacétate (DCA), de l’hydroxycitrate (HCA), de la metformine (MET), de l’oméprazole (OMP), du lansoprazole (LSP), et du citrate (CIT). Les molécules utilisées sont celles pour lesquelles une dose utilisable per os chez l’animal de compagnie a pu être déterminée d’après les publications.</w:t>
      </w:r>
    </w:p>
    <w:p>
      <w:pPr>
        <w:pStyle w:val="BodyText"/>
        <w:spacing w:line="261" w:lineRule="auto" w:before="161"/>
        <w:ind w:left="116" w:right="115" w:firstLine="707"/>
        <w:jc w:val="both"/>
      </w:pPr>
      <w:r>
        <w:rPr/>
        <w:t>Selon les patients, les molécules ont été associées de différentes manières. Les critères de décision de la prescription étaient aléatoires. Il n’y a pas eu de rationnel pour l’association</w:t>
      </w:r>
    </w:p>
    <w:p>
      <w:pPr>
        <w:spacing w:after="0" w:line="261" w:lineRule="auto"/>
        <w:jc w:val="both"/>
        <w:sectPr>
          <w:pgSz w:w="11910" w:h="16840"/>
          <w:pgMar w:header="0" w:footer="1055" w:top="1340" w:bottom="1240" w:left="1300" w:right="1300"/>
        </w:sectPr>
      </w:pPr>
    </w:p>
    <w:p>
      <w:pPr>
        <w:pStyle w:val="BodyText"/>
        <w:spacing w:line="259" w:lineRule="auto" w:before="72"/>
        <w:ind w:left="116" w:right="178"/>
      </w:pPr>
      <w:r>
        <w:rPr/>
        <w:t>d’une molécule particulière à un cancer spécifique, et les combinaisons ont été faites de façon empirique. Les éléments suivants entraient également en ligne de compte :</w:t>
      </w:r>
    </w:p>
    <w:p>
      <w:pPr>
        <w:pStyle w:val="ListParagraph"/>
        <w:numPr>
          <w:ilvl w:val="0"/>
          <w:numId w:val="26"/>
        </w:numPr>
        <w:tabs>
          <w:tab w:pos="1185" w:val="left" w:leader="none"/>
        </w:tabs>
        <w:spacing w:line="259" w:lineRule="auto" w:before="161" w:after="0"/>
        <w:ind w:left="1184" w:right="1120" w:hanging="360"/>
        <w:jc w:val="both"/>
        <w:rPr>
          <w:sz w:val="24"/>
        </w:rPr>
      </w:pPr>
      <w:r>
        <w:rPr>
          <w:sz w:val="24"/>
        </w:rPr>
        <w:t>la disponibilité des molécules (difficulté de reconditionnement) au moment de la première</w:t>
      </w:r>
      <w:r>
        <w:rPr>
          <w:spacing w:val="-2"/>
          <w:sz w:val="24"/>
        </w:rPr>
        <w:t> </w:t>
      </w:r>
      <w:r>
        <w:rPr>
          <w:sz w:val="24"/>
        </w:rPr>
        <w:t>consultation,</w:t>
      </w:r>
    </w:p>
    <w:p>
      <w:pPr>
        <w:pStyle w:val="ListParagraph"/>
        <w:numPr>
          <w:ilvl w:val="0"/>
          <w:numId w:val="26"/>
        </w:numPr>
        <w:tabs>
          <w:tab w:pos="1185" w:val="left" w:leader="none"/>
        </w:tabs>
        <w:spacing w:line="259" w:lineRule="auto" w:before="0" w:after="0"/>
        <w:ind w:left="1184" w:right="1115" w:hanging="360"/>
        <w:jc w:val="both"/>
        <w:rPr>
          <w:sz w:val="24"/>
        </w:rPr>
      </w:pPr>
      <w:r>
        <w:rPr>
          <w:sz w:val="24"/>
        </w:rPr>
        <w:t>la toxicité d’une molécule pour une espèce. Par exemple, chez le chat, l’acide lipoïque</w:t>
      </w:r>
      <w:r>
        <w:rPr>
          <w:spacing w:val="-7"/>
          <w:sz w:val="24"/>
        </w:rPr>
        <w:t> </w:t>
      </w:r>
      <w:r>
        <w:rPr>
          <w:sz w:val="24"/>
        </w:rPr>
        <w:t>n’a</w:t>
      </w:r>
      <w:r>
        <w:rPr>
          <w:spacing w:val="-8"/>
          <w:sz w:val="24"/>
        </w:rPr>
        <w:t> </w:t>
      </w:r>
      <w:r>
        <w:rPr>
          <w:sz w:val="24"/>
        </w:rPr>
        <w:t>pas</w:t>
      </w:r>
      <w:r>
        <w:rPr>
          <w:spacing w:val="-4"/>
          <w:sz w:val="24"/>
        </w:rPr>
        <w:t> </w:t>
      </w:r>
      <w:r>
        <w:rPr>
          <w:sz w:val="24"/>
        </w:rPr>
        <w:t>été</w:t>
      </w:r>
      <w:r>
        <w:rPr>
          <w:spacing w:val="-7"/>
          <w:sz w:val="24"/>
        </w:rPr>
        <w:t> </w:t>
      </w:r>
      <w:r>
        <w:rPr>
          <w:sz w:val="24"/>
        </w:rPr>
        <w:t>utilisé,</w:t>
      </w:r>
      <w:r>
        <w:rPr>
          <w:spacing w:val="-6"/>
          <w:sz w:val="24"/>
        </w:rPr>
        <w:t> </w:t>
      </w:r>
      <w:r>
        <w:rPr>
          <w:sz w:val="24"/>
        </w:rPr>
        <w:t>même</w:t>
      </w:r>
      <w:r>
        <w:rPr>
          <w:spacing w:val="-5"/>
          <w:sz w:val="24"/>
        </w:rPr>
        <w:t> </w:t>
      </w:r>
      <w:r>
        <w:rPr>
          <w:sz w:val="24"/>
        </w:rPr>
        <w:t>à</w:t>
      </w:r>
      <w:r>
        <w:rPr>
          <w:spacing w:val="-7"/>
          <w:sz w:val="24"/>
        </w:rPr>
        <w:t> </w:t>
      </w:r>
      <w:r>
        <w:rPr>
          <w:sz w:val="24"/>
        </w:rPr>
        <w:t>faible</w:t>
      </w:r>
      <w:r>
        <w:rPr>
          <w:spacing w:val="-7"/>
          <w:sz w:val="24"/>
        </w:rPr>
        <w:t> </w:t>
      </w:r>
      <w:r>
        <w:rPr>
          <w:sz w:val="24"/>
        </w:rPr>
        <w:t>dose,</w:t>
      </w:r>
      <w:r>
        <w:rPr>
          <w:spacing w:val="-4"/>
          <w:sz w:val="24"/>
        </w:rPr>
        <w:t> </w:t>
      </w:r>
      <w:r>
        <w:rPr>
          <w:sz w:val="24"/>
        </w:rPr>
        <w:t>en</w:t>
      </w:r>
      <w:r>
        <w:rPr>
          <w:spacing w:val="-4"/>
          <w:sz w:val="24"/>
        </w:rPr>
        <w:t> </w:t>
      </w:r>
      <w:r>
        <w:rPr>
          <w:sz w:val="24"/>
        </w:rPr>
        <w:t>raison</w:t>
      </w:r>
      <w:r>
        <w:rPr>
          <w:spacing w:val="-5"/>
          <w:sz w:val="24"/>
        </w:rPr>
        <w:t> </w:t>
      </w:r>
      <w:r>
        <w:rPr>
          <w:sz w:val="24"/>
        </w:rPr>
        <w:t>du</w:t>
      </w:r>
      <w:r>
        <w:rPr>
          <w:spacing w:val="-4"/>
          <w:sz w:val="24"/>
        </w:rPr>
        <w:t> </w:t>
      </w:r>
      <w:r>
        <w:rPr>
          <w:sz w:val="24"/>
        </w:rPr>
        <w:t>risque</w:t>
      </w:r>
      <w:r>
        <w:rPr>
          <w:spacing w:val="-7"/>
          <w:sz w:val="24"/>
        </w:rPr>
        <w:t> </w:t>
      </w:r>
      <w:r>
        <w:rPr>
          <w:sz w:val="24"/>
        </w:rPr>
        <w:t>d’hépatotoxicité (Hill et al., 2004). Par conséquent pour cette espèce, seuls des protocoles DCA/HCA, ou DCA sont</w:t>
      </w:r>
      <w:r>
        <w:rPr>
          <w:spacing w:val="-4"/>
          <w:sz w:val="24"/>
        </w:rPr>
        <w:t> </w:t>
      </w:r>
      <w:r>
        <w:rPr>
          <w:sz w:val="24"/>
        </w:rPr>
        <w:t>retrouvés.</w:t>
      </w:r>
    </w:p>
    <w:p>
      <w:pPr>
        <w:pStyle w:val="BodyText"/>
        <w:spacing w:line="259" w:lineRule="auto" w:before="163"/>
        <w:ind w:left="116" w:right="1113" w:firstLine="707"/>
        <w:jc w:val="both"/>
      </w:pPr>
      <w:r>
        <w:rPr/>
        <w:t>L’article de Schwartz et al. a inspiré le protocole ALA /DCA /HCA (Schwartz et al., 2014), et les recherches de Spugnini et al. détaillées précédemment (Partie II, I.B.2.</w:t>
      </w:r>
      <w:r>
        <w:rPr>
          <w:i/>
        </w:rPr>
        <w:t>i</w:t>
      </w:r>
      <w:r>
        <w:rPr/>
        <w:t>) ont conduit à utiliser ce qu’on appellera le protocole de Spugnini SPU (chimiothérapie métronomique + LSP (5 mg/kg PO pendant 3 jours puis 1 mg/kg PO pendant 4 jours) + bicarbonate de sodium (pH eau = 9)). Les différents articles exposés précédemment justifient de l’utilisation de la MET. Les différentes associations retenues ont été les suivantes :</w:t>
      </w:r>
    </w:p>
    <w:p>
      <w:pPr>
        <w:pStyle w:val="ListParagraph"/>
        <w:numPr>
          <w:ilvl w:val="1"/>
          <w:numId w:val="6"/>
        </w:numPr>
        <w:tabs>
          <w:tab w:pos="836" w:val="left" w:leader="none"/>
          <w:tab w:pos="837" w:val="left" w:leader="none"/>
        </w:tabs>
        <w:spacing w:line="240" w:lineRule="auto" w:before="163" w:after="0"/>
        <w:ind w:left="836" w:right="0" w:hanging="360"/>
        <w:jc w:val="left"/>
        <w:rPr>
          <w:sz w:val="24"/>
        </w:rPr>
      </w:pPr>
      <w:r>
        <w:rPr>
          <w:sz w:val="24"/>
        </w:rPr>
        <w:t>ALA / DCA /</w:t>
      </w:r>
      <w:r>
        <w:rPr>
          <w:spacing w:val="-3"/>
          <w:sz w:val="24"/>
        </w:rPr>
        <w:t> </w:t>
      </w:r>
      <w:r>
        <w:rPr>
          <w:sz w:val="24"/>
        </w:rPr>
        <w:t>HCA,</w:t>
      </w:r>
    </w:p>
    <w:p>
      <w:pPr>
        <w:pStyle w:val="ListParagraph"/>
        <w:numPr>
          <w:ilvl w:val="1"/>
          <w:numId w:val="6"/>
        </w:numPr>
        <w:tabs>
          <w:tab w:pos="836" w:val="left" w:leader="none"/>
          <w:tab w:pos="837" w:val="left" w:leader="none"/>
        </w:tabs>
        <w:spacing w:line="240" w:lineRule="auto" w:before="21" w:after="0"/>
        <w:ind w:left="836" w:right="0" w:hanging="360"/>
        <w:jc w:val="left"/>
        <w:rPr>
          <w:sz w:val="24"/>
        </w:rPr>
      </w:pPr>
      <w:r>
        <w:rPr>
          <w:sz w:val="24"/>
        </w:rPr>
        <w:t>ALA / HCA / MET  +/- OMP ou LSP ou</w:t>
      </w:r>
      <w:r>
        <w:rPr>
          <w:spacing w:val="-6"/>
          <w:sz w:val="24"/>
        </w:rPr>
        <w:t> </w:t>
      </w:r>
      <w:r>
        <w:rPr>
          <w:sz w:val="24"/>
        </w:rPr>
        <w:t>SPU,</w:t>
      </w:r>
    </w:p>
    <w:p>
      <w:pPr>
        <w:pStyle w:val="ListParagraph"/>
        <w:numPr>
          <w:ilvl w:val="1"/>
          <w:numId w:val="6"/>
        </w:numPr>
        <w:tabs>
          <w:tab w:pos="836" w:val="left" w:leader="none"/>
          <w:tab w:pos="837" w:val="left" w:leader="none"/>
        </w:tabs>
        <w:spacing w:line="240" w:lineRule="auto" w:before="21" w:after="0"/>
        <w:ind w:left="836" w:right="0" w:hanging="360"/>
        <w:jc w:val="left"/>
        <w:rPr>
          <w:sz w:val="24"/>
        </w:rPr>
      </w:pPr>
      <w:r>
        <w:rPr>
          <w:sz w:val="24"/>
        </w:rPr>
        <w:t>DCA +/-</w:t>
      </w:r>
      <w:r>
        <w:rPr>
          <w:spacing w:val="-5"/>
          <w:sz w:val="24"/>
        </w:rPr>
        <w:t> </w:t>
      </w:r>
      <w:r>
        <w:rPr>
          <w:sz w:val="24"/>
        </w:rPr>
        <w:t>HCA,</w:t>
      </w:r>
    </w:p>
    <w:p>
      <w:pPr>
        <w:pStyle w:val="ListParagraph"/>
        <w:numPr>
          <w:ilvl w:val="1"/>
          <w:numId w:val="6"/>
        </w:numPr>
        <w:tabs>
          <w:tab w:pos="836" w:val="left" w:leader="none"/>
          <w:tab w:pos="837" w:val="left" w:leader="none"/>
        </w:tabs>
        <w:spacing w:line="259" w:lineRule="auto" w:before="21" w:after="0"/>
        <w:ind w:left="836" w:right="1117" w:hanging="360"/>
        <w:jc w:val="left"/>
        <w:rPr>
          <w:sz w:val="24"/>
        </w:rPr>
      </w:pPr>
      <w:r>
        <w:rPr>
          <w:sz w:val="24"/>
        </w:rPr>
        <w:t>SPU = Protocole de Spugnini (LSP dose pulsée + bicarbonate) ou protocole modifié (OMP dose pulsée +</w:t>
      </w:r>
      <w:r>
        <w:rPr>
          <w:spacing w:val="-6"/>
          <w:sz w:val="24"/>
        </w:rPr>
        <w:t> </w:t>
      </w:r>
      <w:r>
        <w:rPr>
          <w:sz w:val="24"/>
        </w:rPr>
        <w:t>bicarbonate),</w:t>
      </w:r>
    </w:p>
    <w:p>
      <w:pPr>
        <w:pStyle w:val="ListParagraph"/>
        <w:numPr>
          <w:ilvl w:val="1"/>
          <w:numId w:val="6"/>
        </w:numPr>
        <w:tabs>
          <w:tab w:pos="836" w:val="left" w:leader="none"/>
          <w:tab w:pos="837" w:val="left" w:leader="none"/>
        </w:tabs>
        <w:spacing w:line="240" w:lineRule="auto" w:before="0" w:after="0"/>
        <w:ind w:left="836" w:right="0" w:hanging="360"/>
        <w:jc w:val="left"/>
        <w:rPr>
          <w:sz w:val="24"/>
        </w:rPr>
      </w:pPr>
      <w:r>
        <w:rPr>
          <w:sz w:val="24"/>
        </w:rPr>
        <w:t>Le citrate a été utilisé sur un cas</w:t>
      </w:r>
      <w:r>
        <w:rPr>
          <w:spacing w:val="-9"/>
          <w:sz w:val="24"/>
        </w:rPr>
        <w:t> </w:t>
      </w:r>
      <w:r>
        <w:rPr>
          <w:sz w:val="24"/>
        </w:rPr>
        <w:t>unique.</w:t>
      </w:r>
    </w:p>
    <w:p>
      <w:pPr>
        <w:pStyle w:val="BodyText"/>
        <w:rPr>
          <w:sz w:val="26"/>
        </w:rPr>
      </w:pPr>
    </w:p>
    <w:p>
      <w:pPr>
        <w:pStyle w:val="Heading5"/>
        <w:numPr>
          <w:ilvl w:val="1"/>
          <w:numId w:val="25"/>
        </w:numPr>
        <w:tabs>
          <w:tab w:pos="2252" w:val="left" w:leader="none"/>
          <w:tab w:pos="2253" w:val="left" w:leader="none"/>
        </w:tabs>
        <w:spacing w:line="240" w:lineRule="auto" w:before="186" w:after="0"/>
        <w:ind w:left="2252" w:right="0" w:hanging="720"/>
        <w:jc w:val="left"/>
        <w:rPr>
          <w:i/>
        </w:rPr>
      </w:pPr>
      <w:bookmarkStart w:name="_bookmark159" w:id="271"/>
      <w:bookmarkEnd w:id="271"/>
      <w:r>
        <w:rPr>
          <w:b w:val="0"/>
          <w:i w:val="0"/>
        </w:rPr>
      </w:r>
      <w:bookmarkStart w:name="_bookmark159" w:id="272"/>
      <w:bookmarkEnd w:id="272"/>
      <w:r>
        <w:rPr>
          <w:i/>
        </w:rPr>
        <w:t>Dos</w:t>
      </w:r>
      <w:r>
        <w:rPr>
          <w:i/>
        </w:rPr>
        <w:t>es utilisées et voie</w:t>
      </w:r>
      <w:r>
        <w:rPr>
          <w:i/>
          <w:spacing w:val="-14"/>
        </w:rPr>
        <w:t> </w:t>
      </w:r>
      <w:r>
        <w:rPr>
          <w:i/>
        </w:rPr>
        <w:t>d’administration</w:t>
      </w:r>
    </w:p>
    <w:p>
      <w:pPr>
        <w:pStyle w:val="BodyText"/>
        <w:rPr>
          <w:b/>
          <w:i/>
          <w:sz w:val="37"/>
        </w:rPr>
      </w:pPr>
    </w:p>
    <w:p>
      <w:pPr>
        <w:spacing w:before="0" w:after="21"/>
        <w:ind w:left="116" w:right="0" w:firstLine="0"/>
        <w:jc w:val="left"/>
        <w:rPr>
          <w:i/>
          <w:sz w:val="18"/>
        </w:rPr>
      </w:pPr>
      <w:bookmarkStart w:name="_bookmark160" w:id="273"/>
      <w:bookmarkEnd w:id="273"/>
      <w:r>
        <w:rPr/>
      </w:r>
      <w:r>
        <w:rPr>
          <w:i/>
          <w:color w:val="44536A"/>
          <w:sz w:val="18"/>
        </w:rPr>
        <w:t>Tableau 5 : Doses et voies d'administration.</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1561"/>
        <w:gridCol w:w="1416"/>
        <w:gridCol w:w="1448"/>
        <w:gridCol w:w="1673"/>
        <w:gridCol w:w="1133"/>
        <w:gridCol w:w="1306"/>
      </w:tblGrid>
      <w:tr>
        <w:trPr>
          <w:trHeight w:val="420" w:hRule="atLeast"/>
        </w:trPr>
        <w:tc>
          <w:tcPr>
            <w:tcW w:w="1526" w:type="dxa"/>
          </w:tcPr>
          <w:p>
            <w:pPr>
              <w:pStyle w:val="TableParagraph"/>
              <w:rPr>
                <w:sz w:val="22"/>
              </w:rPr>
            </w:pPr>
          </w:p>
        </w:tc>
        <w:tc>
          <w:tcPr>
            <w:tcW w:w="1561" w:type="dxa"/>
          </w:tcPr>
          <w:p>
            <w:pPr>
              <w:pStyle w:val="TableParagraph"/>
              <w:spacing w:line="247" w:lineRule="exact"/>
              <w:ind w:left="105" w:right="105"/>
              <w:jc w:val="center"/>
              <w:rPr>
                <w:sz w:val="22"/>
              </w:rPr>
            </w:pPr>
            <w:r>
              <w:rPr>
                <w:sz w:val="22"/>
              </w:rPr>
              <w:t>ALA</w:t>
            </w:r>
          </w:p>
        </w:tc>
        <w:tc>
          <w:tcPr>
            <w:tcW w:w="1416" w:type="dxa"/>
          </w:tcPr>
          <w:p>
            <w:pPr>
              <w:pStyle w:val="TableParagraph"/>
              <w:spacing w:line="247" w:lineRule="exact"/>
              <w:ind w:left="184" w:right="184"/>
              <w:jc w:val="center"/>
              <w:rPr>
                <w:sz w:val="22"/>
              </w:rPr>
            </w:pPr>
            <w:r>
              <w:rPr>
                <w:sz w:val="22"/>
              </w:rPr>
              <w:t>DCA</w:t>
            </w:r>
          </w:p>
        </w:tc>
        <w:tc>
          <w:tcPr>
            <w:tcW w:w="1448" w:type="dxa"/>
          </w:tcPr>
          <w:p>
            <w:pPr>
              <w:pStyle w:val="TableParagraph"/>
              <w:spacing w:line="247" w:lineRule="exact"/>
              <w:ind w:left="466" w:right="466"/>
              <w:jc w:val="center"/>
              <w:rPr>
                <w:sz w:val="22"/>
              </w:rPr>
            </w:pPr>
            <w:r>
              <w:rPr>
                <w:sz w:val="22"/>
              </w:rPr>
              <w:t>HCA</w:t>
            </w:r>
          </w:p>
        </w:tc>
        <w:tc>
          <w:tcPr>
            <w:tcW w:w="1673" w:type="dxa"/>
            <w:tcBorders>
              <w:right w:val="single" w:sz="6" w:space="0" w:color="000000"/>
            </w:tcBorders>
          </w:tcPr>
          <w:p>
            <w:pPr>
              <w:pStyle w:val="TableParagraph"/>
              <w:spacing w:line="247" w:lineRule="exact"/>
              <w:ind w:left="578" w:right="578"/>
              <w:jc w:val="center"/>
              <w:rPr>
                <w:sz w:val="22"/>
              </w:rPr>
            </w:pPr>
            <w:r>
              <w:rPr>
                <w:sz w:val="22"/>
              </w:rPr>
              <w:t>MET</w:t>
            </w:r>
          </w:p>
        </w:tc>
        <w:tc>
          <w:tcPr>
            <w:tcW w:w="1133" w:type="dxa"/>
            <w:tcBorders>
              <w:left w:val="single" w:sz="6" w:space="0" w:color="000000"/>
            </w:tcBorders>
          </w:tcPr>
          <w:p>
            <w:pPr>
              <w:pStyle w:val="TableParagraph"/>
              <w:spacing w:line="247" w:lineRule="exact"/>
              <w:ind w:left="193" w:right="195"/>
              <w:jc w:val="center"/>
              <w:rPr>
                <w:sz w:val="22"/>
              </w:rPr>
            </w:pPr>
            <w:r>
              <w:rPr>
                <w:sz w:val="22"/>
              </w:rPr>
              <w:t>OMP</w:t>
            </w:r>
          </w:p>
        </w:tc>
        <w:tc>
          <w:tcPr>
            <w:tcW w:w="1306" w:type="dxa"/>
          </w:tcPr>
          <w:p>
            <w:pPr>
              <w:pStyle w:val="TableParagraph"/>
              <w:spacing w:line="247" w:lineRule="exact"/>
              <w:ind w:left="398" w:right="398"/>
              <w:jc w:val="center"/>
              <w:rPr>
                <w:sz w:val="22"/>
              </w:rPr>
            </w:pPr>
            <w:r>
              <w:rPr>
                <w:sz w:val="22"/>
              </w:rPr>
              <w:t>CIT</w:t>
            </w:r>
          </w:p>
        </w:tc>
      </w:tr>
      <w:tr>
        <w:trPr>
          <w:trHeight w:val="700" w:hRule="atLeast"/>
        </w:trPr>
        <w:tc>
          <w:tcPr>
            <w:tcW w:w="1526" w:type="dxa"/>
          </w:tcPr>
          <w:p>
            <w:pPr>
              <w:pStyle w:val="TableParagraph"/>
              <w:spacing w:line="249" w:lineRule="exact"/>
              <w:ind w:left="224" w:right="218"/>
              <w:jc w:val="center"/>
              <w:rPr>
                <w:sz w:val="22"/>
              </w:rPr>
            </w:pPr>
            <w:r>
              <w:rPr>
                <w:sz w:val="22"/>
              </w:rPr>
              <w:t>Chat (CT)</w:t>
            </w:r>
          </w:p>
        </w:tc>
        <w:tc>
          <w:tcPr>
            <w:tcW w:w="1561" w:type="dxa"/>
          </w:tcPr>
          <w:p>
            <w:pPr>
              <w:pStyle w:val="TableParagraph"/>
              <w:spacing w:line="256" w:lineRule="auto"/>
              <w:ind w:left="585" w:right="279" w:hanging="293"/>
              <w:rPr>
                <w:sz w:val="22"/>
              </w:rPr>
            </w:pPr>
            <w:r>
              <w:rPr>
                <w:sz w:val="22"/>
              </w:rPr>
              <w:t>10 mg/kg/j max</w:t>
            </w:r>
          </w:p>
        </w:tc>
        <w:tc>
          <w:tcPr>
            <w:tcW w:w="1416" w:type="dxa"/>
          </w:tcPr>
          <w:p>
            <w:pPr>
              <w:pStyle w:val="TableParagraph"/>
              <w:spacing w:line="256" w:lineRule="auto"/>
              <w:ind w:left="513" w:right="117" w:hanging="375"/>
              <w:rPr>
                <w:sz w:val="22"/>
              </w:rPr>
            </w:pPr>
            <w:r>
              <w:rPr>
                <w:sz w:val="22"/>
              </w:rPr>
              <w:t>10-20 mg/kg BID</w:t>
            </w:r>
          </w:p>
        </w:tc>
        <w:tc>
          <w:tcPr>
            <w:tcW w:w="1448" w:type="dxa"/>
          </w:tcPr>
          <w:p>
            <w:pPr>
              <w:pStyle w:val="TableParagraph"/>
              <w:spacing w:line="256" w:lineRule="auto"/>
              <w:ind w:left="530" w:right="132" w:hanging="375"/>
              <w:rPr>
                <w:sz w:val="22"/>
              </w:rPr>
            </w:pPr>
            <w:r>
              <w:rPr>
                <w:sz w:val="22"/>
              </w:rPr>
              <w:t>15-20 mg/kg BID</w:t>
            </w:r>
          </w:p>
        </w:tc>
        <w:tc>
          <w:tcPr>
            <w:tcW w:w="1673" w:type="dxa"/>
            <w:tcBorders>
              <w:right w:val="single" w:sz="6" w:space="0" w:color="000000"/>
            </w:tcBorders>
            <w:shd w:val="clear" w:color="auto" w:fill="F1F1F1"/>
          </w:tcPr>
          <w:p>
            <w:pPr>
              <w:pStyle w:val="TableParagraph"/>
              <w:rPr>
                <w:sz w:val="22"/>
              </w:rPr>
            </w:pPr>
          </w:p>
        </w:tc>
        <w:tc>
          <w:tcPr>
            <w:tcW w:w="1133" w:type="dxa"/>
            <w:tcBorders>
              <w:left w:val="single" w:sz="6" w:space="0" w:color="000000"/>
            </w:tcBorders>
            <w:shd w:val="clear" w:color="auto" w:fill="F1F1F1"/>
          </w:tcPr>
          <w:p>
            <w:pPr>
              <w:pStyle w:val="TableParagraph"/>
              <w:rPr>
                <w:sz w:val="22"/>
              </w:rPr>
            </w:pPr>
          </w:p>
        </w:tc>
        <w:tc>
          <w:tcPr>
            <w:tcW w:w="1306" w:type="dxa"/>
            <w:shd w:val="clear" w:color="auto" w:fill="F1F1F1"/>
          </w:tcPr>
          <w:p>
            <w:pPr>
              <w:pStyle w:val="TableParagraph"/>
              <w:rPr>
                <w:sz w:val="22"/>
              </w:rPr>
            </w:pPr>
          </w:p>
        </w:tc>
      </w:tr>
      <w:tr>
        <w:trPr>
          <w:trHeight w:val="700" w:hRule="atLeast"/>
        </w:trPr>
        <w:tc>
          <w:tcPr>
            <w:tcW w:w="1526" w:type="dxa"/>
          </w:tcPr>
          <w:p>
            <w:pPr>
              <w:pStyle w:val="TableParagraph"/>
              <w:spacing w:line="247" w:lineRule="exact"/>
              <w:ind w:left="224" w:right="218"/>
              <w:jc w:val="center"/>
              <w:rPr>
                <w:sz w:val="22"/>
              </w:rPr>
            </w:pPr>
            <w:r>
              <w:rPr>
                <w:sz w:val="22"/>
              </w:rPr>
              <w:t>Chien (CN)</w:t>
            </w:r>
          </w:p>
        </w:tc>
        <w:tc>
          <w:tcPr>
            <w:tcW w:w="1561" w:type="dxa"/>
          </w:tcPr>
          <w:p>
            <w:pPr>
              <w:pStyle w:val="TableParagraph"/>
              <w:spacing w:line="259" w:lineRule="auto"/>
              <w:ind w:left="585" w:right="190" w:hanging="375"/>
              <w:rPr>
                <w:sz w:val="22"/>
              </w:rPr>
            </w:pPr>
            <w:r>
              <w:rPr>
                <w:sz w:val="22"/>
              </w:rPr>
              <w:t>10-20 mg/kg BID</w:t>
            </w:r>
          </w:p>
        </w:tc>
        <w:tc>
          <w:tcPr>
            <w:tcW w:w="1416" w:type="dxa"/>
          </w:tcPr>
          <w:p>
            <w:pPr>
              <w:pStyle w:val="TableParagraph"/>
              <w:spacing w:line="259" w:lineRule="auto"/>
              <w:ind w:left="513" w:right="117" w:hanging="375"/>
              <w:rPr>
                <w:sz w:val="22"/>
              </w:rPr>
            </w:pPr>
            <w:r>
              <w:rPr>
                <w:sz w:val="22"/>
              </w:rPr>
              <w:t>10-20 mg/kg BID</w:t>
            </w:r>
          </w:p>
        </w:tc>
        <w:tc>
          <w:tcPr>
            <w:tcW w:w="1448" w:type="dxa"/>
          </w:tcPr>
          <w:p>
            <w:pPr>
              <w:pStyle w:val="TableParagraph"/>
              <w:ind w:left="105" w:right="132"/>
              <w:rPr>
                <w:sz w:val="22"/>
              </w:rPr>
            </w:pPr>
            <w:r>
              <w:rPr>
                <w:sz w:val="22"/>
              </w:rPr>
              <w:t>10-20 mg/kg BID à TID</w:t>
            </w:r>
          </w:p>
        </w:tc>
        <w:tc>
          <w:tcPr>
            <w:tcW w:w="1673" w:type="dxa"/>
            <w:tcBorders>
              <w:right w:val="single" w:sz="6" w:space="0" w:color="000000"/>
            </w:tcBorders>
          </w:tcPr>
          <w:p>
            <w:pPr>
              <w:pStyle w:val="TableParagraph"/>
              <w:spacing w:line="246" w:lineRule="exact"/>
              <w:ind w:left="102"/>
              <w:rPr>
                <w:sz w:val="22"/>
              </w:rPr>
            </w:pPr>
            <w:r>
              <w:rPr>
                <w:sz w:val="22"/>
              </w:rPr>
              <w:t>10-20 mg/kg</w:t>
            </w:r>
          </w:p>
          <w:p>
            <w:pPr>
              <w:pStyle w:val="TableParagraph"/>
              <w:spacing w:line="252" w:lineRule="exact"/>
              <w:ind w:left="577" w:right="578"/>
              <w:jc w:val="center"/>
              <w:rPr>
                <w:sz w:val="22"/>
              </w:rPr>
            </w:pPr>
            <w:r>
              <w:rPr>
                <w:sz w:val="22"/>
              </w:rPr>
              <w:t>BID</w:t>
            </w:r>
          </w:p>
        </w:tc>
        <w:tc>
          <w:tcPr>
            <w:tcW w:w="1133" w:type="dxa"/>
            <w:tcBorders>
              <w:left w:val="single" w:sz="6" w:space="0" w:color="000000"/>
            </w:tcBorders>
          </w:tcPr>
          <w:p>
            <w:pPr>
              <w:pStyle w:val="TableParagraph"/>
              <w:ind w:left="381" w:right="273" w:hanging="281"/>
              <w:rPr>
                <w:sz w:val="22"/>
              </w:rPr>
            </w:pPr>
            <w:r>
              <w:rPr>
                <w:sz w:val="22"/>
              </w:rPr>
              <w:t>1 mg/kg SID</w:t>
            </w:r>
          </w:p>
        </w:tc>
        <w:tc>
          <w:tcPr>
            <w:tcW w:w="1306" w:type="dxa"/>
          </w:tcPr>
          <w:p>
            <w:pPr>
              <w:pStyle w:val="TableParagraph"/>
              <w:spacing w:line="259" w:lineRule="auto"/>
              <w:ind w:left="462" w:right="154" w:hanging="288"/>
              <w:rPr>
                <w:sz w:val="22"/>
              </w:rPr>
            </w:pPr>
            <w:r>
              <w:rPr>
                <w:sz w:val="22"/>
              </w:rPr>
              <w:t>330 mg/kg TID</w:t>
            </w:r>
          </w:p>
        </w:tc>
      </w:tr>
      <w:tr>
        <w:trPr>
          <w:trHeight w:val="700" w:hRule="atLeast"/>
        </w:trPr>
        <w:tc>
          <w:tcPr>
            <w:tcW w:w="1526" w:type="dxa"/>
          </w:tcPr>
          <w:p>
            <w:pPr>
              <w:pStyle w:val="TableParagraph"/>
              <w:spacing w:line="247" w:lineRule="exact"/>
              <w:ind w:left="224" w:right="218"/>
              <w:jc w:val="center"/>
              <w:rPr>
                <w:i/>
                <w:sz w:val="22"/>
              </w:rPr>
            </w:pPr>
            <w:r>
              <w:rPr>
                <w:i/>
                <w:sz w:val="22"/>
              </w:rPr>
              <w:t>Remarques</w:t>
            </w:r>
          </w:p>
        </w:tc>
        <w:tc>
          <w:tcPr>
            <w:tcW w:w="1561" w:type="dxa"/>
          </w:tcPr>
          <w:p>
            <w:pPr>
              <w:pStyle w:val="TableParagraph"/>
              <w:spacing w:line="259" w:lineRule="auto"/>
              <w:ind w:left="640" w:right="111" w:hanging="516"/>
              <w:rPr>
                <w:i/>
                <w:sz w:val="22"/>
              </w:rPr>
            </w:pPr>
            <w:r>
              <w:rPr>
                <w:i/>
                <w:sz w:val="22"/>
              </w:rPr>
              <w:t>Hépatotoxicité </w:t>
            </w:r>
            <w:r>
              <w:rPr>
                <w:i/>
                <w:sz w:val="22"/>
              </w:rPr>
              <w:t>CT</w:t>
            </w:r>
          </w:p>
        </w:tc>
        <w:tc>
          <w:tcPr>
            <w:tcW w:w="1416" w:type="dxa"/>
          </w:tcPr>
          <w:p>
            <w:pPr>
              <w:pStyle w:val="TableParagraph"/>
              <w:spacing w:line="259" w:lineRule="auto"/>
              <w:ind w:left="110" w:right="90" w:firstLine="60"/>
              <w:rPr>
                <w:i/>
                <w:sz w:val="22"/>
              </w:rPr>
            </w:pPr>
            <w:r>
              <w:rPr>
                <w:i/>
                <w:sz w:val="22"/>
              </w:rPr>
              <w:t>Commencer </w:t>
            </w:r>
            <w:r>
              <w:rPr>
                <w:i/>
                <w:sz w:val="22"/>
              </w:rPr>
              <w:t>à ½ dose SID</w:t>
            </w:r>
          </w:p>
        </w:tc>
        <w:tc>
          <w:tcPr>
            <w:tcW w:w="1448" w:type="dxa"/>
            <w:shd w:val="clear" w:color="auto" w:fill="F1F1F1"/>
          </w:tcPr>
          <w:p>
            <w:pPr>
              <w:pStyle w:val="TableParagraph"/>
              <w:rPr>
                <w:sz w:val="22"/>
              </w:rPr>
            </w:pPr>
          </w:p>
        </w:tc>
        <w:tc>
          <w:tcPr>
            <w:tcW w:w="1673" w:type="dxa"/>
            <w:tcBorders>
              <w:right w:val="single" w:sz="6" w:space="0" w:color="000000"/>
            </w:tcBorders>
          </w:tcPr>
          <w:p>
            <w:pPr>
              <w:pStyle w:val="TableParagraph"/>
              <w:spacing w:line="259" w:lineRule="auto"/>
              <w:ind w:left="429" w:right="87" w:hanging="324"/>
              <w:rPr>
                <w:i/>
                <w:sz w:val="22"/>
              </w:rPr>
            </w:pPr>
            <w:r>
              <w:rPr>
                <w:i/>
                <w:sz w:val="22"/>
              </w:rPr>
              <w:t>Commencer à ½ </w:t>
            </w:r>
            <w:r>
              <w:rPr>
                <w:i/>
                <w:sz w:val="22"/>
              </w:rPr>
              <w:t>dose SID</w:t>
            </w:r>
          </w:p>
        </w:tc>
        <w:tc>
          <w:tcPr>
            <w:tcW w:w="1133" w:type="dxa"/>
            <w:tcBorders>
              <w:left w:val="single" w:sz="6" w:space="0" w:color="000000"/>
            </w:tcBorders>
          </w:tcPr>
          <w:p>
            <w:pPr>
              <w:pStyle w:val="TableParagraph"/>
              <w:spacing w:line="247" w:lineRule="exact"/>
              <w:ind w:left="194" w:right="195"/>
              <w:jc w:val="center"/>
              <w:rPr>
                <w:i/>
                <w:sz w:val="22"/>
              </w:rPr>
            </w:pPr>
            <w:r>
              <w:rPr>
                <w:i/>
                <w:sz w:val="22"/>
              </w:rPr>
              <w:t>Ou LSP</w:t>
            </w:r>
          </w:p>
        </w:tc>
        <w:tc>
          <w:tcPr>
            <w:tcW w:w="1306" w:type="dxa"/>
          </w:tcPr>
          <w:p>
            <w:pPr>
              <w:pStyle w:val="TableParagraph"/>
              <w:spacing w:line="247" w:lineRule="exact"/>
              <w:ind w:left="398" w:right="398"/>
              <w:jc w:val="center"/>
              <w:rPr>
                <w:i/>
                <w:sz w:val="22"/>
              </w:rPr>
            </w:pPr>
            <w:r>
              <w:rPr>
                <w:i/>
                <w:sz w:val="22"/>
              </w:rPr>
              <w:t>1 cas</w:t>
            </w:r>
          </w:p>
        </w:tc>
      </w:tr>
      <w:tr>
        <w:trPr>
          <w:trHeight w:val="420" w:hRule="atLeast"/>
        </w:trPr>
        <w:tc>
          <w:tcPr>
            <w:tcW w:w="10062" w:type="dxa"/>
            <w:gridSpan w:val="7"/>
          </w:tcPr>
          <w:p>
            <w:pPr>
              <w:pStyle w:val="TableParagraph"/>
              <w:spacing w:before="1"/>
              <w:ind w:left="2489"/>
              <w:rPr>
                <w:b/>
                <w:sz w:val="22"/>
              </w:rPr>
            </w:pPr>
            <w:r>
              <w:rPr>
                <w:b/>
                <w:sz w:val="22"/>
              </w:rPr>
              <w:t>Tous sont à administrer avec un repas (par voie orale)</w:t>
            </w:r>
          </w:p>
        </w:tc>
      </w:tr>
    </w:tbl>
    <w:p>
      <w:pPr>
        <w:pStyle w:val="BodyText"/>
        <w:rPr>
          <w:i/>
          <w:sz w:val="20"/>
        </w:rPr>
      </w:pPr>
    </w:p>
    <w:p>
      <w:pPr>
        <w:pStyle w:val="Heading5"/>
        <w:numPr>
          <w:ilvl w:val="1"/>
          <w:numId w:val="25"/>
        </w:numPr>
        <w:tabs>
          <w:tab w:pos="2252" w:val="left" w:leader="none"/>
          <w:tab w:pos="2253" w:val="left" w:leader="none"/>
        </w:tabs>
        <w:spacing w:line="240" w:lineRule="auto" w:before="177" w:after="0"/>
        <w:ind w:left="2252" w:right="0" w:hanging="720"/>
        <w:jc w:val="left"/>
        <w:rPr>
          <w:i/>
        </w:rPr>
      </w:pPr>
      <w:bookmarkStart w:name="_bookmark161" w:id="274"/>
      <w:bookmarkEnd w:id="274"/>
      <w:r>
        <w:rPr>
          <w:b w:val="0"/>
          <w:i w:val="0"/>
        </w:rPr>
      </w:r>
      <w:bookmarkStart w:name="_bookmark161" w:id="275"/>
      <w:bookmarkEnd w:id="275"/>
      <w:r>
        <w:rPr>
          <w:i/>
        </w:rPr>
        <w:t>Pro</w:t>
      </w:r>
      <w:r>
        <w:rPr>
          <w:i/>
        </w:rPr>
        <w:t>venance des</w:t>
      </w:r>
      <w:r>
        <w:rPr>
          <w:i/>
          <w:spacing w:val="-6"/>
        </w:rPr>
        <w:t> </w:t>
      </w:r>
      <w:r>
        <w:rPr>
          <w:i/>
        </w:rPr>
        <w:t>molécules</w:t>
      </w:r>
    </w:p>
    <w:p>
      <w:pPr>
        <w:pStyle w:val="BodyText"/>
        <w:rPr>
          <w:b/>
          <w:i/>
          <w:sz w:val="26"/>
        </w:rPr>
      </w:pPr>
    </w:p>
    <w:p>
      <w:pPr>
        <w:pStyle w:val="BodyText"/>
        <w:spacing w:line="259" w:lineRule="auto" w:before="176"/>
        <w:ind w:left="116" w:right="1111" w:firstLine="707"/>
        <w:jc w:val="both"/>
      </w:pPr>
      <w:r>
        <w:rPr/>
        <w:t>Certaines molécules sont disponibles en commande sur internet, comme l’</w:t>
      </w:r>
      <w:r>
        <w:rPr>
          <w:u w:val="single"/>
        </w:rPr>
        <w:t>ALA</w:t>
      </w:r>
      <w:r>
        <w:rPr/>
        <w:t> et le </w:t>
      </w:r>
      <w:r>
        <w:rPr>
          <w:u w:val="single"/>
        </w:rPr>
        <w:t>HCA</w:t>
      </w:r>
      <w:r>
        <w:rPr/>
        <w:t> (cf. site internet Betterlife). Pour se procurer du </w:t>
      </w:r>
      <w:r>
        <w:rPr>
          <w:u w:val="single"/>
        </w:rPr>
        <w:t>DCA</w:t>
      </w:r>
      <w:r>
        <w:rPr/>
        <w:t>, il faut commander la matière première chimique et ensuite reconditionner en gélules selon la posologie souhaitée pour l’animal. Les autres molécules sont disponibles en pharmacie humaine, comme le </w:t>
      </w:r>
      <w:r>
        <w:rPr>
          <w:u w:val="single"/>
        </w:rPr>
        <w:t>CIT</w:t>
      </w:r>
      <w:r>
        <w:rPr/>
        <w:t> (FONCITRIL ND), l’</w:t>
      </w:r>
      <w:r>
        <w:rPr>
          <w:u w:val="single"/>
        </w:rPr>
        <w:t>OMP</w:t>
      </w:r>
      <w:r>
        <w:rPr/>
        <w:t> (MOPRAL ND), le </w:t>
      </w:r>
      <w:r>
        <w:rPr>
          <w:u w:val="single"/>
        </w:rPr>
        <w:t>LSP</w:t>
      </w:r>
      <w:r>
        <w:rPr/>
        <w:t> (LANZOR ND) et la </w:t>
      </w:r>
      <w:r>
        <w:rPr>
          <w:u w:val="single"/>
        </w:rPr>
        <w:t>MET</w:t>
      </w:r>
      <w:r>
        <w:rPr/>
        <w:t> (GLUCOPHAGE ND).</w:t>
      </w:r>
    </w:p>
    <w:p>
      <w:pPr>
        <w:spacing w:after="0" w:line="259" w:lineRule="auto"/>
        <w:jc w:val="both"/>
        <w:sectPr>
          <w:pgSz w:w="11910" w:h="16840"/>
          <w:pgMar w:header="0" w:footer="1055" w:top="1320" w:bottom="1240" w:left="1300" w:right="300"/>
        </w:sectPr>
      </w:pPr>
    </w:p>
    <w:p>
      <w:pPr>
        <w:pStyle w:val="Heading3"/>
        <w:numPr>
          <w:ilvl w:val="1"/>
          <w:numId w:val="21"/>
        </w:numPr>
        <w:tabs>
          <w:tab w:pos="2375" w:val="left" w:leader="none"/>
        </w:tabs>
        <w:spacing w:line="240" w:lineRule="auto" w:before="73" w:after="0"/>
        <w:ind w:left="2374" w:right="0" w:hanging="360"/>
        <w:jc w:val="left"/>
      </w:pPr>
      <w:bookmarkStart w:name="_bookmark162" w:id="276"/>
      <w:bookmarkEnd w:id="276"/>
      <w:r>
        <w:rPr>
          <w:b w:val="0"/>
        </w:rPr>
      </w:r>
      <w:bookmarkStart w:name="_bookmark162" w:id="277"/>
      <w:bookmarkEnd w:id="277"/>
      <w:r>
        <w:rPr/>
        <w:t>R</w:t>
      </w:r>
      <w:r>
        <w:rPr/>
        <w:t>ésultats</w:t>
      </w:r>
    </w:p>
    <w:p>
      <w:pPr>
        <w:pStyle w:val="BodyText"/>
        <w:rPr>
          <w:b/>
          <w:sz w:val="33"/>
        </w:rPr>
      </w:pPr>
    </w:p>
    <w:p>
      <w:pPr>
        <w:pStyle w:val="ListParagraph"/>
        <w:numPr>
          <w:ilvl w:val="0"/>
          <w:numId w:val="27"/>
        </w:numPr>
        <w:tabs>
          <w:tab w:pos="1950" w:val="left" w:leader="none"/>
        </w:tabs>
        <w:spacing w:line="240" w:lineRule="auto" w:before="0" w:after="0"/>
        <w:ind w:left="1950" w:right="0" w:hanging="360"/>
        <w:jc w:val="left"/>
        <w:rPr>
          <w:sz w:val="24"/>
        </w:rPr>
      </w:pPr>
      <w:bookmarkStart w:name="_bookmark163" w:id="278"/>
      <w:bookmarkEnd w:id="278"/>
      <w:r>
        <w:rPr/>
      </w:r>
      <w:bookmarkStart w:name="_bookmark163" w:id="279"/>
      <w:bookmarkEnd w:id="279"/>
      <w:r>
        <w:rPr>
          <w:sz w:val="24"/>
          <w:u w:val="single"/>
        </w:rPr>
        <w:t>P</w:t>
      </w:r>
      <w:r>
        <w:rPr>
          <w:sz w:val="24"/>
          <w:u w:val="single"/>
        </w:rPr>
        <w:t>atients</w:t>
      </w:r>
      <w:r>
        <w:rPr>
          <w:spacing w:val="-4"/>
          <w:sz w:val="24"/>
          <w:u w:val="single"/>
        </w:rPr>
        <w:t> </w:t>
      </w:r>
      <w:r>
        <w:rPr>
          <w:sz w:val="24"/>
          <w:u w:val="single"/>
        </w:rPr>
        <w:t>inclus</w:t>
      </w:r>
    </w:p>
    <w:p>
      <w:pPr>
        <w:pStyle w:val="BodyText"/>
        <w:spacing w:before="1"/>
        <w:rPr>
          <w:sz w:val="20"/>
        </w:rPr>
      </w:pPr>
    </w:p>
    <w:p>
      <w:pPr>
        <w:pStyle w:val="BodyText"/>
        <w:spacing w:line="256" w:lineRule="auto" w:before="90"/>
        <w:ind w:left="880" w:right="974" w:firstLine="707"/>
        <w:jc w:val="right"/>
      </w:pPr>
      <w:r>
        <w:rPr/>
        <w:t>44 animaux ont été identifiés lors de la première sélection, puis suite à l’étude de ces premiers dossiers collectés, n’ont été conservés que les animaux ayant suivi un minimum de 2 semaines de traitement. L’étude se base finalement sur un total de 18 cas (4 chats et 14 chiens).</w:t>
      </w:r>
    </w:p>
    <w:p>
      <w:pPr>
        <w:pStyle w:val="BodyText"/>
        <w:spacing w:line="256" w:lineRule="auto" w:before="166"/>
        <w:ind w:left="956" w:right="977" w:firstLine="707"/>
        <w:jc w:val="both"/>
      </w:pPr>
      <w:r>
        <w:rPr/>
        <w:t>Le tableau suivant (Tableau 6) présente l’ensemble des animaux étudiés, afin d’apprécier la diversité de leurs races, de leurs maladies, de leurs âges. Les hémopathies malignes (bleu) sont séparées des tumeurs solides (vert).</w:t>
      </w:r>
    </w:p>
    <w:p>
      <w:pPr>
        <w:pStyle w:val="BodyText"/>
        <w:spacing w:before="164"/>
        <w:ind w:left="1646" w:right="4804"/>
        <w:jc w:val="center"/>
      </w:pPr>
      <w:r>
        <w:rPr/>
        <w:t>6 patients présentent une hémopathie maligne :</w:t>
      </w:r>
    </w:p>
    <w:p>
      <w:pPr>
        <w:pStyle w:val="ListParagraph"/>
        <w:numPr>
          <w:ilvl w:val="0"/>
          <w:numId w:val="28"/>
        </w:numPr>
        <w:tabs>
          <w:tab w:pos="1676" w:val="left" w:leader="none"/>
          <w:tab w:pos="1677" w:val="left" w:leader="none"/>
        </w:tabs>
        <w:spacing w:line="259" w:lineRule="auto" w:before="184" w:after="0"/>
        <w:ind w:left="1676" w:right="974" w:hanging="360"/>
        <w:jc w:val="left"/>
        <w:rPr>
          <w:sz w:val="24"/>
        </w:rPr>
      </w:pPr>
      <w:r>
        <w:rPr>
          <w:sz w:val="24"/>
        </w:rPr>
        <w:t>5 chiens (4 lymphomes B et un lymphome non investigué) entre 3 et 11 ans, dont une femelle stérilisée et 4 mâles</w:t>
      </w:r>
      <w:r>
        <w:rPr>
          <w:spacing w:val="-6"/>
          <w:sz w:val="24"/>
        </w:rPr>
        <w:t> </w:t>
      </w:r>
      <w:r>
        <w:rPr>
          <w:sz w:val="24"/>
        </w:rPr>
        <w:t>entiers,</w:t>
      </w:r>
    </w:p>
    <w:p>
      <w:pPr>
        <w:pStyle w:val="ListParagraph"/>
        <w:numPr>
          <w:ilvl w:val="0"/>
          <w:numId w:val="28"/>
        </w:numPr>
        <w:tabs>
          <w:tab w:pos="1676" w:val="left" w:leader="none"/>
          <w:tab w:pos="1677" w:val="left" w:leader="none"/>
        </w:tabs>
        <w:spacing w:line="274" w:lineRule="exact" w:before="0" w:after="0"/>
        <w:ind w:left="1676" w:right="0" w:hanging="360"/>
        <w:jc w:val="left"/>
        <w:rPr>
          <w:sz w:val="24"/>
        </w:rPr>
      </w:pPr>
      <w:r>
        <w:rPr>
          <w:sz w:val="24"/>
        </w:rPr>
        <w:t>1 chat (lymphome digestif) mâle castré de 16</w:t>
      </w:r>
      <w:r>
        <w:rPr>
          <w:spacing w:val="-7"/>
          <w:sz w:val="24"/>
        </w:rPr>
        <w:t> </w:t>
      </w:r>
      <w:r>
        <w:rPr>
          <w:sz w:val="24"/>
        </w:rPr>
        <w:t>ans.</w:t>
      </w:r>
    </w:p>
    <w:p>
      <w:pPr>
        <w:pStyle w:val="BodyText"/>
        <w:spacing w:before="182"/>
        <w:ind w:left="1522"/>
      </w:pPr>
      <w:r>
        <w:rPr/>
        <w:t>12 patients présentent une tumeur solide :</w:t>
      </w:r>
    </w:p>
    <w:p>
      <w:pPr>
        <w:pStyle w:val="ListParagraph"/>
        <w:numPr>
          <w:ilvl w:val="0"/>
          <w:numId w:val="28"/>
        </w:numPr>
        <w:tabs>
          <w:tab w:pos="1736" w:val="left" w:leader="none"/>
          <w:tab w:pos="1737" w:val="left" w:leader="none"/>
        </w:tabs>
        <w:spacing w:line="259" w:lineRule="auto" w:before="184" w:after="0"/>
        <w:ind w:left="1676" w:right="979" w:hanging="360"/>
        <w:jc w:val="left"/>
        <w:rPr>
          <w:sz w:val="24"/>
        </w:rPr>
      </w:pPr>
      <w:r>
        <w:rPr>
          <w:sz w:val="24"/>
        </w:rPr>
        <w:t>9 chiens (9 tumeurs différentes) entre 8 et 17 ans, dont 4 femelles stérilisées, 4 mâles entiers et un mâle</w:t>
      </w:r>
      <w:r>
        <w:rPr>
          <w:spacing w:val="-7"/>
          <w:sz w:val="24"/>
        </w:rPr>
        <w:t> </w:t>
      </w:r>
      <w:r>
        <w:rPr>
          <w:sz w:val="24"/>
        </w:rPr>
        <w:t>castré,</w:t>
      </w:r>
    </w:p>
    <w:p>
      <w:pPr>
        <w:pStyle w:val="ListParagraph"/>
        <w:numPr>
          <w:ilvl w:val="0"/>
          <w:numId w:val="28"/>
        </w:numPr>
        <w:tabs>
          <w:tab w:pos="1736" w:val="left" w:leader="none"/>
          <w:tab w:pos="1737" w:val="left" w:leader="none"/>
        </w:tabs>
        <w:spacing w:line="256" w:lineRule="auto" w:before="0" w:after="0"/>
        <w:ind w:left="1676" w:right="980" w:hanging="360"/>
        <w:jc w:val="left"/>
        <w:rPr>
          <w:sz w:val="24"/>
        </w:rPr>
      </w:pPr>
      <w:r>
        <w:rPr>
          <w:sz w:val="24"/>
        </w:rPr>
        <w:t>3 chats (3 tumeurs différentes) entre 11 et 15 ans, dont 1 femelle entière et 2 mâles castrés.</w:t>
      </w:r>
    </w:p>
    <w:p>
      <w:pPr>
        <w:pStyle w:val="BodyText"/>
        <w:spacing w:line="256" w:lineRule="auto" w:before="166"/>
        <w:ind w:left="956" w:right="977" w:firstLine="707"/>
        <w:jc w:val="both"/>
      </w:pPr>
      <w:r>
        <w:rPr/>
        <w:t>Pour</w:t>
      </w:r>
      <w:r>
        <w:rPr>
          <w:spacing w:val="-6"/>
        </w:rPr>
        <w:t> </w:t>
      </w:r>
      <w:r>
        <w:rPr/>
        <w:t>certains</w:t>
      </w:r>
      <w:r>
        <w:rPr>
          <w:spacing w:val="-4"/>
        </w:rPr>
        <w:t> </w:t>
      </w:r>
      <w:r>
        <w:rPr/>
        <w:t>patients,</w:t>
      </w:r>
      <w:r>
        <w:rPr>
          <w:spacing w:val="-4"/>
        </w:rPr>
        <w:t> </w:t>
      </w:r>
      <w:r>
        <w:rPr/>
        <w:t>un</w:t>
      </w:r>
      <w:r>
        <w:rPr>
          <w:spacing w:val="-5"/>
        </w:rPr>
        <w:t> </w:t>
      </w:r>
      <w:r>
        <w:rPr/>
        <w:t>bilan</w:t>
      </w:r>
      <w:r>
        <w:rPr>
          <w:spacing w:val="-5"/>
        </w:rPr>
        <w:t> </w:t>
      </w:r>
      <w:r>
        <w:rPr/>
        <w:t>d’extension</w:t>
      </w:r>
      <w:r>
        <w:rPr>
          <w:spacing w:val="-7"/>
        </w:rPr>
        <w:t> </w:t>
      </w:r>
      <w:r>
        <w:rPr/>
        <w:t>complet</w:t>
      </w:r>
      <w:r>
        <w:rPr>
          <w:spacing w:val="-4"/>
        </w:rPr>
        <w:t> </w:t>
      </w:r>
      <w:r>
        <w:rPr/>
        <w:t>a</w:t>
      </w:r>
      <w:r>
        <w:rPr>
          <w:spacing w:val="-6"/>
        </w:rPr>
        <w:t> </w:t>
      </w:r>
      <w:r>
        <w:rPr/>
        <w:t>été</w:t>
      </w:r>
      <w:r>
        <w:rPr>
          <w:spacing w:val="-5"/>
        </w:rPr>
        <w:t> </w:t>
      </w:r>
      <w:r>
        <w:rPr/>
        <w:t>réalisé,</w:t>
      </w:r>
      <w:r>
        <w:rPr>
          <w:spacing w:val="-5"/>
        </w:rPr>
        <w:t> </w:t>
      </w:r>
      <w:r>
        <w:rPr/>
        <w:t>ainsi</w:t>
      </w:r>
      <w:r>
        <w:rPr>
          <w:spacing w:val="-4"/>
        </w:rPr>
        <w:t> </w:t>
      </w:r>
      <w:r>
        <w:rPr/>
        <w:t>qu’un</w:t>
      </w:r>
      <w:r>
        <w:rPr>
          <w:spacing w:val="-6"/>
        </w:rPr>
        <w:t> </w:t>
      </w:r>
      <w:r>
        <w:rPr/>
        <w:t>suivi</w:t>
      </w:r>
      <w:r>
        <w:rPr>
          <w:spacing w:val="-4"/>
        </w:rPr>
        <w:t> </w:t>
      </w:r>
      <w:r>
        <w:rPr/>
        <w:t>de</w:t>
      </w:r>
      <w:r>
        <w:rPr>
          <w:spacing w:val="-8"/>
        </w:rPr>
        <w:t> </w:t>
      </w:r>
      <w:r>
        <w:rPr/>
        <w:t>la réponse au traitement par des bilans sanguins et des scanners de contrôle. Les données ne sont malheureusement pas disponibles pour l’ensemble des</w:t>
      </w:r>
      <w:r>
        <w:rPr>
          <w:spacing w:val="-12"/>
        </w:rPr>
        <w:t> </w:t>
      </w:r>
      <w:r>
        <w:rPr/>
        <w:t>cas.</w:t>
      </w:r>
    </w:p>
    <w:p>
      <w:pPr>
        <w:spacing w:line="259" w:lineRule="auto" w:before="166"/>
        <w:ind w:left="956" w:right="1040" w:firstLine="0"/>
        <w:jc w:val="left"/>
        <w:rPr>
          <w:i/>
          <w:sz w:val="18"/>
        </w:rPr>
      </w:pPr>
      <w:bookmarkStart w:name="_bookmark164" w:id="280"/>
      <w:bookmarkEnd w:id="280"/>
      <w:r>
        <w:rPr/>
      </w:r>
      <w:r>
        <w:rPr>
          <w:i/>
          <w:color w:val="44536A"/>
          <w:sz w:val="18"/>
        </w:rPr>
        <w:t>Tableau 6 : Hémopathies malignes et tumeurs solides - Diversité des cas étudiés, avec précision des traitements antérieurs à </w:t>
      </w:r>
      <w:r>
        <w:rPr>
          <w:i/>
          <w:color w:val="44536A"/>
          <w:sz w:val="18"/>
        </w:rPr>
        <w:t>l’instauration de la TM.</w:t>
      </w:r>
    </w:p>
    <w:p>
      <w:pPr>
        <w:pStyle w:val="BodyText"/>
        <w:spacing w:before="2" w:after="1"/>
        <w:rPr>
          <w:i/>
          <w:sz w:val="16"/>
        </w:r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116"/>
        <w:gridCol w:w="708"/>
        <w:gridCol w:w="586"/>
        <w:gridCol w:w="2540"/>
        <w:gridCol w:w="2989"/>
        <w:gridCol w:w="2126"/>
      </w:tblGrid>
      <w:tr>
        <w:trPr>
          <w:trHeight w:val="540" w:hRule="atLeast"/>
        </w:trPr>
        <w:tc>
          <w:tcPr>
            <w:tcW w:w="710" w:type="dxa"/>
          </w:tcPr>
          <w:p>
            <w:pPr>
              <w:pStyle w:val="TableParagraph"/>
              <w:spacing w:before="8"/>
              <w:rPr>
                <w:i/>
                <w:sz w:val="23"/>
              </w:rPr>
            </w:pPr>
          </w:p>
          <w:p>
            <w:pPr>
              <w:pStyle w:val="TableParagraph"/>
              <w:spacing w:line="259" w:lineRule="exact"/>
              <w:ind w:left="64"/>
              <w:rPr>
                <w:b/>
                <w:sz w:val="24"/>
              </w:rPr>
            </w:pPr>
            <w:r>
              <w:rPr>
                <w:b/>
                <w:sz w:val="24"/>
              </w:rPr>
              <w:t>Rang</w:t>
            </w:r>
          </w:p>
        </w:tc>
        <w:tc>
          <w:tcPr>
            <w:tcW w:w="1116" w:type="dxa"/>
          </w:tcPr>
          <w:p>
            <w:pPr>
              <w:pStyle w:val="TableParagraph"/>
              <w:spacing w:before="8"/>
              <w:rPr>
                <w:i/>
                <w:sz w:val="23"/>
              </w:rPr>
            </w:pPr>
          </w:p>
          <w:p>
            <w:pPr>
              <w:pStyle w:val="TableParagraph"/>
              <w:spacing w:line="259" w:lineRule="exact"/>
              <w:ind w:left="62"/>
              <w:rPr>
                <w:b/>
                <w:sz w:val="24"/>
              </w:rPr>
            </w:pPr>
            <w:r>
              <w:rPr>
                <w:b/>
                <w:sz w:val="24"/>
              </w:rPr>
              <w:t>Race</w:t>
            </w:r>
          </w:p>
        </w:tc>
        <w:tc>
          <w:tcPr>
            <w:tcW w:w="708" w:type="dxa"/>
          </w:tcPr>
          <w:p>
            <w:pPr>
              <w:pStyle w:val="TableParagraph"/>
              <w:spacing w:before="8"/>
              <w:rPr>
                <w:i/>
                <w:sz w:val="23"/>
              </w:rPr>
            </w:pPr>
          </w:p>
          <w:p>
            <w:pPr>
              <w:pStyle w:val="TableParagraph"/>
              <w:spacing w:line="259" w:lineRule="exact"/>
              <w:ind w:left="62"/>
              <w:rPr>
                <w:b/>
                <w:sz w:val="24"/>
              </w:rPr>
            </w:pPr>
            <w:r>
              <w:rPr>
                <w:b/>
                <w:sz w:val="24"/>
              </w:rPr>
              <w:t>Sexe</w:t>
            </w:r>
          </w:p>
        </w:tc>
        <w:tc>
          <w:tcPr>
            <w:tcW w:w="586" w:type="dxa"/>
          </w:tcPr>
          <w:p>
            <w:pPr>
              <w:pStyle w:val="TableParagraph"/>
              <w:spacing w:before="8"/>
              <w:rPr>
                <w:i/>
                <w:sz w:val="23"/>
              </w:rPr>
            </w:pPr>
          </w:p>
          <w:p>
            <w:pPr>
              <w:pStyle w:val="TableParagraph"/>
              <w:spacing w:line="259" w:lineRule="exact"/>
              <w:ind w:right="109"/>
              <w:jc w:val="right"/>
              <w:rPr>
                <w:b/>
                <w:sz w:val="24"/>
              </w:rPr>
            </w:pPr>
            <w:r>
              <w:rPr>
                <w:b/>
                <w:w w:val="95"/>
                <w:sz w:val="24"/>
              </w:rPr>
              <w:t>Age</w:t>
            </w:r>
          </w:p>
        </w:tc>
        <w:tc>
          <w:tcPr>
            <w:tcW w:w="2540" w:type="dxa"/>
          </w:tcPr>
          <w:p>
            <w:pPr>
              <w:pStyle w:val="TableParagraph"/>
              <w:spacing w:before="8"/>
              <w:rPr>
                <w:i/>
                <w:sz w:val="23"/>
              </w:rPr>
            </w:pPr>
          </w:p>
          <w:p>
            <w:pPr>
              <w:pStyle w:val="TableParagraph"/>
              <w:spacing w:line="259" w:lineRule="exact"/>
              <w:ind w:left="64"/>
              <w:rPr>
                <w:b/>
                <w:sz w:val="24"/>
              </w:rPr>
            </w:pPr>
            <w:r>
              <w:rPr>
                <w:b/>
                <w:sz w:val="24"/>
              </w:rPr>
              <w:t>Tumeur</w:t>
            </w:r>
          </w:p>
        </w:tc>
        <w:tc>
          <w:tcPr>
            <w:tcW w:w="2989" w:type="dxa"/>
          </w:tcPr>
          <w:p>
            <w:pPr>
              <w:pStyle w:val="TableParagraph"/>
              <w:spacing w:before="8"/>
              <w:rPr>
                <w:i/>
                <w:sz w:val="23"/>
              </w:rPr>
            </w:pPr>
          </w:p>
          <w:p>
            <w:pPr>
              <w:pStyle w:val="TableParagraph"/>
              <w:spacing w:line="259" w:lineRule="exact"/>
              <w:ind w:left="64"/>
              <w:rPr>
                <w:b/>
                <w:sz w:val="24"/>
              </w:rPr>
            </w:pPr>
            <w:r>
              <w:rPr>
                <w:b/>
                <w:sz w:val="24"/>
              </w:rPr>
              <w:t>Précisions</w:t>
            </w:r>
          </w:p>
        </w:tc>
        <w:tc>
          <w:tcPr>
            <w:tcW w:w="2126" w:type="dxa"/>
          </w:tcPr>
          <w:p>
            <w:pPr>
              <w:pStyle w:val="TableParagraph"/>
              <w:spacing w:line="276" w:lineRule="exact"/>
              <w:ind w:left="64"/>
              <w:rPr>
                <w:b/>
                <w:sz w:val="24"/>
              </w:rPr>
            </w:pPr>
            <w:r>
              <w:rPr>
                <w:b/>
                <w:sz w:val="24"/>
              </w:rPr>
              <w:t>Traitement antérieur</w:t>
            </w:r>
          </w:p>
        </w:tc>
      </w:tr>
      <w:tr>
        <w:trPr>
          <w:trHeight w:val="280" w:hRule="atLeast"/>
        </w:trPr>
        <w:tc>
          <w:tcPr>
            <w:tcW w:w="10776" w:type="dxa"/>
            <w:gridSpan w:val="7"/>
            <w:shd w:val="clear" w:color="auto" w:fill="BCD5ED"/>
          </w:tcPr>
          <w:p>
            <w:pPr>
              <w:pStyle w:val="TableParagraph"/>
              <w:spacing w:line="257" w:lineRule="exact" w:before="20"/>
              <w:ind w:left="4208" w:right="4213"/>
              <w:jc w:val="center"/>
              <w:rPr>
                <w:b/>
                <w:sz w:val="24"/>
              </w:rPr>
            </w:pPr>
            <w:r>
              <w:rPr>
                <w:b/>
                <w:sz w:val="24"/>
              </w:rPr>
              <w:t>Hémopathies</w:t>
            </w:r>
            <w:r>
              <w:rPr>
                <w:b/>
                <w:spacing w:val="-9"/>
                <w:sz w:val="24"/>
              </w:rPr>
              <w:t> </w:t>
            </w:r>
            <w:r>
              <w:rPr>
                <w:b/>
                <w:sz w:val="24"/>
              </w:rPr>
              <w:t>malignes</w:t>
            </w:r>
          </w:p>
        </w:tc>
      </w:tr>
      <w:tr>
        <w:trPr>
          <w:trHeight w:val="300" w:hRule="atLeast"/>
        </w:trPr>
        <w:tc>
          <w:tcPr>
            <w:tcW w:w="710" w:type="dxa"/>
            <w:shd w:val="clear" w:color="auto" w:fill="BCD5ED"/>
          </w:tcPr>
          <w:p>
            <w:pPr>
              <w:pStyle w:val="TableParagraph"/>
              <w:spacing w:line="264" w:lineRule="exact" w:before="18"/>
              <w:ind w:left="64"/>
              <w:rPr>
                <w:sz w:val="24"/>
              </w:rPr>
            </w:pPr>
            <w:r>
              <w:rPr>
                <w:sz w:val="24"/>
              </w:rPr>
              <w:t>CN 2</w:t>
            </w:r>
          </w:p>
        </w:tc>
        <w:tc>
          <w:tcPr>
            <w:tcW w:w="1116" w:type="dxa"/>
          </w:tcPr>
          <w:p>
            <w:pPr>
              <w:pStyle w:val="TableParagraph"/>
              <w:spacing w:line="264" w:lineRule="exact" w:before="18"/>
              <w:ind w:left="62"/>
              <w:rPr>
                <w:sz w:val="24"/>
              </w:rPr>
            </w:pPr>
            <w:r>
              <w:rPr>
                <w:sz w:val="24"/>
              </w:rPr>
              <w:t>Labrador</w:t>
            </w:r>
          </w:p>
        </w:tc>
        <w:tc>
          <w:tcPr>
            <w:tcW w:w="708" w:type="dxa"/>
          </w:tcPr>
          <w:p>
            <w:pPr>
              <w:pStyle w:val="TableParagraph"/>
              <w:spacing w:line="264" w:lineRule="exact" w:before="18"/>
              <w:ind w:left="62"/>
              <w:rPr>
                <w:sz w:val="24"/>
              </w:rPr>
            </w:pPr>
            <w:r>
              <w:rPr>
                <w:w w:val="99"/>
                <w:sz w:val="24"/>
              </w:rPr>
              <w:t>M</w:t>
            </w:r>
          </w:p>
        </w:tc>
        <w:tc>
          <w:tcPr>
            <w:tcW w:w="586" w:type="dxa"/>
          </w:tcPr>
          <w:p>
            <w:pPr>
              <w:pStyle w:val="TableParagraph"/>
              <w:spacing w:line="264" w:lineRule="exact" w:before="18"/>
              <w:ind w:right="66"/>
              <w:jc w:val="right"/>
              <w:rPr>
                <w:sz w:val="24"/>
              </w:rPr>
            </w:pPr>
            <w:r>
              <w:rPr>
                <w:sz w:val="24"/>
              </w:rPr>
              <w:t>11</w:t>
            </w:r>
          </w:p>
        </w:tc>
        <w:tc>
          <w:tcPr>
            <w:tcW w:w="2540" w:type="dxa"/>
          </w:tcPr>
          <w:p>
            <w:pPr>
              <w:pStyle w:val="TableParagraph"/>
              <w:spacing w:line="264" w:lineRule="exact" w:before="18"/>
              <w:ind w:left="64"/>
              <w:rPr>
                <w:sz w:val="24"/>
              </w:rPr>
            </w:pPr>
            <w:r>
              <w:rPr>
                <w:sz w:val="24"/>
              </w:rPr>
              <w:t>Lymphome B</w:t>
            </w:r>
          </w:p>
        </w:tc>
        <w:tc>
          <w:tcPr>
            <w:tcW w:w="2989" w:type="dxa"/>
          </w:tcPr>
          <w:p>
            <w:pPr>
              <w:pStyle w:val="TableParagraph"/>
              <w:spacing w:line="264" w:lineRule="exact" w:before="18"/>
              <w:ind w:left="64"/>
              <w:rPr>
                <w:sz w:val="24"/>
              </w:rPr>
            </w:pPr>
            <w:r>
              <w:rPr>
                <w:sz w:val="24"/>
              </w:rPr>
              <w:t>Aucune</w:t>
            </w:r>
          </w:p>
        </w:tc>
        <w:tc>
          <w:tcPr>
            <w:tcW w:w="2126" w:type="dxa"/>
          </w:tcPr>
          <w:p>
            <w:pPr>
              <w:pStyle w:val="TableParagraph"/>
              <w:spacing w:line="264" w:lineRule="exact" w:before="18"/>
              <w:ind w:left="64"/>
              <w:rPr>
                <w:sz w:val="24"/>
              </w:rPr>
            </w:pPr>
            <w:r>
              <w:rPr>
                <w:sz w:val="24"/>
              </w:rPr>
              <w:t>L-CHOP</w:t>
            </w:r>
          </w:p>
        </w:tc>
      </w:tr>
      <w:tr>
        <w:trPr>
          <w:trHeight w:val="300" w:hRule="atLeast"/>
        </w:trPr>
        <w:tc>
          <w:tcPr>
            <w:tcW w:w="710" w:type="dxa"/>
            <w:shd w:val="clear" w:color="auto" w:fill="BCD5ED"/>
          </w:tcPr>
          <w:p>
            <w:pPr>
              <w:pStyle w:val="TableParagraph"/>
              <w:spacing w:line="264" w:lineRule="exact" w:before="15"/>
              <w:ind w:left="64"/>
              <w:rPr>
                <w:sz w:val="24"/>
              </w:rPr>
            </w:pPr>
            <w:r>
              <w:rPr>
                <w:sz w:val="24"/>
              </w:rPr>
              <w:t>CN 3</w:t>
            </w:r>
          </w:p>
        </w:tc>
        <w:tc>
          <w:tcPr>
            <w:tcW w:w="1116" w:type="dxa"/>
          </w:tcPr>
          <w:p>
            <w:pPr>
              <w:pStyle w:val="TableParagraph"/>
              <w:spacing w:line="264" w:lineRule="exact" w:before="15"/>
              <w:ind w:left="62"/>
              <w:rPr>
                <w:sz w:val="24"/>
              </w:rPr>
            </w:pPr>
            <w:r>
              <w:rPr>
                <w:sz w:val="24"/>
              </w:rPr>
              <w:t>Labrador</w:t>
            </w:r>
          </w:p>
        </w:tc>
        <w:tc>
          <w:tcPr>
            <w:tcW w:w="708" w:type="dxa"/>
          </w:tcPr>
          <w:p>
            <w:pPr>
              <w:pStyle w:val="TableParagraph"/>
              <w:spacing w:line="264" w:lineRule="exact" w:before="15"/>
              <w:ind w:left="62"/>
              <w:rPr>
                <w:sz w:val="24"/>
              </w:rPr>
            </w:pPr>
            <w:r>
              <w:rPr>
                <w:w w:val="99"/>
                <w:sz w:val="24"/>
              </w:rPr>
              <w:t>M</w:t>
            </w:r>
          </w:p>
        </w:tc>
        <w:tc>
          <w:tcPr>
            <w:tcW w:w="586" w:type="dxa"/>
          </w:tcPr>
          <w:p>
            <w:pPr>
              <w:pStyle w:val="TableParagraph"/>
              <w:spacing w:line="264" w:lineRule="exact" w:before="15"/>
              <w:ind w:right="66"/>
              <w:jc w:val="right"/>
              <w:rPr>
                <w:sz w:val="24"/>
              </w:rPr>
            </w:pPr>
            <w:r>
              <w:rPr>
                <w:sz w:val="24"/>
              </w:rPr>
              <w:t>8</w:t>
            </w:r>
          </w:p>
        </w:tc>
        <w:tc>
          <w:tcPr>
            <w:tcW w:w="2540" w:type="dxa"/>
          </w:tcPr>
          <w:p>
            <w:pPr>
              <w:pStyle w:val="TableParagraph"/>
              <w:spacing w:line="264" w:lineRule="exact" w:before="15"/>
              <w:ind w:left="64"/>
              <w:rPr>
                <w:sz w:val="24"/>
              </w:rPr>
            </w:pPr>
            <w:r>
              <w:rPr>
                <w:sz w:val="24"/>
              </w:rPr>
              <w:t>Lymphome B</w:t>
            </w:r>
          </w:p>
        </w:tc>
        <w:tc>
          <w:tcPr>
            <w:tcW w:w="2989" w:type="dxa"/>
          </w:tcPr>
          <w:p>
            <w:pPr>
              <w:pStyle w:val="TableParagraph"/>
              <w:spacing w:line="264" w:lineRule="exact" w:before="15"/>
              <w:ind w:left="64"/>
              <w:rPr>
                <w:i/>
                <w:sz w:val="24"/>
              </w:rPr>
            </w:pPr>
            <w:r>
              <w:rPr>
                <w:sz w:val="24"/>
              </w:rPr>
              <w:t>Stade IV </w:t>
            </w:r>
            <w:r>
              <w:rPr>
                <w:i/>
                <w:sz w:val="24"/>
              </w:rPr>
              <w:t>(référé)</w:t>
            </w:r>
          </w:p>
        </w:tc>
        <w:tc>
          <w:tcPr>
            <w:tcW w:w="2126" w:type="dxa"/>
          </w:tcPr>
          <w:p>
            <w:pPr>
              <w:pStyle w:val="TableParagraph"/>
              <w:spacing w:line="264" w:lineRule="exact" w:before="15"/>
              <w:ind w:left="64"/>
              <w:rPr>
                <w:sz w:val="24"/>
              </w:rPr>
            </w:pPr>
            <w:r>
              <w:rPr>
                <w:sz w:val="24"/>
              </w:rPr>
              <w:t>L-CHOP</w:t>
            </w:r>
          </w:p>
        </w:tc>
      </w:tr>
      <w:tr>
        <w:trPr>
          <w:trHeight w:val="820" w:hRule="atLeast"/>
        </w:trPr>
        <w:tc>
          <w:tcPr>
            <w:tcW w:w="710" w:type="dxa"/>
            <w:shd w:val="clear" w:color="auto" w:fill="BCD5ED"/>
          </w:tcPr>
          <w:p>
            <w:pPr>
              <w:pStyle w:val="TableParagraph"/>
              <w:rPr>
                <w:i/>
                <w:sz w:val="26"/>
              </w:rPr>
            </w:pPr>
          </w:p>
          <w:p>
            <w:pPr>
              <w:pStyle w:val="TableParagraph"/>
              <w:spacing w:before="3"/>
              <w:rPr>
                <w:i/>
                <w:sz w:val="21"/>
              </w:rPr>
            </w:pPr>
          </w:p>
          <w:p>
            <w:pPr>
              <w:pStyle w:val="TableParagraph"/>
              <w:spacing w:line="264" w:lineRule="exact"/>
              <w:ind w:left="64"/>
              <w:rPr>
                <w:sz w:val="24"/>
              </w:rPr>
            </w:pPr>
            <w:r>
              <w:rPr>
                <w:sz w:val="24"/>
              </w:rPr>
              <w:t>CN 6</w:t>
            </w:r>
          </w:p>
        </w:tc>
        <w:tc>
          <w:tcPr>
            <w:tcW w:w="1116" w:type="dxa"/>
          </w:tcPr>
          <w:p>
            <w:pPr>
              <w:pStyle w:val="TableParagraph"/>
              <w:spacing w:before="3"/>
              <w:rPr>
                <w:i/>
                <w:sz w:val="23"/>
              </w:rPr>
            </w:pPr>
          </w:p>
          <w:p>
            <w:pPr>
              <w:pStyle w:val="TableParagraph"/>
              <w:spacing w:line="270" w:lineRule="atLeast"/>
              <w:ind w:left="62" w:right="251"/>
              <w:rPr>
                <w:sz w:val="24"/>
              </w:rPr>
            </w:pPr>
            <w:r>
              <w:rPr>
                <w:sz w:val="24"/>
              </w:rPr>
              <w:t>Bouvier Bernois</w:t>
            </w:r>
          </w:p>
        </w:tc>
        <w:tc>
          <w:tcPr>
            <w:tcW w:w="708" w:type="dxa"/>
          </w:tcPr>
          <w:p>
            <w:pPr>
              <w:pStyle w:val="TableParagraph"/>
              <w:rPr>
                <w:i/>
                <w:sz w:val="26"/>
              </w:rPr>
            </w:pPr>
          </w:p>
          <w:p>
            <w:pPr>
              <w:pStyle w:val="TableParagraph"/>
              <w:spacing w:before="3"/>
              <w:rPr>
                <w:i/>
                <w:sz w:val="21"/>
              </w:rPr>
            </w:pPr>
          </w:p>
          <w:p>
            <w:pPr>
              <w:pStyle w:val="TableParagraph"/>
              <w:spacing w:line="264" w:lineRule="exact"/>
              <w:ind w:left="62"/>
              <w:rPr>
                <w:sz w:val="24"/>
              </w:rPr>
            </w:pPr>
            <w:r>
              <w:rPr>
                <w:w w:val="99"/>
                <w:sz w:val="24"/>
              </w:rPr>
              <w:t>M</w:t>
            </w:r>
          </w:p>
        </w:tc>
        <w:tc>
          <w:tcPr>
            <w:tcW w:w="586" w:type="dxa"/>
          </w:tcPr>
          <w:p>
            <w:pPr>
              <w:pStyle w:val="TableParagraph"/>
              <w:rPr>
                <w:i/>
                <w:sz w:val="26"/>
              </w:rPr>
            </w:pPr>
          </w:p>
          <w:p>
            <w:pPr>
              <w:pStyle w:val="TableParagraph"/>
              <w:spacing w:before="3"/>
              <w:rPr>
                <w:i/>
                <w:sz w:val="21"/>
              </w:rPr>
            </w:pPr>
          </w:p>
          <w:p>
            <w:pPr>
              <w:pStyle w:val="TableParagraph"/>
              <w:spacing w:line="264" w:lineRule="exact"/>
              <w:ind w:right="66"/>
              <w:jc w:val="right"/>
              <w:rPr>
                <w:sz w:val="24"/>
              </w:rPr>
            </w:pPr>
            <w:r>
              <w:rPr>
                <w:sz w:val="24"/>
              </w:rPr>
              <w:t>9</w:t>
            </w:r>
          </w:p>
        </w:tc>
        <w:tc>
          <w:tcPr>
            <w:tcW w:w="2540" w:type="dxa"/>
          </w:tcPr>
          <w:p>
            <w:pPr>
              <w:pStyle w:val="TableParagraph"/>
              <w:rPr>
                <w:i/>
                <w:sz w:val="26"/>
              </w:rPr>
            </w:pPr>
          </w:p>
          <w:p>
            <w:pPr>
              <w:pStyle w:val="TableParagraph"/>
              <w:spacing w:before="3"/>
              <w:rPr>
                <w:i/>
                <w:sz w:val="21"/>
              </w:rPr>
            </w:pPr>
          </w:p>
          <w:p>
            <w:pPr>
              <w:pStyle w:val="TableParagraph"/>
              <w:spacing w:line="264" w:lineRule="exact"/>
              <w:ind w:left="64"/>
              <w:rPr>
                <w:sz w:val="24"/>
              </w:rPr>
            </w:pPr>
            <w:r>
              <w:rPr>
                <w:sz w:val="24"/>
              </w:rPr>
              <w:t>Lymphome B</w:t>
            </w:r>
          </w:p>
        </w:tc>
        <w:tc>
          <w:tcPr>
            <w:tcW w:w="2989" w:type="dxa"/>
          </w:tcPr>
          <w:p>
            <w:pPr>
              <w:pStyle w:val="TableParagraph"/>
              <w:rPr>
                <w:i/>
                <w:sz w:val="26"/>
              </w:rPr>
            </w:pPr>
          </w:p>
          <w:p>
            <w:pPr>
              <w:pStyle w:val="TableParagraph"/>
              <w:spacing w:before="3"/>
              <w:rPr>
                <w:i/>
                <w:sz w:val="21"/>
              </w:rPr>
            </w:pPr>
          </w:p>
          <w:p>
            <w:pPr>
              <w:pStyle w:val="TableParagraph"/>
              <w:spacing w:line="264" w:lineRule="exact"/>
              <w:ind w:left="64"/>
              <w:rPr>
                <w:i/>
                <w:sz w:val="24"/>
              </w:rPr>
            </w:pPr>
            <w:r>
              <w:rPr>
                <w:sz w:val="24"/>
              </w:rPr>
              <w:t>Stade IV ou V </w:t>
            </w:r>
            <w:r>
              <w:rPr>
                <w:i/>
                <w:sz w:val="24"/>
              </w:rPr>
              <w:t>(référé)</w:t>
            </w:r>
          </w:p>
        </w:tc>
        <w:tc>
          <w:tcPr>
            <w:tcW w:w="2126" w:type="dxa"/>
          </w:tcPr>
          <w:p>
            <w:pPr>
              <w:pStyle w:val="TableParagraph"/>
              <w:ind w:left="64" w:right="779"/>
              <w:rPr>
                <w:sz w:val="24"/>
              </w:rPr>
            </w:pPr>
            <w:r>
              <w:rPr>
                <w:sz w:val="24"/>
              </w:rPr>
              <w:t>Prednisolone 1 mg/kg</w:t>
            </w:r>
          </w:p>
          <w:p>
            <w:pPr>
              <w:pStyle w:val="TableParagraph"/>
              <w:spacing w:line="264" w:lineRule="exact" w:before="8"/>
              <w:ind w:left="64"/>
              <w:rPr>
                <w:sz w:val="24"/>
              </w:rPr>
            </w:pPr>
            <w:r>
              <w:rPr>
                <w:sz w:val="24"/>
              </w:rPr>
              <w:t>L-Asparaginase</w:t>
            </w:r>
          </w:p>
        </w:tc>
      </w:tr>
      <w:tr>
        <w:trPr>
          <w:trHeight w:val="540" w:hRule="atLeast"/>
        </w:trPr>
        <w:tc>
          <w:tcPr>
            <w:tcW w:w="710" w:type="dxa"/>
            <w:shd w:val="clear" w:color="auto" w:fill="BCD5ED"/>
          </w:tcPr>
          <w:p>
            <w:pPr>
              <w:pStyle w:val="TableParagraph"/>
              <w:spacing w:before="5"/>
              <w:rPr>
                <w:i/>
                <w:sz w:val="23"/>
              </w:rPr>
            </w:pPr>
          </w:p>
          <w:p>
            <w:pPr>
              <w:pStyle w:val="TableParagraph"/>
              <w:spacing w:line="261" w:lineRule="exact"/>
              <w:ind w:left="64"/>
              <w:rPr>
                <w:sz w:val="24"/>
              </w:rPr>
            </w:pPr>
            <w:r>
              <w:rPr>
                <w:sz w:val="24"/>
              </w:rPr>
              <w:t>CN 7</w:t>
            </w:r>
          </w:p>
        </w:tc>
        <w:tc>
          <w:tcPr>
            <w:tcW w:w="1116" w:type="dxa"/>
          </w:tcPr>
          <w:p>
            <w:pPr>
              <w:pStyle w:val="TableParagraph"/>
              <w:spacing w:before="5"/>
              <w:rPr>
                <w:i/>
                <w:sz w:val="23"/>
              </w:rPr>
            </w:pPr>
          </w:p>
          <w:p>
            <w:pPr>
              <w:pStyle w:val="TableParagraph"/>
              <w:spacing w:line="261" w:lineRule="exact"/>
              <w:ind w:left="62"/>
              <w:rPr>
                <w:sz w:val="24"/>
              </w:rPr>
            </w:pPr>
            <w:r>
              <w:rPr>
                <w:sz w:val="24"/>
              </w:rPr>
              <w:t>Golden</w:t>
            </w:r>
          </w:p>
        </w:tc>
        <w:tc>
          <w:tcPr>
            <w:tcW w:w="708" w:type="dxa"/>
          </w:tcPr>
          <w:p>
            <w:pPr>
              <w:pStyle w:val="TableParagraph"/>
              <w:spacing w:before="5"/>
              <w:rPr>
                <w:i/>
                <w:sz w:val="23"/>
              </w:rPr>
            </w:pPr>
          </w:p>
          <w:p>
            <w:pPr>
              <w:pStyle w:val="TableParagraph"/>
              <w:spacing w:line="261" w:lineRule="exact"/>
              <w:ind w:left="62"/>
              <w:rPr>
                <w:sz w:val="24"/>
              </w:rPr>
            </w:pPr>
            <w:r>
              <w:rPr>
                <w:w w:val="99"/>
                <w:sz w:val="24"/>
              </w:rPr>
              <w:t>M</w:t>
            </w:r>
          </w:p>
        </w:tc>
        <w:tc>
          <w:tcPr>
            <w:tcW w:w="586" w:type="dxa"/>
          </w:tcPr>
          <w:p>
            <w:pPr>
              <w:pStyle w:val="TableParagraph"/>
              <w:spacing w:before="5"/>
              <w:rPr>
                <w:i/>
                <w:sz w:val="23"/>
              </w:rPr>
            </w:pPr>
          </w:p>
          <w:p>
            <w:pPr>
              <w:pStyle w:val="TableParagraph"/>
              <w:spacing w:line="261" w:lineRule="exact"/>
              <w:ind w:right="66"/>
              <w:jc w:val="right"/>
              <w:rPr>
                <w:sz w:val="24"/>
              </w:rPr>
            </w:pPr>
            <w:r>
              <w:rPr>
                <w:sz w:val="24"/>
              </w:rPr>
              <w:t>3</w:t>
            </w:r>
          </w:p>
        </w:tc>
        <w:tc>
          <w:tcPr>
            <w:tcW w:w="2540" w:type="dxa"/>
          </w:tcPr>
          <w:p>
            <w:pPr>
              <w:pStyle w:val="TableParagraph"/>
              <w:spacing w:line="270" w:lineRule="exact"/>
              <w:ind w:left="64"/>
              <w:rPr>
                <w:sz w:val="24"/>
              </w:rPr>
            </w:pPr>
            <w:r>
              <w:rPr>
                <w:sz w:val="24"/>
              </w:rPr>
              <w:t>Lymphome</w:t>
            </w:r>
          </w:p>
          <w:p>
            <w:pPr>
              <w:pStyle w:val="TableParagraph"/>
              <w:spacing w:line="261" w:lineRule="exact"/>
              <w:ind w:left="64"/>
              <w:rPr>
                <w:sz w:val="24"/>
              </w:rPr>
            </w:pPr>
            <w:r>
              <w:rPr>
                <w:sz w:val="24"/>
              </w:rPr>
              <w:t>multicentrique</w:t>
            </w:r>
          </w:p>
        </w:tc>
        <w:tc>
          <w:tcPr>
            <w:tcW w:w="2989" w:type="dxa"/>
          </w:tcPr>
          <w:p>
            <w:pPr>
              <w:pStyle w:val="TableParagraph"/>
              <w:spacing w:line="270" w:lineRule="exact"/>
              <w:ind w:left="64"/>
              <w:rPr>
                <w:sz w:val="24"/>
              </w:rPr>
            </w:pPr>
            <w:r>
              <w:rPr>
                <w:sz w:val="24"/>
              </w:rPr>
              <w:t>Stade III non confirmé</w:t>
            </w:r>
          </w:p>
          <w:p>
            <w:pPr>
              <w:pStyle w:val="TableParagraph"/>
              <w:spacing w:line="261" w:lineRule="exact"/>
              <w:ind w:left="64"/>
              <w:rPr>
                <w:i/>
                <w:sz w:val="24"/>
              </w:rPr>
            </w:pPr>
            <w:r>
              <w:rPr>
                <w:i/>
                <w:sz w:val="24"/>
              </w:rPr>
              <w:t>(référé)</w:t>
            </w:r>
          </w:p>
        </w:tc>
        <w:tc>
          <w:tcPr>
            <w:tcW w:w="2126" w:type="dxa"/>
          </w:tcPr>
          <w:p>
            <w:pPr>
              <w:pStyle w:val="TableParagraph"/>
              <w:spacing w:before="5"/>
              <w:rPr>
                <w:i/>
                <w:sz w:val="23"/>
              </w:rPr>
            </w:pPr>
          </w:p>
          <w:p>
            <w:pPr>
              <w:pStyle w:val="TableParagraph"/>
              <w:spacing w:line="261" w:lineRule="exact"/>
              <w:ind w:left="64"/>
              <w:rPr>
                <w:sz w:val="24"/>
              </w:rPr>
            </w:pPr>
            <w:r>
              <w:rPr>
                <w:sz w:val="24"/>
              </w:rPr>
              <w:t>L-CHOP</w:t>
            </w:r>
          </w:p>
        </w:tc>
      </w:tr>
      <w:tr>
        <w:trPr>
          <w:trHeight w:val="540" w:hRule="atLeast"/>
        </w:trPr>
        <w:tc>
          <w:tcPr>
            <w:tcW w:w="710" w:type="dxa"/>
            <w:shd w:val="clear" w:color="auto" w:fill="BCD5ED"/>
          </w:tcPr>
          <w:p>
            <w:pPr>
              <w:pStyle w:val="TableParagraph"/>
              <w:spacing w:line="270" w:lineRule="exact"/>
              <w:ind w:left="64"/>
              <w:rPr>
                <w:sz w:val="24"/>
              </w:rPr>
            </w:pPr>
            <w:r>
              <w:rPr>
                <w:sz w:val="24"/>
              </w:rPr>
              <w:t>CN</w:t>
            </w:r>
          </w:p>
          <w:p>
            <w:pPr>
              <w:pStyle w:val="TableParagraph"/>
              <w:spacing w:line="264" w:lineRule="exact"/>
              <w:ind w:left="64"/>
              <w:rPr>
                <w:sz w:val="24"/>
              </w:rPr>
            </w:pPr>
            <w:r>
              <w:rPr>
                <w:sz w:val="24"/>
              </w:rPr>
              <w:t>14</w:t>
            </w:r>
          </w:p>
        </w:tc>
        <w:tc>
          <w:tcPr>
            <w:tcW w:w="1116" w:type="dxa"/>
          </w:tcPr>
          <w:p>
            <w:pPr>
              <w:pStyle w:val="TableParagraph"/>
              <w:spacing w:line="270" w:lineRule="exact"/>
              <w:ind w:left="62"/>
              <w:rPr>
                <w:sz w:val="24"/>
              </w:rPr>
            </w:pPr>
            <w:r>
              <w:rPr>
                <w:sz w:val="24"/>
              </w:rPr>
              <w:t>Bouvier</w:t>
            </w:r>
          </w:p>
          <w:p>
            <w:pPr>
              <w:pStyle w:val="TableParagraph"/>
              <w:spacing w:line="264" w:lineRule="exact"/>
              <w:ind w:left="62"/>
              <w:rPr>
                <w:sz w:val="24"/>
              </w:rPr>
            </w:pPr>
            <w:r>
              <w:rPr>
                <w:sz w:val="24"/>
              </w:rPr>
              <w:t>Bernois</w:t>
            </w:r>
          </w:p>
        </w:tc>
        <w:tc>
          <w:tcPr>
            <w:tcW w:w="708" w:type="dxa"/>
          </w:tcPr>
          <w:p>
            <w:pPr>
              <w:pStyle w:val="TableParagraph"/>
              <w:spacing w:before="5"/>
              <w:rPr>
                <w:i/>
                <w:sz w:val="23"/>
              </w:rPr>
            </w:pPr>
          </w:p>
          <w:p>
            <w:pPr>
              <w:pStyle w:val="TableParagraph"/>
              <w:spacing w:line="264" w:lineRule="exact"/>
              <w:ind w:left="62"/>
              <w:rPr>
                <w:sz w:val="24"/>
              </w:rPr>
            </w:pPr>
            <w:r>
              <w:rPr>
                <w:sz w:val="24"/>
              </w:rPr>
              <w:t>F OV</w:t>
            </w:r>
          </w:p>
        </w:tc>
        <w:tc>
          <w:tcPr>
            <w:tcW w:w="586" w:type="dxa"/>
          </w:tcPr>
          <w:p>
            <w:pPr>
              <w:pStyle w:val="TableParagraph"/>
              <w:spacing w:before="5"/>
              <w:rPr>
                <w:i/>
                <w:sz w:val="23"/>
              </w:rPr>
            </w:pPr>
          </w:p>
          <w:p>
            <w:pPr>
              <w:pStyle w:val="TableParagraph"/>
              <w:spacing w:line="264" w:lineRule="exact"/>
              <w:ind w:right="66"/>
              <w:jc w:val="right"/>
              <w:rPr>
                <w:sz w:val="24"/>
              </w:rPr>
            </w:pPr>
            <w:r>
              <w:rPr>
                <w:sz w:val="24"/>
              </w:rPr>
              <w:t>5</w:t>
            </w:r>
          </w:p>
        </w:tc>
        <w:tc>
          <w:tcPr>
            <w:tcW w:w="2540" w:type="dxa"/>
          </w:tcPr>
          <w:p>
            <w:pPr>
              <w:pStyle w:val="TableParagraph"/>
              <w:spacing w:before="5"/>
              <w:rPr>
                <w:i/>
                <w:sz w:val="23"/>
              </w:rPr>
            </w:pPr>
          </w:p>
          <w:p>
            <w:pPr>
              <w:pStyle w:val="TableParagraph"/>
              <w:spacing w:line="264" w:lineRule="exact"/>
              <w:ind w:left="64"/>
              <w:rPr>
                <w:sz w:val="24"/>
              </w:rPr>
            </w:pPr>
            <w:r>
              <w:rPr>
                <w:sz w:val="24"/>
              </w:rPr>
              <w:t>Lymphome B</w:t>
            </w:r>
          </w:p>
        </w:tc>
        <w:tc>
          <w:tcPr>
            <w:tcW w:w="2989" w:type="dxa"/>
          </w:tcPr>
          <w:p>
            <w:pPr>
              <w:pStyle w:val="TableParagraph"/>
              <w:spacing w:before="5"/>
              <w:rPr>
                <w:i/>
                <w:sz w:val="23"/>
              </w:rPr>
            </w:pPr>
          </w:p>
          <w:p>
            <w:pPr>
              <w:pStyle w:val="TableParagraph"/>
              <w:spacing w:line="264" w:lineRule="exact"/>
              <w:ind w:left="64"/>
              <w:rPr>
                <w:i/>
                <w:sz w:val="24"/>
              </w:rPr>
            </w:pPr>
            <w:r>
              <w:rPr>
                <w:sz w:val="24"/>
              </w:rPr>
              <w:t>Stade V </w:t>
            </w:r>
            <w:r>
              <w:rPr>
                <w:i/>
                <w:sz w:val="24"/>
              </w:rPr>
              <w:t>(référé)</w:t>
            </w:r>
          </w:p>
        </w:tc>
        <w:tc>
          <w:tcPr>
            <w:tcW w:w="2126" w:type="dxa"/>
          </w:tcPr>
          <w:p>
            <w:pPr>
              <w:pStyle w:val="TableParagraph"/>
              <w:spacing w:line="270" w:lineRule="exact"/>
              <w:ind w:left="64"/>
              <w:rPr>
                <w:sz w:val="24"/>
              </w:rPr>
            </w:pPr>
            <w:r>
              <w:rPr>
                <w:sz w:val="24"/>
              </w:rPr>
              <w:t>L-CHOP (8</w:t>
            </w:r>
          </w:p>
          <w:p>
            <w:pPr>
              <w:pStyle w:val="TableParagraph"/>
              <w:spacing w:line="264" w:lineRule="exact"/>
              <w:ind w:left="64"/>
              <w:rPr>
                <w:sz w:val="24"/>
              </w:rPr>
            </w:pPr>
            <w:r>
              <w:rPr>
                <w:sz w:val="24"/>
              </w:rPr>
              <w:t>séances)</w:t>
            </w:r>
          </w:p>
        </w:tc>
      </w:tr>
      <w:tr>
        <w:trPr>
          <w:trHeight w:val="1640" w:hRule="atLeast"/>
        </w:trPr>
        <w:tc>
          <w:tcPr>
            <w:tcW w:w="710" w:type="dxa"/>
            <w:shd w:val="clear" w:color="auto" w:fill="BCD5ED"/>
          </w:tcPr>
          <w:p>
            <w:pPr>
              <w:pStyle w:val="TableParagraph"/>
              <w:rPr>
                <w:i/>
                <w:sz w:val="26"/>
              </w:rPr>
            </w:pPr>
          </w:p>
          <w:p>
            <w:pPr>
              <w:pStyle w:val="TableParagraph"/>
              <w:rPr>
                <w:i/>
                <w:sz w:val="26"/>
              </w:rPr>
            </w:pPr>
          </w:p>
          <w:p>
            <w:pPr>
              <w:pStyle w:val="TableParagraph"/>
              <w:rPr>
                <w:i/>
                <w:sz w:val="26"/>
              </w:rPr>
            </w:pPr>
          </w:p>
          <w:p>
            <w:pPr>
              <w:pStyle w:val="TableParagraph"/>
              <w:rPr>
                <w:i/>
                <w:sz w:val="26"/>
              </w:rPr>
            </w:pPr>
          </w:p>
          <w:p>
            <w:pPr>
              <w:pStyle w:val="TableParagraph"/>
              <w:spacing w:line="264" w:lineRule="exact" w:before="176"/>
              <w:ind w:left="64"/>
              <w:rPr>
                <w:sz w:val="24"/>
              </w:rPr>
            </w:pPr>
            <w:r>
              <w:rPr>
                <w:sz w:val="24"/>
              </w:rPr>
              <w:t>CT 2</w:t>
            </w:r>
          </w:p>
        </w:tc>
        <w:tc>
          <w:tcPr>
            <w:tcW w:w="1116" w:type="dxa"/>
          </w:tcPr>
          <w:p>
            <w:pPr>
              <w:pStyle w:val="TableParagraph"/>
              <w:rPr>
                <w:i/>
                <w:sz w:val="26"/>
              </w:rPr>
            </w:pPr>
          </w:p>
          <w:p>
            <w:pPr>
              <w:pStyle w:val="TableParagraph"/>
              <w:rPr>
                <w:i/>
                <w:sz w:val="26"/>
              </w:rPr>
            </w:pPr>
          </w:p>
          <w:p>
            <w:pPr>
              <w:pStyle w:val="TableParagraph"/>
              <w:rPr>
                <w:i/>
                <w:sz w:val="26"/>
              </w:rPr>
            </w:pPr>
          </w:p>
          <w:p>
            <w:pPr>
              <w:pStyle w:val="TableParagraph"/>
              <w:rPr>
                <w:i/>
                <w:sz w:val="26"/>
              </w:rPr>
            </w:pPr>
          </w:p>
          <w:p>
            <w:pPr>
              <w:pStyle w:val="TableParagraph"/>
              <w:spacing w:line="264" w:lineRule="exact" w:before="176"/>
              <w:ind w:left="62"/>
              <w:rPr>
                <w:sz w:val="24"/>
              </w:rPr>
            </w:pPr>
            <w:r>
              <w:rPr>
                <w:sz w:val="24"/>
              </w:rPr>
              <w:t>Européen</w:t>
            </w:r>
          </w:p>
        </w:tc>
        <w:tc>
          <w:tcPr>
            <w:tcW w:w="708" w:type="dxa"/>
          </w:tcPr>
          <w:p>
            <w:pPr>
              <w:pStyle w:val="TableParagraph"/>
              <w:rPr>
                <w:i/>
                <w:sz w:val="26"/>
              </w:rPr>
            </w:pPr>
          </w:p>
          <w:p>
            <w:pPr>
              <w:pStyle w:val="TableParagraph"/>
              <w:rPr>
                <w:i/>
                <w:sz w:val="26"/>
              </w:rPr>
            </w:pPr>
          </w:p>
          <w:p>
            <w:pPr>
              <w:pStyle w:val="TableParagraph"/>
              <w:rPr>
                <w:i/>
                <w:sz w:val="26"/>
              </w:rPr>
            </w:pPr>
          </w:p>
          <w:p>
            <w:pPr>
              <w:pStyle w:val="TableParagraph"/>
              <w:rPr>
                <w:i/>
                <w:sz w:val="26"/>
              </w:rPr>
            </w:pPr>
          </w:p>
          <w:p>
            <w:pPr>
              <w:pStyle w:val="TableParagraph"/>
              <w:spacing w:line="264" w:lineRule="exact" w:before="176"/>
              <w:ind w:left="62"/>
              <w:rPr>
                <w:sz w:val="24"/>
              </w:rPr>
            </w:pPr>
            <w:r>
              <w:rPr>
                <w:sz w:val="24"/>
              </w:rPr>
              <w:t>MC</w:t>
            </w:r>
          </w:p>
        </w:tc>
        <w:tc>
          <w:tcPr>
            <w:tcW w:w="586" w:type="dxa"/>
          </w:tcPr>
          <w:p>
            <w:pPr>
              <w:pStyle w:val="TableParagraph"/>
              <w:rPr>
                <w:i/>
                <w:sz w:val="26"/>
              </w:rPr>
            </w:pPr>
          </w:p>
          <w:p>
            <w:pPr>
              <w:pStyle w:val="TableParagraph"/>
              <w:rPr>
                <w:i/>
                <w:sz w:val="26"/>
              </w:rPr>
            </w:pPr>
          </w:p>
          <w:p>
            <w:pPr>
              <w:pStyle w:val="TableParagraph"/>
              <w:rPr>
                <w:i/>
                <w:sz w:val="26"/>
              </w:rPr>
            </w:pPr>
          </w:p>
          <w:p>
            <w:pPr>
              <w:pStyle w:val="TableParagraph"/>
              <w:rPr>
                <w:i/>
                <w:sz w:val="26"/>
              </w:rPr>
            </w:pPr>
          </w:p>
          <w:p>
            <w:pPr>
              <w:pStyle w:val="TableParagraph"/>
              <w:spacing w:line="264" w:lineRule="exact" w:before="176"/>
              <w:ind w:right="66"/>
              <w:jc w:val="right"/>
              <w:rPr>
                <w:sz w:val="24"/>
              </w:rPr>
            </w:pPr>
            <w:r>
              <w:rPr>
                <w:sz w:val="24"/>
              </w:rPr>
              <w:t>16</w:t>
            </w:r>
          </w:p>
        </w:tc>
        <w:tc>
          <w:tcPr>
            <w:tcW w:w="2540" w:type="dxa"/>
          </w:tcPr>
          <w:p>
            <w:pPr>
              <w:pStyle w:val="TableParagraph"/>
              <w:rPr>
                <w:i/>
                <w:sz w:val="26"/>
              </w:rPr>
            </w:pPr>
          </w:p>
          <w:p>
            <w:pPr>
              <w:pStyle w:val="TableParagraph"/>
              <w:rPr>
                <w:i/>
                <w:sz w:val="26"/>
              </w:rPr>
            </w:pPr>
          </w:p>
          <w:p>
            <w:pPr>
              <w:pStyle w:val="TableParagraph"/>
              <w:spacing w:before="221"/>
              <w:ind w:left="64"/>
              <w:rPr>
                <w:sz w:val="24"/>
              </w:rPr>
            </w:pPr>
            <w:r>
              <w:rPr>
                <w:sz w:val="24"/>
              </w:rPr>
              <w:t>Lymphome digestif à</w:t>
            </w:r>
          </w:p>
          <w:p>
            <w:pPr>
              <w:pStyle w:val="TableParagraph"/>
              <w:spacing w:line="270" w:lineRule="atLeast"/>
              <w:ind w:left="64" w:right="566"/>
              <w:rPr>
                <w:sz w:val="24"/>
              </w:rPr>
            </w:pPr>
            <w:r>
              <w:rPr>
                <w:sz w:val="24"/>
              </w:rPr>
              <w:t>petites cellules (bas grade)</w:t>
            </w:r>
          </w:p>
        </w:tc>
        <w:tc>
          <w:tcPr>
            <w:tcW w:w="2989" w:type="dxa"/>
          </w:tcPr>
          <w:p>
            <w:pPr>
              <w:pStyle w:val="TableParagraph"/>
              <w:rPr>
                <w:i/>
                <w:sz w:val="26"/>
              </w:rPr>
            </w:pPr>
          </w:p>
          <w:p>
            <w:pPr>
              <w:pStyle w:val="TableParagraph"/>
              <w:rPr>
                <w:i/>
                <w:sz w:val="26"/>
              </w:rPr>
            </w:pPr>
          </w:p>
          <w:p>
            <w:pPr>
              <w:pStyle w:val="TableParagraph"/>
              <w:rPr>
                <w:i/>
                <w:sz w:val="26"/>
              </w:rPr>
            </w:pPr>
          </w:p>
          <w:p>
            <w:pPr>
              <w:pStyle w:val="TableParagraph"/>
              <w:rPr>
                <w:i/>
                <w:sz w:val="26"/>
              </w:rPr>
            </w:pPr>
          </w:p>
          <w:p>
            <w:pPr>
              <w:pStyle w:val="TableParagraph"/>
              <w:spacing w:line="264" w:lineRule="exact" w:before="176"/>
              <w:ind w:left="64"/>
              <w:rPr>
                <w:sz w:val="24"/>
              </w:rPr>
            </w:pPr>
            <w:r>
              <w:rPr>
                <w:sz w:val="24"/>
              </w:rPr>
              <w:t>Aucune</w:t>
            </w:r>
          </w:p>
        </w:tc>
        <w:tc>
          <w:tcPr>
            <w:tcW w:w="2126" w:type="dxa"/>
          </w:tcPr>
          <w:p>
            <w:pPr>
              <w:pStyle w:val="TableParagraph"/>
              <w:ind w:left="64" w:right="312"/>
              <w:rPr>
                <w:sz w:val="24"/>
              </w:rPr>
            </w:pPr>
            <w:r>
              <w:rPr>
                <w:sz w:val="24"/>
              </w:rPr>
              <w:t>Prednisolone Chlorambucil Chloraminophène</w:t>
            </w:r>
            <w:r>
              <w:rPr>
                <w:w w:val="99"/>
                <w:sz w:val="24"/>
              </w:rPr>
              <w:t> </w:t>
            </w:r>
            <w:r>
              <w:rPr>
                <w:sz w:val="24"/>
              </w:rPr>
              <w:t>0,5 mg/kg</w:t>
            </w:r>
          </w:p>
          <w:p>
            <w:pPr>
              <w:pStyle w:val="TableParagraph"/>
              <w:spacing w:line="270" w:lineRule="atLeast" w:before="8"/>
              <w:ind w:left="64" w:right="166"/>
              <w:rPr>
                <w:i/>
                <w:sz w:val="24"/>
              </w:rPr>
            </w:pPr>
            <w:r>
              <w:rPr>
                <w:i/>
                <w:sz w:val="24"/>
              </w:rPr>
              <w:t>Nombre de séances </w:t>
            </w:r>
            <w:r>
              <w:rPr>
                <w:i/>
                <w:sz w:val="24"/>
              </w:rPr>
              <w:t>inconnu</w:t>
            </w:r>
          </w:p>
        </w:tc>
      </w:tr>
    </w:tbl>
    <w:p>
      <w:pPr>
        <w:spacing w:after="0" w:line="270" w:lineRule="atLeast"/>
        <w:rPr>
          <w:sz w:val="24"/>
        </w:rPr>
        <w:sectPr>
          <w:pgSz w:w="11910" w:h="16840"/>
          <w:pgMar w:header="0" w:footer="1055" w:top="1320" w:bottom="1240" w:left="460" w:right="440"/>
        </w:sectPr>
      </w:pPr>
    </w:p>
    <w:tbl>
      <w:tblPr>
        <w:tblW w:w="0" w:type="auto"/>
        <w:jc w:val="left"/>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116"/>
        <w:gridCol w:w="708"/>
        <w:gridCol w:w="586"/>
        <w:gridCol w:w="2540"/>
        <w:gridCol w:w="2989"/>
        <w:gridCol w:w="2126"/>
      </w:tblGrid>
      <w:tr>
        <w:trPr>
          <w:trHeight w:val="540" w:hRule="atLeast"/>
        </w:trPr>
        <w:tc>
          <w:tcPr>
            <w:tcW w:w="710" w:type="dxa"/>
          </w:tcPr>
          <w:p>
            <w:pPr>
              <w:pStyle w:val="TableParagraph"/>
              <w:spacing w:before="1"/>
              <w:rPr>
                <w:i/>
                <w:sz w:val="23"/>
              </w:rPr>
            </w:pPr>
          </w:p>
          <w:p>
            <w:pPr>
              <w:pStyle w:val="TableParagraph"/>
              <w:spacing w:line="266" w:lineRule="exact"/>
              <w:ind w:left="64"/>
              <w:rPr>
                <w:b/>
                <w:sz w:val="24"/>
              </w:rPr>
            </w:pPr>
            <w:r>
              <w:rPr>
                <w:b/>
                <w:sz w:val="24"/>
              </w:rPr>
              <w:t>Rang</w:t>
            </w:r>
          </w:p>
        </w:tc>
        <w:tc>
          <w:tcPr>
            <w:tcW w:w="1116" w:type="dxa"/>
          </w:tcPr>
          <w:p>
            <w:pPr>
              <w:pStyle w:val="TableParagraph"/>
              <w:spacing w:before="1"/>
              <w:rPr>
                <w:i/>
                <w:sz w:val="23"/>
              </w:rPr>
            </w:pPr>
          </w:p>
          <w:p>
            <w:pPr>
              <w:pStyle w:val="TableParagraph"/>
              <w:spacing w:line="266" w:lineRule="exact"/>
              <w:ind w:left="62"/>
              <w:rPr>
                <w:b/>
                <w:sz w:val="24"/>
              </w:rPr>
            </w:pPr>
            <w:r>
              <w:rPr>
                <w:b/>
                <w:sz w:val="24"/>
              </w:rPr>
              <w:t>Race</w:t>
            </w:r>
          </w:p>
        </w:tc>
        <w:tc>
          <w:tcPr>
            <w:tcW w:w="708" w:type="dxa"/>
          </w:tcPr>
          <w:p>
            <w:pPr>
              <w:pStyle w:val="TableParagraph"/>
              <w:spacing w:before="1"/>
              <w:rPr>
                <w:i/>
                <w:sz w:val="23"/>
              </w:rPr>
            </w:pPr>
          </w:p>
          <w:p>
            <w:pPr>
              <w:pStyle w:val="TableParagraph"/>
              <w:spacing w:line="266" w:lineRule="exact"/>
              <w:ind w:left="62"/>
              <w:rPr>
                <w:b/>
                <w:sz w:val="24"/>
              </w:rPr>
            </w:pPr>
            <w:r>
              <w:rPr>
                <w:b/>
                <w:sz w:val="24"/>
              </w:rPr>
              <w:t>Sexe</w:t>
            </w:r>
          </w:p>
        </w:tc>
        <w:tc>
          <w:tcPr>
            <w:tcW w:w="586" w:type="dxa"/>
          </w:tcPr>
          <w:p>
            <w:pPr>
              <w:pStyle w:val="TableParagraph"/>
              <w:spacing w:before="1"/>
              <w:rPr>
                <w:i/>
                <w:sz w:val="23"/>
              </w:rPr>
            </w:pPr>
          </w:p>
          <w:p>
            <w:pPr>
              <w:pStyle w:val="TableParagraph"/>
              <w:spacing w:line="266" w:lineRule="exact"/>
              <w:ind w:right="109"/>
              <w:jc w:val="right"/>
              <w:rPr>
                <w:b/>
                <w:sz w:val="24"/>
              </w:rPr>
            </w:pPr>
            <w:r>
              <w:rPr>
                <w:b/>
                <w:w w:val="95"/>
                <w:sz w:val="24"/>
              </w:rPr>
              <w:t>Age</w:t>
            </w:r>
          </w:p>
        </w:tc>
        <w:tc>
          <w:tcPr>
            <w:tcW w:w="2540" w:type="dxa"/>
          </w:tcPr>
          <w:p>
            <w:pPr>
              <w:pStyle w:val="TableParagraph"/>
              <w:spacing w:before="1"/>
              <w:rPr>
                <w:i/>
                <w:sz w:val="23"/>
              </w:rPr>
            </w:pPr>
          </w:p>
          <w:p>
            <w:pPr>
              <w:pStyle w:val="TableParagraph"/>
              <w:spacing w:line="266" w:lineRule="exact"/>
              <w:ind w:left="64"/>
              <w:rPr>
                <w:b/>
                <w:sz w:val="24"/>
              </w:rPr>
            </w:pPr>
            <w:r>
              <w:rPr>
                <w:b/>
                <w:sz w:val="24"/>
              </w:rPr>
              <w:t>Tumeur</w:t>
            </w:r>
          </w:p>
        </w:tc>
        <w:tc>
          <w:tcPr>
            <w:tcW w:w="2989" w:type="dxa"/>
          </w:tcPr>
          <w:p>
            <w:pPr>
              <w:pStyle w:val="TableParagraph"/>
              <w:spacing w:before="1"/>
              <w:rPr>
                <w:i/>
                <w:sz w:val="23"/>
              </w:rPr>
            </w:pPr>
          </w:p>
          <w:p>
            <w:pPr>
              <w:pStyle w:val="TableParagraph"/>
              <w:spacing w:line="266" w:lineRule="exact"/>
              <w:ind w:left="64"/>
              <w:rPr>
                <w:b/>
                <w:sz w:val="24"/>
              </w:rPr>
            </w:pPr>
            <w:r>
              <w:rPr>
                <w:b/>
                <w:sz w:val="24"/>
              </w:rPr>
              <w:t>Précisions</w:t>
            </w:r>
          </w:p>
        </w:tc>
        <w:tc>
          <w:tcPr>
            <w:tcW w:w="2126" w:type="dxa"/>
          </w:tcPr>
          <w:p>
            <w:pPr>
              <w:pStyle w:val="TableParagraph"/>
              <w:spacing w:line="265" w:lineRule="exact"/>
              <w:ind w:left="64"/>
              <w:rPr>
                <w:b/>
                <w:sz w:val="24"/>
              </w:rPr>
            </w:pPr>
            <w:r>
              <w:rPr>
                <w:b/>
                <w:sz w:val="24"/>
              </w:rPr>
              <w:t>Traitement</w:t>
            </w:r>
          </w:p>
          <w:p>
            <w:pPr>
              <w:pStyle w:val="TableParagraph"/>
              <w:spacing w:line="266" w:lineRule="exact"/>
              <w:ind w:left="64"/>
              <w:rPr>
                <w:b/>
                <w:sz w:val="24"/>
              </w:rPr>
            </w:pPr>
            <w:r>
              <w:rPr>
                <w:b/>
                <w:sz w:val="24"/>
              </w:rPr>
              <w:t>antérieur</w:t>
            </w:r>
          </w:p>
        </w:tc>
      </w:tr>
      <w:tr>
        <w:trPr>
          <w:trHeight w:val="280" w:hRule="atLeast"/>
        </w:trPr>
        <w:tc>
          <w:tcPr>
            <w:tcW w:w="10776" w:type="dxa"/>
            <w:gridSpan w:val="7"/>
            <w:shd w:val="clear" w:color="auto" w:fill="C5DFB3"/>
          </w:tcPr>
          <w:p>
            <w:pPr>
              <w:pStyle w:val="TableParagraph"/>
              <w:spacing w:line="264" w:lineRule="exact" w:before="13"/>
              <w:ind w:left="4208" w:right="4210"/>
              <w:jc w:val="center"/>
              <w:rPr>
                <w:b/>
                <w:sz w:val="24"/>
              </w:rPr>
            </w:pPr>
            <w:r>
              <w:rPr>
                <w:b/>
                <w:sz w:val="24"/>
              </w:rPr>
              <w:t>Tumeurs</w:t>
            </w:r>
            <w:r>
              <w:rPr>
                <w:b/>
                <w:spacing w:val="-7"/>
                <w:sz w:val="24"/>
              </w:rPr>
              <w:t> </w:t>
            </w:r>
            <w:r>
              <w:rPr>
                <w:b/>
                <w:sz w:val="24"/>
              </w:rPr>
              <w:t>solides</w:t>
            </w:r>
          </w:p>
        </w:tc>
      </w:tr>
      <w:tr>
        <w:trPr>
          <w:trHeight w:val="540" w:hRule="atLeast"/>
        </w:trPr>
        <w:tc>
          <w:tcPr>
            <w:tcW w:w="710" w:type="dxa"/>
            <w:shd w:val="clear" w:color="auto" w:fill="C5DFB3"/>
          </w:tcPr>
          <w:p>
            <w:pPr>
              <w:pStyle w:val="TableParagraph"/>
              <w:spacing w:before="9"/>
              <w:rPr>
                <w:i/>
                <w:sz w:val="22"/>
              </w:rPr>
            </w:pPr>
          </w:p>
          <w:p>
            <w:pPr>
              <w:pStyle w:val="TableParagraph"/>
              <w:spacing w:line="271" w:lineRule="exact" w:before="1"/>
              <w:ind w:left="64"/>
              <w:rPr>
                <w:sz w:val="24"/>
              </w:rPr>
            </w:pPr>
            <w:r>
              <w:rPr>
                <w:sz w:val="24"/>
              </w:rPr>
              <w:t>CN 1</w:t>
            </w:r>
          </w:p>
        </w:tc>
        <w:tc>
          <w:tcPr>
            <w:tcW w:w="1116" w:type="dxa"/>
          </w:tcPr>
          <w:p>
            <w:pPr>
              <w:pStyle w:val="TableParagraph"/>
              <w:spacing w:before="9"/>
              <w:rPr>
                <w:i/>
                <w:sz w:val="22"/>
              </w:rPr>
            </w:pPr>
          </w:p>
          <w:p>
            <w:pPr>
              <w:pStyle w:val="TableParagraph"/>
              <w:spacing w:line="271" w:lineRule="exact" w:before="1"/>
              <w:ind w:left="62"/>
              <w:rPr>
                <w:sz w:val="24"/>
              </w:rPr>
            </w:pPr>
            <w:r>
              <w:rPr>
                <w:sz w:val="24"/>
              </w:rPr>
              <w:t>Yorkshire</w:t>
            </w:r>
          </w:p>
        </w:tc>
        <w:tc>
          <w:tcPr>
            <w:tcW w:w="708" w:type="dxa"/>
          </w:tcPr>
          <w:p>
            <w:pPr>
              <w:pStyle w:val="TableParagraph"/>
              <w:spacing w:before="9"/>
              <w:rPr>
                <w:i/>
                <w:sz w:val="22"/>
              </w:rPr>
            </w:pPr>
          </w:p>
          <w:p>
            <w:pPr>
              <w:pStyle w:val="TableParagraph"/>
              <w:spacing w:line="271" w:lineRule="exact" w:before="1"/>
              <w:ind w:left="62"/>
              <w:rPr>
                <w:sz w:val="24"/>
              </w:rPr>
            </w:pPr>
            <w:r>
              <w:rPr>
                <w:sz w:val="24"/>
              </w:rPr>
              <w:t>F OV</w:t>
            </w:r>
          </w:p>
        </w:tc>
        <w:tc>
          <w:tcPr>
            <w:tcW w:w="586" w:type="dxa"/>
          </w:tcPr>
          <w:p>
            <w:pPr>
              <w:pStyle w:val="TableParagraph"/>
              <w:spacing w:before="9"/>
              <w:rPr>
                <w:i/>
                <w:sz w:val="22"/>
              </w:rPr>
            </w:pPr>
          </w:p>
          <w:p>
            <w:pPr>
              <w:pStyle w:val="TableParagraph"/>
              <w:spacing w:line="271" w:lineRule="exact" w:before="1"/>
              <w:ind w:right="66"/>
              <w:jc w:val="right"/>
              <w:rPr>
                <w:sz w:val="24"/>
              </w:rPr>
            </w:pPr>
            <w:r>
              <w:rPr>
                <w:sz w:val="24"/>
              </w:rPr>
              <w:t>12</w:t>
            </w:r>
          </w:p>
        </w:tc>
        <w:tc>
          <w:tcPr>
            <w:tcW w:w="2540" w:type="dxa"/>
          </w:tcPr>
          <w:p>
            <w:pPr>
              <w:pStyle w:val="TableParagraph"/>
              <w:spacing w:line="263" w:lineRule="exact"/>
              <w:ind w:left="64"/>
              <w:rPr>
                <w:sz w:val="24"/>
              </w:rPr>
            </w:pPr>
            <w:r>
              <w:rPr>
                <w:sz w:val="24"/>
              </w:rPr>
              <w:t>Nodules fibro-</w:t>
            </w:r>
          </w:p>
          <w:p>
            <w:pPr>
              <w:pStyle w:val="TableParagraph"/>
              <w:spacing w:line="271" w:lineRule="exact"/>
              <w:ind w:left="64"/>
              <w:rPr>
                <w:sz w:val="24"/>
              </w:rPr>
            </w:pPr>
            <w:r>
              <w:rPr>
                <w:sz w:val="24"/>
              </w:rPr>
              <w:t>histiocytaires</w:t>
            </w:r>
          </w:p>
        </w:tc>
        <w:tc>
          <w:tcPr>
            <w:tcW w:w="2989" w:type="dxa"/>
          </w:tcPr>
          <w:p>
            <w:pPr>
              <w:pStyle w:val="TableParagraph"/>
              <w:spacing w:line="263" w:lineRule="exact"/>
              <w:ind w:left="64"/>
              <w:rPr>
                <w:sz w:val="24"/>
              </w:rPr>
            </w:pPr>
            <w:r>
              <w:rPr>
                <w:sz w:val="24"/>
              </w:rPr>
              <w:t>Métastases hépatiques</w:t>
            </w:r>
          </w:p>
          <w:p>
            <w:pPr>
              <w:pStyle w:val="TableParagraph"/>
              <w:spacing w:line="271" w:lineRule="exact"/>
              <w:ind w:left="64"/>
              <w:rPr>
                <w:i/>
                <w:sz w:val="24"/>
              </w:rPr>
            </w:pPr>
            <w:r>
              <w:rPr>
                <w:i/>
                <w:sz w:val="24"/>
              </w:rPr>
              <w:t>(scanner)</w:t>
            </w:r>
          </w:p>
        </w:tc>
        <w:tc>
          <w:tcPr>
            <w:tcW w:w="2126" w:type="dxa"/>
          </w:tcPr>
          <w:p>
            <w:pPr>
              <w:pStyle w:val="TableParagraph"/>
              <w:spacing w:before="9"/>
              <w:rPr>
                <w:i/>
                <w:sz w:val="22"/>
              </w:rPr>
            </w:pPr>
          </w:p>
          <w:p>
            <w:pPr>
              <w:pStyle w:val="TableParagraph"/>
              <w:spacing w:line="271" w:lineRule="exact" w:before="1"/>
              <w:ind w:left="64"/>
              <w:rPr>
                <w:sz w:val="24"/>
              </w:rPr>
            </w:pPr>
            <w:r>
              <w:rPr>
                <w:sz w:val="24"/>
              </w:rPr>
              <w:t>Splénectomie</w:t>
            </w:r>
          </w:p>
        </w:tc>
      </w:tr>
      <w:tr>
        <w:trPr>
          <w:trHeight w:val="1100" w:hRule="atLeast"/>
        </w:trPr>
        <w:tc>
          <w:tcPr>
            <w:tcW w:w="710" w:type="dxa"/>
            <w:shd w:val="clear" w:color="auto" w:fill="C5DFB3"/>
          </w:tcPr>
          <w:p>
            <w:pPr>
              <w:pStyle w:val="TableParagraph"/>
              <w:rPr>
                <w:i/>
                <w:sz w:val="26"/>
              </w:rPr>
            </w:pPr>
          </w:p>
          <w:p>
            <w:pPr>
              <w:pStyle w:val="TableParagraph"/>
              <w:rPr>
                <w:i/>
                <w:sz w:val="26"/>
              </w:rPr>
            </w:pPr>
          </w:p>
          <w:p>
            <w:pPr>
              <w:pStyle w:val="TableParagraph"/>
              <w:spacing w:line="271" w:lineRule="exact" w:before="217"/>
              <w:ind w:left="64"/>
              <w:rPr>
                <w:sz w:val="24"/>
              </w:rPr>
            </w:pPr>
            <w:r>
              <w:rPr>
                <w:sz w:val="24"/>
              </w:rPr>
              <w:t>CN 4</w:t>
            </w:r>
          </w:p>
        </w:tc>
        <w:tc>
          <w:tcPr>
            <w:tcW w:w="1116" w:type="dxa"/>
          </w:tcPr>
          <w:p>
            <w:pPr>
              <w:pStyle w:val="TableParagraph"/>
              <w:spacing w:before="9"/>
              <w:rPr>
                <w:i/>
                <w:sz w:val="22"/>
              </w:rPr>
            </w:pPr>
          </w:p>
          <w:p>
            <w:pPr>
              <w:pStyle w:val="TableParagraph"/>
              <w:spacing w:line="270" w:lineRule="atLeast" w:before="1"/>
              <w:ind w:left="62" w:right="98"/>
              <w:jc w:val="both"/>
              <w:rPr>
                <w:sz w:val="24"/>
              </w:rPr>
            </w:pPr>
            <w:r>
              <w:rPr>
                <w:sz w:val="24"/>
              </w:rPr>
              <w:t>American Staffords hire</w:t>
            </w:r>
          </w:p>
        </w:tc>
        <w:tc>
          <w:tcPr>
            <w:tcW w:w="708" w:type="dxa"/>
          </w:tcPr>
          <w:p>
            <w:pPr>
              <w:pStyle w:val="TableParagraph"/>
              <w:rPr>
                <w:i/>
                <w:sz w:val="26"/>
              </w:rPr>
            </w:pPr>
          </w:p>
          <w:p>
            <w:pPr>
              <w:pStyle w:val="TableParagraph"/>
              <w:rPr>
                <w:i/>
                <w:sz w:val="26"/>
              </w:rPr>
            </w:pPr>
          </w:p>
          <w:p>
            <w:pPr>
              <w:pStyle w:val="TableParagraph"/>
              <w:spacing w:line="271" w:lineRule="exact" w:before="217"/>
              <w:ind w:left="62"/>
              <w:rPr>
                <w:sz w:val="24"/>
              </w:rPr>
            </w:pPr>
            <w:r>
              <w:rPr>
                <w:sz w:val="24"/>
              </w:rPr>
              <w:t>F OV</w:t>
            </w:r>
          </w:p>
        </w:tc>
        <w:tc>
          <w:tcPr>
            <w:tcW w:w="586" w:type="dxa"/>
          </w:tcPr>
          <w:p>
            <w:pPr>
              <w:pStyle w:val="TableParagraph"/>
              <w:rPr>
                <w:i/>
                <w:sz w:val="26"/>
              </w:rPr>
            </w:pPr>
          </w:p>
          <w:p>
            <w:pPr>
              <w:pStyle w:val="TableParagraph"/>
              <w:rPr>
                <w:i/>
                <w:sz w:val="26"/>
              </w:rPr>
            </w:pPr>
          </w:p>
          <w:p>
            <w:pPr>
              <w:pStyle w:val="TableParagraph"/>
              <w:spacing w:line="271" w:lineRule="exact" w:before="217"/>
              <w:ind w:right="66"/>
              <w:jc w:val="right"/>
              <w:rPr>
                <w:sz w:val="24"/>
              </w:rPr>
            </w:pPr>
            <w:r>
              <w:rPr>
                <w:sz w:val="24"/>
              </w:rPr>
              <w:t>8</w:t>
            </w:r>
          </w:p>
        </w:tc>
        <w:tc>
          <w:tcPr>
            <w:tcW w:w="2540" w:type="dxa"/>
          </w:tcPr>
          <w:p>
            <w:pPr>
              <w:pStyle w:val="TableParagraph"/>
              <w:rPr>
                <w:i/>
                <w:sz w:val="26"/>
              </w:rPr>
            </w:pPr>
          </w:p>
          <w:p>
            <w:pPr>
              <w:pStyle w:val="TableParagraph"/>
              <w:rPr>
                <w:i/>
                <w:sz w:val="26"/>
              </w:rPr>
            </w:pPr>
          </w:p>
          <w:p>
            <w:pPr>
              <w:pStyle w:val="TableParagraph"/>
              <w:spacing w:line="271" w:lineRule="exact" w:before="217"/>
              <w:ind w:left="64"/>
              <w:rPr>
                <w:sz w:val="24"/>
              </w:rPr>
            </w:pPr>
            <w:r>
              <w:rPr>
                <w:sz w:val="24"/>
              </w:rPr>
              <w:t>Carcinome thyroïdien</w:t>
            </w:r>
          </w:p>
        </w:tc>
        <w:tc>
          <w:tcPr>
            <w:tcW w:w="2989" w:type="dxa"/>
          </w:tcPr>
          <w:p>
            <w:pPr>
              <w:pStyle w:val="TableParagraph"/>
              <w:rPr>
                <w:i/>
                <w:sz w:val="26"/>
              </w:rPr>
            </w:pPr>
          </w:p>
          <w:p>
            <w:pPr>
              <w:pStyle w:val="TableParagraph"/>
              <w:spacing w:before="9"/>
              <w:rPr>
                <w:i/>
                <w:sz w:val="20"/>
              </w:rPr>
            </w:pPr>
          </w:p>
          <w:p>
            <w:pPr>
              <w:pStyle w:val="TableParagraph"/>
              <w:spacing w:before="1"/>
              <w:ind w:left="64"/>
              <w:rPr>
                <w:sz w:val="24"/>
              </w:rPr>
            </w:pPr>
            <w:r>
              <w:rPr>
                <w:sz w:val="24"/>
              </w:rPr>
              <w:t>Métastases pulmonaires</w:t>
            </w:r>
          </w:p>
          <w:p>
            <w:pPr>
              <w:pStyle w:val="TableParagraph"/>
              <w:spacing w:line="271" w:lineRule="exact"/>
              <w:ind w:left="64"/>
              <w:rPr>
                <w:i/>
                <w:sz w:val="24"/>
              </w:rPr>
            </w:pPr>
            <w:r>
              <w:rPr>
                <w:i/>
                <w:sz w:val="24"/>
              </w:rPr>
              <w:t>(scanner)</w:t>
            </w:r>
          </w:p>
        </w:tc>
        <w:tc>
          <w:tcPr>
            <w:tcW w:w="2126" w:type="dxa"/>
          </w:tcPr>
          <w:p>
            <w:pPr>
              <w:pStyle w:val="TableParagraph"/>
              <w:ind w:left="64" w:right="792"/>
              <w:rPr>
                <w:sz w:val="24"/>
              </w:rPr>
            </w:pPr>
            <w:r>
              <w:rPr>
                <w:sz w:val="24"/>
              </w:rPr>
              <w:t>Chirurgie – Carboplatine 300 mg/m²</w:t>
            </w:r>
          </w:p>
          <w:p>
            <w:pPr>
              <w:pStyle w:val="TableParagraph"/>
              <w:spacing w:line="271" w:lineRule="exact" w:before="13"/>
              <w:ind w:left="64"/>
              <w:rPr>
                <w:sz w:val="24"/>
              </w:rPr>
            </w:pPr>
            <w:r>
              <w:rPr>
                <w:sz w:val="24"/>
              </w:rPr>
              <w:t>x1séance</w:t>
            </w:r>
          </w:p>
        </w:tc>
      </w:tr>
      <w:tr>
        <w:trPr>
          <w:trHeight w:val="540" w:hRule="atLeast"/>
        </w:trPr>
        <w:tc>
          <w:tcPr>
            <w:tcW w:w="710" w:type="dxa"/>
            <w:shd w:val="clear" w:color="auto" w:fill="C5DFB3"/>
          </w:tcPr>
          <w:p>
            <w:pPr>
              <w:pStyle w:val="TableParagraph"/>
              <w:spacing w:before="7"/>
              <w:rPr>
                <w:i/>
                <w:sz w:val="22"/>
              </w:rPr>
            </w:pPr>
          </w:p>
          <w:p>
            <w:pPr>
              <w:pStyle w:val="TableParagraph"/>
              <w:spacing w:line="271" w:lineRule="exact"/>
              <w:ind w:left="64"/>
              <w:rPr>
                <w:sz w:val="24"/>
              </w:rPr>
            </w:pPr>
            <w:r>
              <w:rPr>
                <w:sz w:val="24"/>
              </w:rPr>
              <w:t>CN 5</w:t>
            </w:r>
          </w:p>
        </w:tc>
        <w:tc>
          <w:tcPr>
            <w:tcW w:w="1116" w:type="dxa"/>
          </w:tcPr>
          <w:p>
            <w:pPr>
              <w:pStyle w:val="TableParagraph"/>
              <w:spacing w:line="261" w:lineRule="exact"/>
              <w:ind w:left="62"/>
              <w:rPr>
                <w:sz w:val="24"/>
              </w:rPr>
            </w:pPr>
            <w:r>
              <w:rPr>
                <w:sz w:val="24"/>
              </w:rPr>
              <w:t>Berger</w:t>
            </w:r>
          </w:p>
          <w:p>
            <w:pPr>
              <w:pStyle w:val="TableParagraph"/>
              <w:spacing w:line="271" w:lineRule="exact"/>
              <w:ind w:left="62"/>
              <w:rPr>
                <w:sz w:val="24"/>
              </w:rPr>
            </w:pPr>
            <w:r>
              <w:rPr>
                <w:sz w:val="24"/>
              </w:rPr>
              <w:t>noir</w:t>
            </w:r>
          </w:p>
        </w:tc>
        <w:tc>
          <w:tcPr>
            <w:tcW w:w="708" w:type="dxa"/>
          </w:tcPr>
          <w:p>
            <w:pPr>
              <w:pStyle w:val="TableParagraph"/>
              <w:spacing w:before="7"/>
              <w:rPr>
                <w:i/>
                <w:sz w:val="22"/>
              </w:rPr>
            </w:pPr>
          </w:p>
          <w:p>
            <w:pPr>
              <w:pStyle w:val="TableParagraph"/>
              <w:spacing w:line="271" w:lineRule="exact"/>
              <w:ind w:left="62"/>
              <w:rPr>
                <w:sz w:val="24"/>
              </w:rPr>
            </w:pPr>
            <w:r>
              <w:rPr>
                <w:w w:val="99"/>
                <w:sz w:val="24"/>
              </w:rPr>
              <w:t>M</w:t>
            </w:r>
          </w:p>
        </w:tc>
        <w:tc>
          <w:tcPr>
            <w:tcW w:w="586" w:type="dxa"/>
          </w:tcPr>
          <w:p>
            <w:pPr>
              <w:pStyle w:val="TableParagraph"/>
              <w:spacing w:before="7"/>
              <w:rPr>
                <w:i/>
                <w:sz w:val="22"/>
              </w:rPr>
            </w:pPr>
          </w:p>
          <w:p>
            <w:pPr>
              <w:pStyle w:val="TableParagraph"/>
              <w:spacing w:line="271" w:lineRule="exact"/>
              <w:ind w:right="66"/>
              <w:jc w:val="right"/>
              <w:rPr>
                <w:sz w:val="24"/>
              </w:rPr>
            </w:pPr>
            <w:r>
              <w:rPr>
                <w:sz w:val="24"/>
              </w:rPr>
              <w:t>17</w:t>
            </w:r>
          </w:p>
        </w:tc>
        <w:tc>
          <w:tcPr>
            <w:tcW w:w="2540" w:type="dxa"/>
          </w:tcPr>
          <w:p>
            <w:pPr>
              <w:pStyle w:val="TableParagraph"/>
              <w:spacing w:before="7"/>
              <w:rPr>
                <w:i/>
                <w:sz w:val="22"/>
              </w:rPr>
            </w:pPr>
          </w:p>
          <w:p>
            <w:pPr>
              <w:pStyle w:val="TableParagraph"/>
              <w:spacing w:line="271" w:lineRule="exact"/>
              <w:ind w:left="64"/>
              <w:rPr>
                <w:sz w:val="24"/>
              </w:rPr>
            </w:pPr>
            <w:r>
              <w:rPr>
                <w:sz w:val="24"/>
              </w:rPr>
              <w:t>Carcinome pulmonaire</w:t>
            </w:r>
          </w:p>
        </w:tc>
        <w:tc>
          <w:tcPr>
            <w:tcW w:w="2989" w:type="dxa"/>
          </w:tcPr>
          <w:p>
            <w:pPr>
              <w:pStyle w:val="TableParagraph"/>
              <w:spacing w:before="7"/>
              <w:rPr>
                <w:i/>
                <w:sz w:val="22"/>
              </w:rPr>
            </w:pPr>
          </w:p>
          <w:p>
            <w:pPr>
              <w:pStyle w:val="TableParagraph"/>
              <w:spacing w:line="271" w:lineRule="exact"/>
              <w:ind w:left="64"/>
              <w:rPr>
                <w:sz w:val="24"/>
              </w:rPr>
            </w:pPr>
            <w:r>
              <w:rPr>
                <w:sz w:val="24"/>
              </w:rPr>
              <w:t>Aucune</w:t>
            </w:r>
          </w:p>
        </w:tc>
        <w:tc>
          <w:tcPr>
            <w:tcW w:w="2126" w:type="dxa"/>
          </w:tcPr>
          <w:p>
            <w:pPr>
              <w:pStyle w:val="TableParagraph"/>
              <w:spacing w:line="261" w:lineRule="exact"/>
              <w:ind w:left="64"/>
              <w:rPr>
                <w:sz w:val="24"/>
              </w:rPr>
            </w:pPr>
            <w:r>
              <w:rPr>
                <w:sz w:val="24"/>
              </w:rPr>
              <w:t>Antibiothérapie (PO</w:t>
            </w:r>
          </w:p>
          <w:p>
            <w:pPr>
              <w:pStyle w:val="TableParagraph"/>
              <w:spacing w:line="271" w:lineRule="exact"/>
              <w:ind w:left="64"/>
              <w:rPr>
                <w:sz w:val="24"/>
              </w:rPr>
            </w:pPr>
            <w:r>
              <w:rPr>
                <w:sz w:val="24"/>
              </w:rPr>
              <w:t>et inhalations)</w:t>
            </w:r>
          </w:p>
        </w:tc>
      </w:tr>
      <w:tr>
        <w:trPr>
          <w:trHeight w:val="1100" w:hRule="atLeast"/>
        </w:trPr>
        <w:tc>
          <w:tcPr>
            <w:tcW w:w="710" w:type="dxa"/>
            <w:shd w:val="clear" w:color="auto" w:fill="C5DFB3"/>
          </w:tcPr>
          <w:p>
            <w:pPr>
              <w:pStyle w:val="TableParagraph"/>
              <w:rPr>
                <w:i/>
                <w:sz w:val="26"/>
              </w:rPr>
            </w:pPr>
          </w:p>
          <w:p>
            <w:pPr>
              <w:pStyle w:val="TableParagraph"/>
              <w:rPr>
                <w:i/>
                <w:sz w:val="26"/>
              </w:rPr>
            </w:pPr>
          </w:p>
          <w:p>
            <w:pPr>
              <w:pStyle w:val="TableParagraph"/>
              <w:spacing w:line="271" w:lineRule="exact" w:before="215"/>
              <w:ind w:left="64"/>
              <w:rPr>
                <w:sz w:val="24"/>
              </w:rPr>
            </w:pPr>
            <w:r>
              <w:rPr>
                <w:sz w:val="24"/>
              </w:rPr>
              <w:t>CN 8</w:t>
            </w:r>
          </w:p>
        </w:tc>
        <w:tc>
          <w:tcPr>
            <w:tcW w:w="1116" w:type="dxa"/>
          </w:tcPr>
          <w:p>
            <w:pPr>
              <w:pStyle w:val="TableParagraph"/>
              <w:spacing w:before="8"/>
              <w:rPr>
                <w:i/>
                <w:sz w:val="22"/>
              </w:rPr>
            </w:pPr>
          </w:p>
          <w:p>
            <w:pPr>
              <w:pStyle w:val="TableParagraph"/>
              <w:spacing w:line="270" w:lineRule="atLeast"/>
              <w:ind w:left="62" w:right="91"/>
              <w:rPr>
                <w:sz w:val="24"/>
              </w:rPr>
            </w:pPr>
            <w:r>
              <w:rPr>
                <w:sz w:val="24"/>
              </w:rPr>
              <w:t>Bouledog ue français</w:t>
            </w:r>
          </w:p>
        </w:tc>
        <w:tc>
          <w:tcPr>
            <w:tcW w:w="708" w:type="dxa"/>
          </w:tcPr>
          <w:p>
            <w:pPr>
              <w:pStyle w:val="TableParagraph"/>
              <w:rPr>
                <w:i/>
                <w:sz w:val="26"/>
              </w:rPr>
            </w:pPr>
          </w:p>
          <w:p>
            <w:pPr>
              <w:pStyle w:val="TableParagraph"/>
              <w:rPr>
                <w:i/>
                <w:sz w:val="26"/>
              </w:rPr>
            </w:pPr>
          </w:p>
          <w:p>
            <w:pPr>
              <w:pStyle w:val="TableParagraph"/>
              <w:spacing w:line="271" w:lineRule="exact" w:before="215"/>
              <w:ind w:left="62"/>
              <w:rPr>
                <w:sz w:val="24"/>
              </w:rPr>
            </w:pPr>
            <w:r>
              <w:rPr>
                <w:sz w:val="24"/>
              </w:rPr>
              <w:t>MC</w:t>
            </w:r>
          </w:p>
        </w:tc>
        <w:tc>
          <w:tcPr>
            <w:tcW w:w="586" w:type="dxa"/>
          </w:tcPr>
          <w:p>
            <w:pPr>
              <w:pStyle w:val="TableParagraph"/>
              <w:rPr>
                <w:i/>
                <w:sz w:val="26"/>
              </w:rPr>
            </w:pPr>
          </w:p>
          <w:p>
            <w:pPr>
              <w:pStyle w:val="TableParagraph"/>
              <w:rPr>
                <w:i/>
                <w:sz w:val="26"/>
              </w:rPr>
            </w:pPr>
          </w:p>
          <w:p>
            <w:pPr>
              <w:pStyle w:val="TableParagraph"/>
              <w:spacing w:line="271" w:lineRule="exact" w:before="215"/>
              <w:ind w:right="66"/>
              <w:jc w:val="right"/>
              <w:rPr>
                <w:sz w:val="24"/>
              </w:rPr>
            </w:pPr>
            <w:r>
              <w:rPr>
                <w:sz w:val="24"/>
              </w:rPr>
              <w:t>9</w:t>
            </w:r>
          </w:p>
        </w:tc>
        <w:tc>
          <w:tcPr>
            <w:tcW w:w="2540" w:type="dxa"/>
          </w:tcPr>
          <w:p>
            <w:pPr>
              <w:pStyle w:val="TableParagraph"/>
              <w:spacing w:line="261" w:lineRule="exact"/>
              <w:ind w:left="64"/>
              <w:rPr>
                <w:sz w:val="24"/>
              </w:rPr>
            </w:pPr>
            <w:r>
              <w:rPr>
                <w:sz w:val="24"/>
              </w:rPr>
              <w:t>Carcinome épidermoïde</w:t>
            </w:r>
          </w:p>
          <w:p>
            <w:pPr>
              <w:pStyle w:val="TableParagraph"/>
              <w:ind w:left="64"/>
              <w:rPr>
                <w:sz w:val="24"/>
              </w:rPr>
            </w:pPr>
            <w:r>
              <w:rPr>
                <w:sz w:val="24"/>
              </w:rPr>
              <w:t>croc mandibulaire droit</w:t>
            </w:r>
          </w:p>
          <w:p>
            <w:pPr>
              <w:pStyle w:val="TableParagraph"/>
              <w:spacing w:line="270" w:lineRule="atLeast"/>
              <w:ind w:left="64" w:right="106"/>
              <w:rPr>
                <w:sz w:val="24"/>
              </w:rPr>
            </w:pPr>
            <w:r>
              <w:rPr>
                <w:sz w:val="24"/>
              </w:rPr>
              <w:t>+ hémangiosarcome cœur droit non confirmé</w:t>
            </w:r>
          </w:p>
        </w:tc>
        <w:tc>
          <w:tcPr>
            <w:tcW w:w="2989" w:type="dxa"/>
          </w:tcPr>
          <w:p>
            <w:pPr>
              <w:pStyle w:val="TableParagraph"/>
              <w:spacing w:line="261" w:lineRule="exact"/>
              <w:ind w:left="64"/>
              <w:rPr>
                <w:sz w:val="24"/>
              </w:rPr>
            </w:pPr>
            <w:r>
              <w:rPr>
                <w:sz w:val="24"/>
              </w:rPr>
              <w:t>Nodules hépatiques de nature</w:t>
            </w:r>
          </w:p>
          <w:p>
            <w:pPr>
              <w:pStyle w:val="TableParagraph"/>
              <w:spacing w:line="270" w:lineRule="atLeast"/>
              <w:ind w:left="64" w:right="474"/>
              <w:rPr>
                <w:i/>
                <w:sz w:val="24"/>
              </w:rPr>
            </w:pPr>
            <w:r>
              <w:rPr>
                <w:sz w:val="24"/>
              </w:rPr>
              <w:t>indéterminée + NL rétro- pharyngien médial hypertrophié </w:t>
            </w:r>
            <w:r>
              <w:rPr>
                <w:i/>
                <w:sz w:val="24"/>
              </w:rPr>
              <w:t>(scanner)</w:t>
            </w:r>
          </w:p>
        </w:tc>
        <w:tc>
          <w:tcPr>
            <w:tcW w:w="2126" w:type="dxa"/>
          </w:tcPr>
          <w:p>
            <w:pPr>
              <w:pStyle w:val="TableParagraph"/>
              <w:spacing w:line="261" w:lineRule="exact"/>
              <w:ind w:left="64"/>
              <w:rPr>
                <w:sz w:val="24"/>
              </w:rPr>
            </w:pPr>
            <w:r>
              <w:rPr>
                <w:sz w:val="24"/>
              </w:rPr>
              <w:t>Piroxicam</w:t>
            </w:r>
          </w:p>
          <w:p>
            <w:pPr>
              <w:pStyle w:val="TableParagraph"/>
              <w:spacing w:line="270" w:lineRule="atLeast"/>
              <w:ind w:left="64" w:right="192"/>
              <w:rPr>
                <w:sz w:val="24"/>
              </w:rPr>
            </w:pPr>
            <w:r>
              <w:rPr>
                <w:sz w:val="24"/>
              </w:rPr>
              <w:t>0,3 mg/kg Hémimandibulecto mie rostrale</w:t>
            </w:r>
          </w:p>
        </w:tc>
      </w:tr>
      <w:tr>
        <w:trPr>
          <w:trHeight w:val="1100" w:hRule="atLeast"/>
        </w:trPr>
        <w:tc>
          <w:tcPr>
            <w:tcW w:w="710" w:type="dxa"/>
            <w:shd w:val="clear" w:color="auto" w:fill="C5DFB3"/>
          </w:tcPr>
          <w:p>
            <w:pPr>
              <w:pStyle w:val="TableParagraph"/>
              <w:rPr>
                <w:i/>
                <w:sz w:val="26"/>
              </w:rPr>
            </w:pPr>
          </w:p>
          <w:p>
            <w:pPr>
              <w:pStyle w:val="TableParagraph"/>
              <w:rPr>
                <w:i/>
                <w:sz w:val="26"/>
              </w:rPr>
            </w:pPr>
          </w:p>
          <w:p>
            <w:pPr>
              <w:pStyle w:val="TableParagraph"/>
              <w:spacing w:line="271" w:lineRule="exact" w:before="214"/>
              <w:ind w:left="64"/>
              <w:rPr>
                <w:sz w:val="24"/>
              </w:rPr>
            </w:pPr>
            <w:r>
              <w:rPr>
                <w:sz w:val="24"/>
              </w:rPr>
              <w:t>CN 9</w:t>
            </w:r>
          </w:p>
        </w:tc>
        <w:tc>
          <w:tcPr>
            <w:tcW w:w="1116" w:type="dxa"/>
          </w:tcPr>
          <w:p>
            <w:pPr>
              <w:pStyle w:val="TableParagraph"/>
              <w:rPr>
                <w:i/>
                <w:sz w:val="26"/>
              </w:rPr>
            </w:pPr>
          </w:p>
          <w:p>
            <w:pPr>
              <w:pStyle w:val="TableParagraph"/>
              <w:spacing w:before="7"/>
              <w:rPr>
                <w:i/>
                <w:sz w:val="20"/>
              </w:rPr>
            </w:pPr>
          </w:p>
          <w:p>
            <w:pPr>
              <w:pStyle w:val="TableParagraph"/>
              <w:spacing w:line="270" w:lineRule="atLeast"/>
              <w:ind w:left="62" w:right="344"/>
              <w:rPr>
                <w:sz w:val="24"/>
              </w:rPr>
            </w:pPr>
            <w:r>
              <w:rPr>
                <w:sz w:val="24"/>
              </w:rPr>
              <w:t>Setter anglais</w:t>
            </w:r>
          </w:p>
        </w:tc>
        <w:tc>
          <w:tcPr>
            <w:tcW w:w="708" w:type="dxa"/>
          </w:tcPr>
          <w:p>
            <w:pPr>
              <w:pStyle w:val="TableParagraph"/>
              <w:rPr>
                <w:i/>
                <w:sz w:val="26"/>
              </w:rPr>
            </w:pPr>
          </w:p>
          <w:p>
            <w:pPr>
              <w:pStyle w:val="TableParagraph"/>
              <w:rPr>
                <w:i/>
                <w:sz w:val="26"/>
              </w:rPr>
            </w:pPr>
          </w:p>
          <w:p>
            <w:pPr>
              <w:pStyle w:val="TableParagraph"/>
              <w:spacing w:line="271" w:lineRule="exact" w:before="214"/>
              <w:ind w:left="62"/>
              <w:rPr>
                <w:sz w:val="24"/>
              </w:rPr>
            </w:pPr>
            <w:r>
              <w:rPr>
                <w:sz w:val="24"/>
              </w:rPr>
              <w:t>F OV</w:t>
            </w:r>
          </w:p>
        </w:tc>
        <w:tc>
          <w:tcPr>
            <w:tcW w:w="586" w:type="dxa"/>
          </w:tcPr>
          <w:p>
            <w:pPr>
              <w:pStyle w:val="TableParagraph"/>
              <w:rPr>
                <w:i/>
                <w:sz w:val="26"/>
              </w:rPr>
            </w:pPr>
          </w:p>
          <w:p>
            <w:pPr>
              <w:pStyle w:val="TableParagraph"/>
              <w:rPr>
                <w:i/>
                <w:sz w:val="26"/>
              </w:rPr>
            </w:pPr>
          </w:p>
          <w:p>
            <w:pPr>
              <w:pStyle w:val="TableParagraph"/>
              <w:spacing w:line="271" w:lineRule="exact" w:before="214"/>
              <w:ind w:right="66"/>
              <w:jc w:val="right"/>
              <w:rPr>
                <w:sz w:val="24"/>
              </w:rPr>
            </w:pPr>
            <w:r>
              <w:rPr>
                <w:sz w:val="24"/>
              </w:rPr>
              <w:t>10</w:t>
            </w:r>
          </w:p>
        </w:tc>
        <w:tc>
          <w:tcPr>
            <w:tcW w:w="2540" w:type="dxa"/>
          </w:tcPr>
          <w:p>
            <w:pPr>
              <w:pStyle w:val="TableParagraph"/>
              <w:spacing w:line="261" w:lineRule="exact"/>
              <w:ind w:left="64"/>
              <w:rPr>
                <w:sz w:val="24"/>
              </w:rPr>
            </w:pPr>
            <w:r>
              <w:rPr>
                <w:sz w:val="24"/>
              </w:rPr>
              <w:t>Lymphome splénique T</w:t>
            </w:r>
          </w:p>
          <w:p>
            <w:pPr>
              <w:pStyle w:val="TableParagraph"/>
              <w:ind w:left="64"/>
              <w:rPr>
                <w:sz w:val="24"/>
              </w:rPr>
            </w:pPr>
            <w:r>
              <w:rPr>
                <w:sz w:val="24"/>
              </w:rPr>
              <w:t>+ carcinome thyroïdien</w:t>
            </w:r>
          </w:p>
          <w:p>
            <w:pPr>
              <w:pStyle w:val="TableParagraph"/>
              <w:spacing w:line="270" w:lineRule="atLeast"/>
              <w:ind w:left="64" w:right="678"/>
              <w:rPr>
                <w:sz w:val="24"/>
              </w:rPr>
            </w:pPr>
            <w:r>
              <w:rPr>
                <w:sz w:val="24"/>
              </w:rPr>
              <w:t>+ adénocarcinome gastrique</w:t>
            </w:r>
          </w:p>
        </w:tc>
        <w:tc>
          <w:tcPr>
            <w:tcW w:w="2989" w:type="dxa"/>
          </w:tcPr>
          <w:p>
            <w:pPr>
              <w:pStyle w:val="TableParagraph"/>
              <w:rPr>
                <w:i/>
                <w:sz w:val="26"/>
              </w:rPr>
            </w:pPr>
          </w:p>
          <w:p>
            <w:pPr>
              <w:pStyle w:val="TableParagraph"/>
              <w:spacing w:before="7"/>
              <w:rPr>
                <w:i/>
                <w:sz w:val="20"/>
              </w:rPr>
            </w:pPr>
          </w:p>
          <w:p>
            <w:pPr>
              <w:pStyle w:val="TableParagraph"/>
              <w:ind w:left="64"/>
              <w:rPr>
                <w:sz w:val="24"/>
              </w:rPr>
            </w:pPr>
            <w:r>
              <w:rPr>
                <w:sz w:val="24"/>
              </w:rPr>
              <w:t>Métastases pulmonaires</w:t>
            </w:r>
          </w:p>
          <w:p>
            <w:pPr>
              <w:pStyle w:val="TableParagraph"/>
              <w:spacing w:line="271" w:lineRule="exact"/>
              <w:ind w:left="64"/>
              <w:rPr>
                <w:i/>
                <w:sz w:val="24"/>
              </w:rPr>
            </w:pPr>
            <w:r>
              <w:rPr>
                <w:i/>
                <w:sz w:val="24"/>
              </w:rPr>
              <w:t>(scanner)</w:t>
            </w:r>
          </w:p>
        </w:tc>
        <w:tc>
          <w:tcPr>
            <w:tcW w:w="2126" w:type="dxa"/>
          </w:tcPr>
          <w:p>
            <w:pPr>
              <w:pStyle w:val="TableParagraph"/>
              <w:spacing w:before="7"/>
              <w:rPr>
                <w:i/>
                <w:sz w:val="22"/>
              </w:rPr>
            </w:pPr>
          </w:p>
          <w:p>
            <w:pPr>
              <w:pStyle w:val="TableParagraph"/>
              <w:ind w:left="64" w:right="546"/>
              <w:rPr>
                <w:sz w:val="24"/>
              </w:rPr>
            </w:pPr>
            <w:r>
              <w:rPr>
                <w:sz w:val="24"/>
              </w:rPr>
              <w:t>Splénectomie – doxorubicine</w:t>
            </w:r>
          </w:p>
          <w:p>
            <w:pPr>
              <w:pStyle w:val="TableParagraph"/>
              <w:spacing w:line="271" w:lineRule="exact"/>
              <w:ind w:left="64"/>
              <w:rPr>
                <w:sz w:val="24"/>
              </w:rPr>
            </w:pPr>
            <w:r>
              <w:rPr>
                <w:sz w:val="24"/>
              </w:rPr>
              <w:t>30 mg/m² x1séance</w:t>
            </w:r>
          </w:p>
        </w:tc>
      </w:tr>
      <w:tr>
        <w:trPr>
          <w:trHeight w:val="1100" w:hRule="atLeast"/>
        </w:trPr>
        <w:tc>
          <w:tcPr>
            <w:tcW w:w="710" w:type="dxa"/>
            <w:shd w:val="clear" w:color="auto" w:fill="C5DFB3"/>
          </w:tcPr>
          <w:p>
            <w:pPr>
              <w:pStyle w:val="TableParagraph"/>
              <w:rPr>
                <w:i/>
                <w:sz w:val="26"/>
              </w:rPr>
            </w:pPr>
          </w:p>
          <w:p>
            <w:pPr>
              <w:pStyle w:val="TableParagraph"/>
              <w:spacing w:before="7"/>
              <w:rPr>
                <w:i/>
                <w:sz w:val="20"/>
              </w:rPr>
            </w:pPr>
          </w:p>
          <w:p>
            <w:pPr>
              <w:pStyle w:val="TableParagraph"/>
              <w:spacing w:line="270" w:lineRule="atLeast"/>
              <w:ind w:left="64" w:right="283"/>
              <w:rPr>
                <w:sz w:val="24"/>
              </w:rPr>
            </w:pPr>
            <w:r>
              <w:rPr>
                <w:sz w:val="24"/>
              </w:rPr>
              <w:t>CN 10</w:t>
            </w:r>
          </w:p>
        </w:tc>
        <w:tc>
          <w:tcPr>
            <w:tcW w:w="1116" w:type="dxa"/>
          </w:tcPr>
          <w:p>
            <w:pPr>
              <w:pStyle w:val="TableParagraph"/>
              <w:rPr>
                <w:i/>
                <w:sz w:val="26"/>
              </w:rPr>
            </w:pPr>
          </w:p>
          <w:p>
            <w:pPr>
              <w:pStyle w:val="TableParagraph"/>
              <w:rPr>
                <w:i/>
                <w:sz w:val="26"/>
              </w:rPr>
            </w:pPr>
          </w:p>
          <w:p>
            <w:pPr>
              <w:pStyle w:val="TableParagraph"/>
              <w:spacing w:line="271" w:lineRule="exact" w:before="214"/>
              <w:ind w:left="62"/>
              <w:rPr>
                <w:sz w:val="24"/>
              </w:rPr>
            </w:pPr>
            <w:r>
              <w:rPr>
                <w:sz w:val="24"/>
              </w:rPr>
              <w:t>Labrador</w:t>
            </w:r>
          </w:p>
        </w:tc>
        <w:tc>
          <w:tcPr>
            <w:tcW w:w="708" w:type="dxa"/>
          </w:tcPr>
          <w:p>
            <w:pPr>
              <w:pStyle w:val="TableParagraph"/>
              <w:rPr>
                <w:i/>
                <w:sz w:val="26"/>
              </w:rPr>
            </w:pPr>
          </w:p>
          <w:p>
            <w:pPr>
              <w:pStyle w:val="TableParagraph"/>
              <w:spacing w:before="7"/>
              <w:rPr>
                <w:i/>
                <w:sz w:val="20"/>
              </w:rPr>
            </w:pPr>
          </w:p>
          <w:p>
            <w:pPr>
              <w:pStyle w:val="TableParagraph"/>
              <w:spacing w:line="270" w:lineRule="atLeast"/>
              <w:ind w:left="62" w:right="96"/>
              <w:rPr>
                <w:sz w:val="24"/>
              </w:rPr>
            </w:pPr>
            <w:r>
              <w:rPr>
                <w:sz w:val="24"/>
              </w:rPr>
              <w:t>F OVH</w:t>
            </w:r>
          </w:p>
        </w:tc>
        <w:tc>
          <w:tcPr>
            <w:tcW w:w="586" w:type="dxa"/>
          </w:tcPr>
          <w:p>
            <w:pPr>
              <w:pStyle w:val="TableParagraph"/>
              <w:rPr>
                <w:i/>
                <w:sz w:val="26"/>
              </w:rPr>
            </w:pPr>
          </w:p>
          <w:p>
            <w:pPr>
              <w:pStyle w:val="TableParagraph"/>
              <w:rPr>
                <w:i/>
                <w:sz w:val="26"/>
              </w:rPr>
            </w:pPr>
          </w:p>
          <w:p>
            <w:pPr>
              <w:pStyle w:val="TableParagraph"/>
              <w:spacing w:line="271" w:lineRule="exact" w:before="214"/>
              <w:ind w:right="66"/>
              <w:jc w:val="right"/>
              <w:rPr>
                <w:sz w:val="24"/>
              </w:rPr>
            </w:pPr>
            <w:r>
              <w:rPr>
                <w:sz w:val="24"/>
              </w:rPr>
              <w:t>10</w:t>
            </w:r>
          </w:p>
        </w:tc>
        <w:tc>
          <w:tcPr>
            <w:tcW w:w="2540" w:type="dxa"/>
          </w:tcPr>
          <w:p>
            <w:pPr>
              <w:pStyle w:val="TableParagraph"/>
              <w:rPr>
                <w:i/>
                <w:sz w:val="26"/>
              </w:rPr>
            </w:pPr>
          </w:p>
          <w:p>
            <w:pPr>
              <w:pStyle w:val="TableParagraph"/>
              <w:spacing w:before="7"/>
              <w:rPr>
                <w:i/>
                <w:sz w:val="20"/>
              </w:rPr>
            </w:pPr>
          </w:p>
          <w:p>
            <w:pPr>
              <w:pStyle w:val="TableParagraph"/>
              <w:spacing w:line="270" w:lineRule="atLeast"/>
              <w:ind w:left="64"/>
              <w:rPr>
                <w:sz w:val="24"/>
              </w:rPr>
            </w:pPr>
            <w:r>
              <w:rPr>
                <w:sz w:val="24"/>
              </w:rPr>
              <w:t>Tumeur thyroïdienne + tumeur mammaire</w:t>
            </w:r>
          </w:p>
        </w:tc>
        <w:tc>
          <w:tcPr>
            <w:tcW w:w="2989" w:type="dxa"/>
          </w:tcPr>
          <w:p>
            <w:pPr>
              <w:pStyle w:val="TableParagraph"/>
              <w:spacing w:line="261" w:lineRule="exact"/>
              <w:ind w:left="64"/>
              <w:rPr>
                <w:sz w:val="24"/>
              </w:rPr>
            </w:pPr>
            <w:r>
              <w:rPr>
                <w:sz w:val="24"/>
              </w:rPr>
              <w:t>Absence de métastases</w:t>
            </w:r>
          </w:p>
          <w:p>
            <w:pPr>
              <w:pStyle w:val="TableParagraph"/>
              <w:spacing w:line="270" w:lineRule="atLeast"/>
              <w:ind w:left="64" w:right="62"/>
              <w:rPr>
                <w:i/>
                <w:sz w:val="24"/>
              </w:rPr>
            </w:pPr>
            <w:r>
              <w:rPr>
                <w:sz w:val="24"/>
              </w:rPr>
              <w:t>pulmonaires et abdominales </w:t>
            </w:r>
            <w:r>
              <w:rPr>
                <w:i/>
                <w:sz w:val="24"/>
              </w:rPr>
              <w:t>- </w:t>
            </w:r>
            <w:r>
              <w:rPr>
                <w:sz w:val="24"/>
              </w:rPr>
              <w:t>Métastase probable NL pré scapulaire D </w:t>
            </w:r>
            <w:r>
              <w:rPr>
                <w:i/>
                <w:sz w:val="24"/>
              </w:rPr>
              <w:t>(scanner)</w:t>
            </w:r>
          </w:p>
        </w:tc>
        <w:tc>
          <w:tcPr>
            <w:tcW w:w="2126" w:type="dxa"/>
          </w:tcPr>
          <w:p>
            <w:pPr>
              <w:pStyle w:val="TableParagraph"/>
              <w:rPr>
                <w:i/>
                <w:sz w:val="26"/>
              </w:rPr>
            </w:pPr>
          </w:p>
          <w:p>
            <w:pPr>
              <w:pStyle w:val="TableParagraph"/>
              <w:spacing w:before="7"/>
              <w:rPr>
                <w:i/>
                <w:sz w:val="20"/>
              </w:rPr>
            </w:pPr>
          </w:p>
          <w:p>
            <w:pPr>
              <w:pStyle w:val="TableParagraph"/>
              <w:spacing w:line="270" w:lineRule="atLeast"/>
              <w:ind w:left="64" w:right="533"/>
              <w:rPr>
                <w:sz w:val="24"/>
              </w:rPr>
            </w:pPr>
            <w:r>
              <w:rPr>
                <w:sz w:val="24"/>
              </w:rPr>
              <w:t>Exérèse tumeur mammaire</w:t>
            </w:r>
          </w:p>
        </w:tc>
      </w:tr>
      <w:tr>
        <w:trPr>
          <w:trHeight w:val="540" w:hRule="atLeast"/>
        </w:trPr>
        <w:tc>
          <w:tcPr>
            <w:tcW w:w="710" w:type="dxa"/>
            <w:shd w:val="clear" w:color="auto" w:fill="C5DFB3"/>
          </w:tcPr>
          <w:p>
            <w:pPr>
              <w:pStyle w:val="TableParagraph"/>
              <w:spacing w:line="261" w:lineRule="exact"/>
              <w:ind w:left="64"/>
              <w:rPr>
                <w:sz w:val="24"/>
              </w:rPr>
            </w:pPr>
            <w:r>
              <w:rPr>
                <w:sz w:val="24"/>
              </w:rPr>
              <w:t>CN</w:t>
            </w:r>
          </w:p>
          <w:p>
            <w:pPr>
              <w:pStyle w:val="TableParagraph"/>
              <w:spacing w:line="271" w:lineRule="exact"/>
              <w:ind w:left="64"/>
              <w:rPr>
                <w:sz w:val="24"/>
              </w:rPr>
            </w:pPr>
            <w:r>
              <w:rPr>
                <w:sz w:val="24"/>
              </w:rPr>
              <w:t>11</w:t>
            </w:r>
          </w:p>
        </w:tc>
        <w:tc>
          <w:tcPr>
            <w:tcW w:w="1116" w:type="dxa"/>
          </w:tcPr>
          <w:p>
            <w:pPr>
              <w:pStyle w:val="TableParagraph"/>
              <w:spacing w:line="261" w:lineRule="exact"/>
              <w:ind w:left="62"/>
              <w:rPr>
                <w:sz w:val="24"/>
              </w:rPr>
            </w:pPr>
            <w:r>
              <w:rPr>
                <w:sz w:val="24"/>
              </w:rPr>
              <w:t>Berger</w:t>
            </w:r>
          </w:p>
          <w:p>
            <w:pPr>
              <w:pStyle w:val="TableParagraph"/>
              <w:spacing w:line="271" w:lineRule="exact"/>
              <w:ind w:left="62"/>
              <w:rPr>
                <w:sz w:val="24"/>
              </w:rPr>
            </w:pPr>
            <w:r>
              <w:rPr>
                <w:sz w:val="24"/>
              </w:rPr>
              <w:t>allemand</w:t>
            </w:r>
          </w:p>
        </w:tc>
        <w:tc>
          <w:tcPr>
            <w:tcW w:w="708" w:type="dxa"/>
          </w:tcPr>
          <w:p>
            <w:pPr>
              <w:pStyle w:val="TableParagraph"/>
              <w:spacing w:before="7"/>
              <w:rPr>
                <w:i/>
                <w:sz w:val="22"/>
              </w:rPr>
            </w:pPr>
          </w:p>
          <w:p>
            <w:pPr>
              <w:pStyle w:val="TableParagraph"/>
              <w:spacing w:line="271" w:lineRule="exact" w:before="1"/>
              <w:ind w:left="62"/>
              <w:rPr>
                <w:sz w:val="24"/>
              </w:rPr>
            </w:pPr>
            <w:r>
              <w:rPr>
                <w:w w:val="99"/>
                <w:sz w:val="24"/>
              </w:rPr>
              <w:t>M</w:t>
            </w:r>
          </w:p>
        </w:tc>
        <w:tc>
          <w:tcPr>
            <w:tcW w:w="586" w:type="dxa"/>
          </w:tcPr>
          <w:p>
            <w:pPr>
              <w:pStyle w:val="TableParagraph"/>
              <w:spacing w:before="7"/>
              <w:rPr>
                <w:i/>
                <w:sz w:val="22"/>
              </w:rPr>
            </w:pPr>
          </w:p>
          <w:p>
            <w:pPr>
              <w:pStyle w:val="TableParagraph"/>
              <w:spacing w:line="271" w:lineRule="exact" w:before="1"/>
              <w:ind w:right="66"/>
              <w:jc w:val="right"/>
              <w:rPr>
                <w:sz w:val="24"/>
              </w:rPr>
            </w:pPr>
            <w:r>
              <w:rPr>
                <w:sz w:val="24"/>
              </w:rPr>
              <w:t>8</w:t>
            </w:r>
          </w:p>
        </w:tc>
        <w:tc>
          <w:tcPr>
            <w:tcW w:w="2540" w:type="dxa"/>
          </w:tcPr>
          <w:p>
            <w:pPr>
              <w:pStyle w:val="TableParagraph"/>
              <w:spacing w:line="261" w:lineRule="exact"/>
              <w:ind w:left="64"/>
              <w:rPr>
                <w:sz w:val="24"/>
              </w:rPr>
            </w:pPr>
            <w:r>
              <w:rPr>
                <w:sz w:val="24"/>
              </w:rPr>
              <w:t>Hémangiosarcome</w:t>
            </w:r>
          </w:p>
          <w:p>
            <w:pPr>
              <w:pStyle w:val="TableParagraph"/>
              <w:spacing w:line="271" w:lineRule="exact"/>
              <w:ind w:left="64"/>
              <w:rPr>
                <w:sz w:val="24"/>
              </w:rPr>
            </w:pPr>
            <w:r>
              <w:rPr>
                <w:sz w:val="24"/>
              </w:rPr>
              <w:t>articulaire</w:t>
            </w:r>
          </w:p>
        </w:tc>
        <w:tc>
          <w:tcPr>
            <w:tcW w:w="2989" w:type="dxa"/>
          </w:tcPr>
          <w:p>
            <w:pPr>
              <w:pStyle w:val="TableParagraph"/>
              <w:spacing w:line="261" w:lineRule="exact"/>
              <w:ind w:left="64"/>
              <w:rPr>
                <w:sz w:val="24"/>
              </w:rPr>
            </w:pPr>
            <w:r>
              <w:rPr>
                <w:sz w:val="24"/>
              </w:rPr>
              <w:t>Métastases pulmonaires et</w:t>
            </w:r>
          </w:p>
          <w:p>
            <w:pPr>
              <w:pStyle w:val="TableParagraph"/>
              <w:spacing w:line="271" w:lineRule="exact"/>
              <w:ind w:left="64"/>
              <w:rPr>
                <w:i/>
                <w:sz w:val="24"/>
              </w:rPr>
            </w:pPr>
            <w:r>
              <w:rPr>
                <w:sz w:val="24"/>
              </w:rPr>
              <w:t>ganglionnaires </w:t>
            </w:r>
            <w:r>
              <w:rPr>
                <w:i/>
                <w:sz w:val="24"/>
              </w:rPr>
              <w:t>(scanner)</w:t>
            </w:r>
          </w:p>
        </w:tc>
        <w:tc>
          <w:tcPr>
            <w:tcW w:w="2126" w:type="dxa"/>
          </w:tcPr>
          <w:p>
            <w:pPr>
              <w:pStyle w:val="TableParagraph"/>
              <w:spacing w:line="261" w:lineRule="exact"/>
              <w:ind w:left="64"/>
              <w:rPr>
                <w:sz w:val="24"/>
              </w:rPr>
            </w:pPr>
            <w:r>
              <w:rPr>
                <w:sz w:val="24"/>
              </w:rPr>
              <w:t>Exérèse</w:t>
            </w:r>
          </w:p>
          <w:p>
            <w:pPr>
              <w:pStyle w:val="TableParagraph"/>
              <w:spacing w:line="271" w:lineRule="exact"/>
              <w:ind w:left="64"/>
              <w:rPr>
                <w:sz w:val="24"/>
              </w:rPr>
            </w:pPr>
            <w:r>
              <w:rPr>
                <w:sz w:val="24"/>
              </w:rPr>
              <w:t>hémangiosarcome</w:t>
            </w:r>
          </w:p>
        </w:tc>
      </w:tr>
      <w:tr>
        <w:trPr>
          <w:trHeight w:val="540" w:hRule="atLeast"/>
        </w:trPr>
        <w:tc>
          <w:tcPr>
            <w:tcW w:w="710" w:type="dxa"/>
            <w:shd w:val="clear" w:color="auto" w:fill="C5DFB3"/>
          </w:tcPr>
          <w:p>
            <w:pPr>
              <w:pStyle w:val="TableParagraph"/>
              <w:spacing w:line="261" w:lineRule="exact"/>
              <w:ind w:left="64"/>
              <w:rPr>
                <w:sz w:val="24"/>
              </w:rPr>
            </w:pPr>
            <w:r>
              <w:rPr>
                <w:sz w:val="24"/>
              </w:rPr>
              <w:t>CN</w:t>
            </w:r>
          </w:p>
          <w:p>
            <w:pPr>
              <w:pStyle w:val="TableParagraph"/>
              <w:spacing w:line="271" w:lineRule="exact"/>
              <w:ind w:left="64"/>
              <w:rPr>
                <w:sz w:val="24"/>
              </w:rPr>
            </w:pPr>
            <w:r>
              <w:rPr>
                <w:sz w:val="24"/>
              </w:rPr>
              <w:t>12</w:t>
            </w:r>
          </w:p>
        </w:tc>
        <w:tc>
          <w:tcPr>
            <w:tcW w:w="1116" w:type="dxa"/>
          </w:tcPr>
          <w:p>
            <w:pPr>
              <w:pStyle w:val="TableParagraph"/>
              <w:spacing w:line="261" w:lineRule="exact"/>
              <w:ind w:left="62"/>
              <w:rPr>
                <w:sz w:val="24"/>
              </w:rPr>
            </w:pPr>
            <w:r>
              <w:rPr>
                <w:sz w:val="24"/>
              </w:rPr>
              <w:t>West</w:t>
            </w:r>
          </w:p>
          <w:p>
            <w:pPr>
              <w:pStyle w:val="TableParagraph"/>
              <w:spacing w:line="271" w:lineRule="exact"/>
              <w:ind w:left="62"/>
              <w:rPr>
                <w:sz w:val="24"/>
              </w:rPr>
            </w:pPr>
            <w:r>
              <w:rPr>
                <w:sz w:val="24"/>
              </w:rPr>
              <w:t>Highland</w:t>
            </w:r>
          </w:p>
        </w:tc>
        <w:tc>
          <w:tcPr>
            <w:tcW w:w="708" w:type="dxa"/>
          </w:tcPr>
          <w:p>
            <w:pPr>
              <w:pStyle w:val="TableParagraph"/>
              <w:spacing w:before="7"/>
              <w:rPr>
                <w:i/>
                <w:sz w:val="22"/>
              </w:rPr>
            </w:pPr>
          </w:p>
          <w:p>
            <w:pPr>
              <w:pStyle w:val="TableParagraph"/>
              <w:spacing w:line="271" w:lineRule="exact"/>
              <w:ind w:left="62"/>
              <w:rPr>
                <w:sz w:val="24"/>
              </w:rPr>
            </w:pPr>
            <w:r>
              <w:rPr>
                <w:w w:val="99"/>
                <w:sz w:val="24"/>
              </w:rPr>
              <w:t>M</w:t>
            </w:r>
          </w:p>
        </w:tc>
        <w:tc>
          <w:tcPr>
            <w:tcW w:w="586" w:type="dxa"/>
          </w:tcPr>
          <w:p>
            <w:pPr>
              <w:pStyle w:val="TableParagraph"/>
              <w:spacing w:before="7"/>
              <w:rPr>
                <w:i/>
                <w:sz w:val="22"/>
              </w:rPr>
            </w:pPr>
          </w:p>
          <w:p>
            <w:pPr>
              <w:pStyle w:val="TableParagraph"/>
              <w:spacing w:line="271" w:lineRule="exact"/>
              <w:ind w:right="66"/>
              <w:jc w:val="right"/>
              <w:rPr>
                <w:sz w:val="24"/>
              </w:rPr>
            </w:pPr>
            <w:r>
              <w:rPr>
                <w:sz w:val="24"/>
              </w:rPr>
              <w:t>11</w:t>
            </w:r>
          </w:p>
        </w:tc>
        <w:tc>
          <w:tcPr>
            <w:tcW w:w="2540" w:type="dxa"/>
          </w:tcPr>
          <w:p>
            <w:pPr>
              <w:pStyle w:val="TableParagraph"/>
              <w:spacing w:before="7"/>
              <w:rPr>
                <w:i/>
                <w:sz w:val="22"/>
              </w:rPr>
            </w:pPr>
          </w:p>
          <w:p>
            <w:pPr>
              <w:pStyle w:val="TableParagraph"/>
              <w:spacing w:line="271" w:lineRule="exact"/>
              <w:ind w:left="64"/>
              <w:rPr>
                <w:sz w:val="24"/>
              </w:rPr>
            </w:pPr>
            <w:r>
              <w:rPr>
                <w:sz w:val="24"/>
              </w:rPr>
              <w:t>Adénocarcinome rectal</w:t>
            </w:r>
          </w:p>
        </w:tc>
        <w:tc>
          <w:tcPr>
            <w:tcW w:w="2989" w:type="dxa"/>
          </w:tcPr>
          <w:p>
            <w:pPr>
              <w:pStyle w:val="TableParagraph"/>
              <w:spacing w:line="261" w:lineRule="exact"/>
              <w:ind w:left="64"/>
              <w:rPr>
                <w:sz w:val="24"/>
              </w:rPr>
            </w:pPr>
            <w:r>
              <w:rPr>
                <w:sz w:val="24"/>
              </w:rPr>
              <w:t>Métastases pulmonaires</w:t>
            </w:r>
          </w:p>
          <w:p>
            <w:pPr>
              <w:pStyle w:val="TableParagraph"/>
              <w:spacing w:line="271" w:lineRule="exact"/>
              <w:ind w:left="64"/>
              <w:rPr>
                <w:i/>
                <w:sz w:val="24"/>
              </w:rPr>
            </w:pPr>
            <w:r>
              <w:rPr>
                <w:i/>
                <w:sz w:val="24"/>
              </w:rPr>
              <w:t>(scanner)</w:t>
            </w:r>
          </w:p>
        </w:tc>
        <w:tc>
          <w:tcPr>
            <w:tcW w:w="2126" w:type="dxa"/>
          </w:tcPr>
          <w:p>
            <w:pPr>
              <w:pStyle w:val="TableParagraph"/>
              <w:spacing w:before="7"/>
              <w:rPr>
                <w:i/>
                <w:sz w:val="22"/>
              </w:rPr>
            </w:pPr>
          </w:p>
          <w:p>
            <w:pPr>
              <w:pStyle w:val="TableParagraph"/>
              <w:spacing w:line="271" w:lineRule="exact"/>
              <w:ind w:left="64"/>
              <w:rPr>
                <w:sz w:val="24"/>
              </w:rPr>
            </w:pPr>
            <w:r>
              <w:rPr>
                <w:sz w:val="24"/>
              </w:rPr>
              <w:t>Exérèse chirurgicale</w:t>
            </w:r>
          </w:p>
        </w:tc>
      </w:tr>
      <w:tr>
        <w:trPr>
          <w:trHeight w:val="1360" w:hRule="atLeast"/>
        </w:trPr>
        <w:tc>
          <w:tcPr>
            <w:tcW w:w="710" w:type="dxa"/>
            <w:shd w:val="clear" w:color="auto" w:fill="C5DFB3"/>
          </w:tcPr>
          <w:p>
            <w:pPr>
              <w:pStyle w:val="TableParagraph"/>
              <w:rPr>
                <w:i/>
                <w:sz w:val="26"/>
              </w:rPr>
            </w:pPr>
          </w:p>
          <w:p>
            <w:pPr>
              <w:pStyle w:val="TableParagraph"/>
              <w:rPr>
                <w:i/>
                <w:sz w:val="26"/>
              </w:rPr>
            </w:pPr>
          </w:p>
          <w:p>
            <w:pPr>
              <w:pStyle w:val="TableParagraph"/>
              <w:spacing w:line="270" w:lineRule="atLeast" w:before="214"/>
              <w:ind w:left="64" w:right="283"/>
              <w:rPr>
                <w:sz w:val="24"/>
              </w:rPr>
            </w:pPr>
            <w:r>
              <w:rPr>
                <w:sz w:val="24"/>
              </w:rPr>
              <w:t>CN 13</w:t>
            </w:r>
          </w:p>
        </w:tc>
        <w:tc>
          <w:tcPr>
            <w:tcW w:w="1116" w:type="dxa"/>
          </w:tcPr>
          <w:p>
            <w:pPr>
              <w:pStyle w:val="TableParagraph"/>
              <w:rPr>
                <w:i/>
                <w:sz w:val="26"/>
              </w:rPr>
            </w:pPr>
          </w:p>
          <w:p>
            <w:pPr>
              <w:pStyle w:val="TableParagraph"/>
              <w:rPr>
                <w:i/>
                <w:sz w:val="26"/>
              </w:rPr>
            </w:pPr>
          </w:p>
          <w:p>
            <w:pPr>
              <w:pStyle w:val="TableParagraph"/>
              <w:rPr>
                <w:i/>
                <w:sz w:val="26"/>
              </w:rPr>
            </w:pPr>
          </w:p>
          <w:p>
            <w:pPr>
              <w:pStyle w:val="TableParagraph"/>
              <w:spacing w:line="271" w:lineRule="exact" w:before="191"/>
              <w:ind w:left="62"/>
              <w:rPr>
                <w:sz w:val="24"/>
              </w:rPr>
            </w:pPr>
            <w:r>
              <w:rPr>
                <w:sz w:val="24"/>
              </w:rPr>
              <w:t>Labrador</w:t>
            </w:r>
          </w:p>
        </w:tc>
        <w:tc>
          <w:tcPr>
            <w:tcW w:w="708" w:type="dxa"/>
          </w:tcPr>
          <w:p>
            <w:pPr>
              <w:pStyle w:val="TableParagraph"/>
              <w:rPr>
                <w:i/>
                <w:sz w:val="26"/>
              </w:rPr>
            </w:pPr>
          </w:p>
          <w:p>
            <w:pPr>
              <w:pStyle w:val="TableParagraph"/>
              <w:rPr>
                <w:i/>
                <w:sz w:val="26"/>
              </w:rPr>
            </w:pPr>
          </w:p>
          <w:p>
            <w:pPr>
              <w:pStyle w:val="TableParagraph"/>
              <w:rPr>
                <w:i/>
                <w:sz w:val="26"/>
              </w:rPr>
            </w:pPr>
          </w:p>
          <w:p>
            <w:pPr>
              <w:pStyle w:val="TableParagraph"/>
              <w:spacing w:line="271" w:lineRule="exact" w:before="191"/>
              <w:ind w:left="62"/>
              <w:rPr>
                <w:sz w:val="24"/>
              </w:rPr>
            </w:pPr>
            <w:r>
              <w:rPr>
                <w:w w:val="99"/>
                <w:sz w:val="24"/>
              </w:rPr>
              <w:t>M</w:t>
            </w:r>
          </w:p>
        </w:tc>
        <w:tc>
          <w:tcPr>
            <w:tcW w:w="586" w:type="dxa"/>
          </w:tcPr>
          <w:p>
            <w:pPr>
              <w:pStyle w:val="TableParagraph"/>
              <w:rPr>
                <w:i/>
                <w:sz w:val="26"/>
              </w:rPr>
            </w:pPr>
          </w:p>
          <w:p>
            <w:pPr>
              <w:pStyle w:val="TableParagraph"/>
              <w:rPr>
                <w:i/>
                <w:sz w:val="26"/>
              </w:rPr>
            </w:pPr>
          </w:p>
          <w:p>
            <w:pPr>
              <w:pStyle w:val="TableParagraph"/>
              <w:rPr>
                <w:i/>
                <w:sz w:val="26"/>
              </w:rPr>
            </w:pPr>
          </w:p>
          <w:p>
            <w:pPr>
              <w:pStyle w:val="TableParagraph"/>
              <w:spacing w:line="271" w:lineRule="exact" w:before="191"/>
              <w:ind w:right="66"/>
              <w:jc w:val="right"/>
              <w:rPr>
                <w:sz w:val="24"/>
              </w:rPr>
            </w:pPr>
            <w:r>
              <w:rPr>
                <w:sz w:val="24"/>
              </w:rPr>
              <w:t>11</w:t>
            </w:r>
          </w:p>
        </w:tc>
        <w:tc>
          <w:tcPr>
            <w:tcW w:w="2540" w:type="dxa"/>
          </w:tcPr>
          <w:p>
            <w:pPr>
              <w:pStyle w:val="TableParagraph"/>
              <w:rPr>
                <w:i/>
                <w:sz w:val="26"/>
              </w:rPr>
            </w:pPr>
          </w:p>
          <w:p>
            <w:pPr>
              <w:pStyle w:val="TableParagraph"/>
              <w:spacing w:before="7"/>
              <w:rPr>
                <w:i/>
                <w:sz w:val="20"/>
              </w:rPr>
            </w:pPr>
          </w:p>
          <w:p>
            <w:pPr>
              <w:pStyle w:val="TableParagraph"/>
              <w:spacing w:line="270" w:lineRule="atLeast"/>
              <w:ind w:left="64" w:right="226"/>
              <w:rPr>
                <w:sz w:val="24"/>
              </w:rPr>
            </w:pPr>
            <w:r>
              <w:rPr>
                <w:sz w:val="24"/>
              </w:rPr>
              <w:t>Mélanome achromique de la cavité buccale (gencive + palais)</w:t>
            </w:r>
          </w:p>
        </w:tc>
        <w:tc>
          <w:tcPr>
            <w:tcW w:w="2989" w:type="dxa"/>
          </w:tcPr>
          <w:p>
            <w:pPr>
              <w:pStyle w:val="TableParagraph"/>
              <w:rPr>
                <w:i/>
                <w:sz w:val="26"/>
              </w:rPr>
            </w:pPr>
          </w:p>
          <w:p>
            <w:pPr>
              <w:pStyle w:val="TableParagraph"/>
              <w:rPr>
                <w:i/>
                <w:sz w:val="26"/>
              </w:rPr>
            </w:pPr>
          </w:p>
          <w:p>
            <w:pPr>
              <w:pStyle w:val="TableParagraph"/>
              <w:spacing w:line="270" w:lineRule="atLeast" w:before="214"/>
              <w:ind w:left="64"/>
              <w:rPr>
                <w:i/>
                <w:sz w:val="24"/>
              </w:rPr>
            </w:pPr>
            <w:r>
              <w:rPr>
                <w:sz w:val="24"/>
              </w:rPr>
              <w:t>Absence de métastases pulmonaires </w:t>
            </w:r>
            <w:r>
              <w:rPr>
                <w:i/>
                <w:sz w:val="24"/>
              </w:rPr>
              <w:t>(scanner)</w:t>
            </w:r>
          </w:p>
        </w:tc>
        <w:tc>
          <w:tcPr>
            <w:tcW w:w="2126" w:type="dxa"/>
          </w:tcPr>
          <w:p>
            <w:pPr>
              <w:pStyle w:val="TableParagraph"/>
              <w:spacing w:line="261" w:lineRule="exact"/>
              <w:ind w:left="64"/>
              <w:rPr>
                <w:sz w:val="24"/>
              </w:rPr>
            </w:pPr>
            <w:r>
              <w:rPr>
                <w:sz w:val="24"/>
              </w:rPr>
              <w:t>Carboplatine</w:t>
            </w:r>
          </w:p>
          <w:p>
            <w:pPr>
              <w:pStyle w:val="TableParagraph"/>
              <w:ind w:left="64" w:right="680"/>
              <w:rPr>
                <w:sz w:val="24"/>
              </w:rPr>
            </w:pPr>
            <w:r>
              <w:rPr>
                <w:sz w:val="24"/>
              </w:rPr>
              <w:t>300 mg/m² x6 séances</w:t>
            </w:r>
          </w:p>
          <w:p>
            <w:pPr>
              <w:pStyle w:val="TableParagraph"/>
              <w:spacing w:line="270" w:lineRule="atLeast"/>
              <w:ind w:left="64"/>
              <w:rPr>
                <w:sz w:val="24"/>
              </w:rPr>
            </w:pPr>
            <w:r>
              <w:rPr>
                <w:sz w:val="24"/>
              </w:rPr>
              <w:t>Exérèse chirurgicale masse visible</w:t>
            </w:r>
          </w:p>
        </w:tc>
      </w:tr>
      <w:tr>
        <w:trPr>
          <w:trHeight w:val="540" w:hRule="atLeast"/>
        </w:trPr>
        <w:tc>
          <w:tcPr>
            <w:tcW w:w="710" w:type="dxa"/>
            <w:shd w:val="clear" w:color="auto" w:fill="C5DFB3"/>
          </w:tcPr>
          <w:p>
            <w:pPr>
              <w:pStyle w:val="TableParagraph"/>
              <w:spacing w:before="9"/>
              <w:rPr>
                <w:i/>
                <w:sz w:val="22"/>
              </w:rPr>
            </w:pPr>
          </w:p>
          <w:p>
            <w:pPr>
              <w:pStyle w:val="TableParagraph"/>
              <w:spacing w:line="271" w:lineRule="exact" w:before="1"/>
              <w:ind w:left="64"/>
              <w:rPr>
                <w:sz w:val="24"/>
              </w:rPr>
            </w:pPr>
            <w:r>
              <w:rPr>
                <w:sz w:val="24"/>
              </w:rPr>
              <w:t>CT 1</w:t>
            </w:r>
          </w:p>
        </w:tc>
        <w:tc>
          <w:tcPr>
            <w:tcW w:w="1116" w:type="dxa"/>
          </w:tcPr>
          <w:p>
            <w:pPr>
              <w:pStyle w:val="TableParagraph"/>
              <w:spacing w:before="9"/>
              <w:rPr>
                <w:i/>
                <w:sz w:val="22"/>
              </w:rPr>
            </w:pPr>
          </w:p>
          <w:p>
            <w:pPr>
              <w:pStyle w:val="TableParagraph"/>
              <w:spacing w:line="271" w:lineRule="exact" w:before="1"/>
              <w:ind w:left="62"/>
              <w:rPr>
                <w:sz w:val="24"/>
              </w:rPr>
            </w:pPr>
            <w:r>
              <w:rPr>
                <w:sz w:val="24"/>
              </w:rPr>
              <w:t>Européen</w:t>
            </w:r>
          </w:p>
        </w:tc>
        <w:tc>
          <w:tcPr>
            <w:tcW w:w="708" w:type="dxa"/>
          </w:tcPr>
          <w:p>
            <w:pPr>
              <w:pStyle w:val="TableParagraph"/>
              <w:spacing w:before="9"/>
              <w:rPr>
                <w:i/>
                <w:sz w:val="22"/>
              </w:rPr>
            </w:pPr>
          </w:p>
          <w:p>
            <w:pPr>
              <w:pStyle w:val="TableParagraph"/>
              <w:spacing w:line="271" w:lineRule="exact" w:before="1"/>
              <w:ind w:left="62"/>
              <w:rPr>
                <w:sz w:val="24"/>
              </w:rPr>
            </w:pPr>
            <w:r>
              <w:rPr>
                <w:sz w:val="24"/>
              </w:rPr>
              <w:t>MC</w:t>
            </w:r>
          </w:p>
        </w:tc>
        <w:tc>
          <w:tcPr>
            <w:tcW w:w="586" w:type="dxa"/>
          </w:tcPr>
          <w:p>
            <w:pPr>
              <w:pStyle w:val="TableParagraph"/>
              <w:spacing w:before="9"/>
              <w:rPr>
                <w:i/>
                <w:sz w:val="22"/>
              </w:rPr>
            </w:pPr>
          </w:p>
          <w:p>
            <w:pPr>
              <w:pStyle w:val="TableParagraph"/>
              <w:spacing w:line="271" w:lineRule="exact" w:before="1"/>
              <w:ind w:right="66"/>
              <w:jc w:val="right"/>
              <w:rPr>
                <w:sz w:val="24"/>
              </w:rPr>
            </w:pPr>
            <w:r>
              <w:rPr>
                <w:sz w:val="24"/>
              </w:rPr>
              <w:t>11</w:t>
            </w:r>
          </w:p>
        </w:tc>
        <w:tc>
          <w:tcPr>
            <w:tcW w:w="2540" w:type="dxa"/>
          </w:tcPr>
          <w:p>
            <w:pPr>
              <w:pStyle w:val="TableParagraph"/>
              <w:spacing w:line="263" w:lineRule="exact"/>
              <w:ind w:left="64"/>
              <w:rPr>
                <w:sz w:val="24"/>
              </w:rPr>
            </w:pPr>
            <w:r>
              <w:rPr>
                <w:sz w:val="24"/>
              </w:rPr>
              <w:t>Carcinome épidermoïde</w:t>
            </w:r>
          </w:p>
          <w:p>
            <w:pPr>
              <w:pStyle w:val="TableParagraph"/>
              <w:spacing w:line="271" w:lineRule="exact"/>
              <w:ind w:left="64"/>
              <w:rPr>
                <w:sz w:val="24"/>
              </w:rPr>
            </w:pPr>
            <w:r>
              <w:rPr>
                <w:sz w:val="24"/>
              </w:rPr>
              <w:t>de la gencive</w:t>
            </w:r>
          </w:p>
        </w:tc>
        <w:tc>
          <w:tcPr>
            <w:tcW w:w="2989" w:type="dxa"/>
          </w:tcPr>
          <w:p>
            <w:pPr>
              <w:pStyle w:val="TableParagraph"/>
              <w:spacing w:line="263" w:lineRule="exact"/>
              <w:ind w:left="64"/>
              <w:rPr>
                <w:sz w:val="24"/>
              </w:rPr>
            </w:pPr>
            <w:r>
              <w:rPr>
                <w:sz w:val="24"/>
              </w:rPr>
              <w:t>Absence de métastases</w:t>
            </w:r>
          </w:p>
          <w:p>
            <w:pPr>
              <w:pStyle w:val="TableParagraph"/>
              <w:spacing w:line="271" w:lineRule="exact"/>
              <w:ind w:left="64"/>
              <w:rPr>
                <w:i/>
                <w:sz w:val="24"/>
              </w:rPr>
            </w:pPr>
            <w:r>
              <w:rPr>
                <w:sz w:val="24"/>
              </w:rPr>
              <w:t>pulmonaires </w:t>
            </w:r>
            <w:r>
              <w:rPr>
                <w:i/>
                <w:sz w:val="24"/>
              </w:rPr>
              <w:t>(scanner)</w:t>
            </w:r>
          </w:p>
        </w:tc>
        <w:tc>
          <w:tcPr>
            <w:tcW w:w="2126" w:type="dxa"/>
          </w:tcPr>
          <w:p>
            <w:pPr>
              <w:pStyle w:val="TableParagraph"/>
              <w:spacing w:before="9"/>
              <w:rPr>
                <w:i/>
                <w:sz w:val="22"/>
              </w:rPr>
            </w:pPr>
          </w:p>
          <w:p>
            <w:pPr>
              <w:pStyle w:val="TableParagraph"/>
              <w:spacing w:line="271" w:lineRule="exact" w:before="1"/>
              <w:ind w:left="64"/>
              <w:rPr>
                <w:sz w:val="24"/>
              </w:rPr>
            </w:pPr>
            <w:r>
              <w:rPr>
                <w:sz w:val="24"/>
              </w:rPr>
              <w:t>Meloxicam</w:t>
            </w:r>
          </w:p>
        </w:tc>
      </w:tr>
      <w:tr>
        <w:trPr>
          <w:trHeight w:val="540" w:hRule="atLeast"/>
        </w:trPr>
        <w:tc>
          <w:tcPr>
            <w:tcW w:w="710" w:type="dxa"/>
            <w:shd w:val="clear" w:color="auto" w:fill="C5DFB3"/>
          </w:tcPr>
          <w:p>
            <w:pPr>
              <w:pStyle w:val="TableParagraph"/>
              <w:spacing w:before="8"/>
              <w:rPr>
                <w:i/>
                <w:sz w:val="22"/>
              </w:rPr>
            </w:pPr>
          </w:p>
          <w:p>
            <w:pPr>
              <w:pStyle w:val="TableParagraph"/>
              <w:spacing w:line="271" w:lineRule="exact"/>
              <w:ind w:left="64"/>
              <w:rPr>
                <w:sz w:val="24"/>
              </w:rPr>
            </w:pPr>
            <w:r>
              <w:rPr>
                <w:sz w:val="24"/>
              </w:rPr>
              <w:t>CT 3</w:t>
            </w:r>
          </w:p>
        </w:tc>
        <w:tc>
          <w:tcPr>
            <w:tcW w:w="1116" w:type="dxa"/>
          </w:tcPr>
          <w:p>
            <w:pPr>
              <w:pStyle w:val="TableParagraph"/>
              <w:spacing w:before="8"/>
              <w:rPr>
                <w:i/>
                <w:sz w:val="22"/>
              </w:rPr>
            </w:pPr>
          </w:p>
          <w:p>
            <w:pPr>
              <w:pStyle w:val="TableParagraph"/>
              <w:spacing w:line="271" w:lineRule="exact"/>
              <w:ind w:left="62"/>
              <w:rPr>
                <w:sz w:val="24"/>
              </w:rPr>
            </w:pPr>
            <w:r>
              <w:rPr>
                <w:sz w:val="24"/>
              </w:rPr>
              <w:t>Européen</w:t>
            </w:r>
          </w:p>
        </w:tc>
        <w:tc>
          <w:tcPr>
            <w:tcW w:w="708" w:type="dxa"/>
          </w:tcPr>
          <w:p>
            <w:pPr>
              <w:pStyle w:val="TableParagraph"/>
              <w:spacing w:before="8"/>
              <w:rPr>
                <w:i/>
                <w:sz w:val="22"/>
              </w:rPr>
            </w:pPr>
          </w:p>
          <w:p>
            <w:pPr>
              <w:pStyle w:val="TableParagraph"/>
              <w:spacing w:line="271" w:lineRule="exact"/>
              <w:ind w:left="62"/>
              <w:rPr>
                <w:sz w:val="24"/>
              </w:rPr>
            </w:pPr>
            <w:r>
              <w:rPr>
                <w:sz w:val="24"/>
              </w:rPr>
              <w:t>MC</w:t>
            </w:r>
          </w:p>
        </w:tc>
        <w:tc>
          <w:tcPr>
            <w:tcW w:w="586" w:type="dxa"/>
          </w:tcPr>
          <w:p>
            <w:pPr>
              <w:pStyle w:val="TableParagraph"/>
              <w:spacing w:before="8"/>
              <w:rPr>
                <w:i/>
                <w:sz w:val="22"/>
              </w:rPr>
            </w:pPr>
          </w:p>
          <w:p>
            <w:pPr>
              <w:pStyle w:val="TableParagraph"/>
              <w:spacing w:line="271" w:lineRule="exact"/>
              <w:ind w:right="66"/>
              <w:jc w:val="right"/>
              <w:rPr>
                <w:sz w:val="24"/>
              </w:rPr>
            </w:pPr>
            <w:r>
              <w:rPr>
                <w:sz w:val="24"/>
              </w:rPr>
              <w:t>13</w:t>
            </w:r>
          </w:p>
        </w:tc>
        <w:tc>
          <w:tcPr>
            <w:tcW w:w="2540" w:type="dxa"/>
          </w:tcPr>
          <w:p>
            <w:pPr>
              <w:pStyle w:val="TableParagraph"/>
              <w:spacing w:line="261" w:lineRule="exact"/>
              <w:ind w:left="64"/>
              <w:rPr>
                <w:sz w:val="24"/>
              </w:rPr>
            </w:pPr>
            <w:r>
              <w:rPr>
                <w:sz w:val="24"/>
              </w:rPr>
              <w:t>Carcinome épidermoïde</w:t>
            </w:r>
          </w:p>
          <w:p>
            <w:pPr>
              <w:pStyle w:val="TableParagraph"/>
              <w:spacing w:line="271" w:lineRule="exact"/>
              <w:ind w:left="64"/>
              <w:rPr>
                <w:sz w:val="24"/>
              </w:rPr>
            </w:pPr>
            <w:r>
              <w:rPr>
                <w:sz w:val="24"/>
              </w:rPr>
              <w:t>maxillaire</w:t>
            </w:r>
          </w:p>
        </w:tc>
        <w:tc>
          <w:tcPr>
            <w:tcW w:w="2989" w:type="dxa"/>
          </w:tcPr>
          <w:p>
            <w:pPr>
              <w:pStyle w:val="TableParagraph"/>
              <w:spacing w:line="261" w:lineRule="exact"/>
              <w:ind w:left="64"/>
              <w:rPr>
                <w:sz w:val="24"/>
              </w:rPr>
            </w:pPr>
            <w:r>
              <w:rPr>
                <w:sz w:val="24"/>
              </w:rPr>
              <w:t>Métastases pulmonaires</w:t>
            </w:r>
          </w:p>
          <w:p>
            <w:pPr>
              <w:pStyle w:val="TableParagraph"/>
              <w:spacing w:line="271" w:lineRule="exact"/>
              <w:ind w:left="64"/>
              <w:rPr>
                <w:i/>
                <w:sz w:val="24"/>
              </w:rPr>
            </w:pPr>
            <w:r>
              <w:rPr>
                <w:i/>
                <w:sz w:val="24"/>
              </w:rPr>
              <w:t>(scanner)</w:t>
            </w:r>
          </w:p>
        </w:tc>
        <w:tc>
          <w:tcPr>
            <w:tcW w:w="2126" w:type="dxa"/>
          </w:tcPr>
          <w:p>
            <w:pPr>
              <w:pStyle w:val="TableParagraph"/>
              <w:spacing w:before="8"/>
              <w:rPr>
                <w:i/>
                <w:sz w:val="22"/>
              </w:rPr>
            </w:pPr>
          </w:p>
          <w:p>
            <w:pPr>
              <w:pStyle w:val="TableParagraph"/>
              <w:spacing w:line="271" w:lineRule="exact"/>
              <w:ind w:left="64"/>
              <w:rPr>
                <w:sz w:val="24"/>
              </w:rPr>
            </w:pPr>
            <w:r>
              <w:rPr>
                <w:sz w:val="24"/>
              </w:rPr>
              <w:t>Aucun</w:t>
            </w:r>
          </w:p>
        </w:tc>
      </w:tr>
      <w:tr>
        <w:trPr>
          <w:trHeight w:val="540" w:hRule="atLeast"/>
        </w:trPr>
        <w:tc>
          <w:tcPr>
            <w:tcW w:w="710" w:type="dxa"/>
            <w:shd w:val="clear" w:color="auto" w:fill="C5DFB3"/>
          </w:tcPr>
          <w:p>
            <w:pPr>
              <w:pStyle w:val="TableParagraph"/>
              <w:spacing w:before="7"/>
              <w:rPr>
                <w:i/>
                <w:sz w:val="22"/>
              </w:rPr>
            </w:pPr>
          </w:p>
          <w:p>
            <w:pPr>
              <w:pStyle w:val="TableParagraph"/>
              <w:spacing w:line="271" w:lineRule="exact"/>
              <w:ind w:left="64"/>
              <w:rPr>
                <w:sz w:val="24"/>
              </w:rPr>
            </w:pPr>
            <w:r>
              <w:rPr>
                <w:sz w:val="24"/>
              </w:rPr>
              <w:t>CT 4</w:t>
            </w:r>
          </w:p>
        </w:tc>
        <w:tc>
          <w:tcPr>
            <w:tcW w:w="1116" w:type="dxa"/>
          </w:tcPr>
          <w:p>
            <w:pPr>
              <w:pStyle w:val="TableParagraph"/>
              <w:spacing w:before="7"/>
              <w:rPr>
                <w:i/>
                <w:sz w:val="22"/>
              </w:rPr>
            </w:pPr>
          </w:p>
          <w:p>
            <w:pPr>
              <w:pStyle w:val="TableParagraph"/>
              <w:spacing w:line="271" w:lineRule="exact"/>
              <w:ind w:left="62"/>
              <w:rPr>
                <w:sz w:val="24"/>
              </w:rPr>
            </w:pPr>
            <w:r>
              <w:rPr>
                <w:sz w:val="24"/>
              </w:rPr>
              <w:t>Européen</w:t>
            </w:r>
          </w:p>
        </w:tc>
        <w:tc>
          <w:tcPr>
            <w:tcW w:w="708" w:type="dxa"/>
          </w:tcPr>
          <w:p>
            <w:pPr>
              <w:pStyle w:val="TableParagraph"/>
              <w:spacing w:before="7"/>
              <w:rPr>
                <w:i/>
                <w:sz w:val="22"/>
              </w:rPr>
            </w:pPr>
          </w:p>
          <w:p>
            <w:pPr>
              <w:pStyle w:val="TableParagraph"/>
              <w:spacing w:line="271" w:lineRule="exact"/>
              <w:ind w:left="62"/>
              <w:rPr>
                <w:sz w:val="24"/>
              </w:rPr>
            </w:pPr>
            <w:r>
              <w:rPr>
                <w:w w:val="99"/>
                <w:sz w:val="24"/>
              </w:rPr>
              <w:t>F</w:t>
            </w:r>
          </w:p>
        </w:tc>
        <w:tc>
          <w:tcPr>
            <w:tcW w:w="586" w:type="dxa"/>
          </w:tcPr>
          <w:p>
            <w:pPr>
              <w:pStyle w:val="TableParagraph"/>
              <w:spacing w:before="7"/>
              <w:rPr>
                <w:i/>
                <w:sz w:val="22"/>
              </w:rPr>
            </w:pPr>
          </w:p>
          <w:p>
            <w:pPr>
              <w:pStyle w:val="TableParagraph"/>
              <w:spacing w:line="271" w:lineRule="exact"/>
              <w:ind w:right="66"/>
              <w:jc w:val="right"/>
              <w:rPr>
                <w:sz w:val="24"/>
              </w:rPr>
            </w:pPr>
            <w:r>
              <w:rPr>
                <w:sz w:val="24"/>
              </w:rPr>
              <w:t>15</w:t>
            </w:r>
          </w:p>
        </w:tc>
        <w:tc>
          <w:tcPr>
            <w:tcW w:w="2540" w:type="dxa"/>
          </w:tcPr>
          <w:p>
            <w:pPr>
              <w:pStyle w:val="TableParagraph"/>
              <w:spacing w:line="261" w:lineRule="exact"/>
              <w:ind w:left="64"/>
              <w:rPr>
                <w:sz w:val="24"/>
              </w:rPr>
            </w:pPr>
            <w:r>
              <w:rPr>
                <w:sz w:val="24"/>
              </w:rPr>
              <w:t>Récidive fibrosarcome</w:t>
            </w:r>
          </w:p>
          <w:p>
            <w:pPr>
              <w:pStyle w:val="TableParagraph"/>
              <w:spacing w:line="271" w:lineRule="exact"/>
              <w:ind w:left="64"/>
              <w:rPr>
                <w:sz w:val="24"/>
              </w:rPr>
            </w:pPr>
            <w:r>
              <w:rPr>
                <w:sz w:val="24"/>
              </w:rPr>
              <w:t>(2 ans après chirurgie)</w:t>
            </w:r>
          </w:p>
        </w:tc>
        <w:tc>
          <w:tcPr>
            <w:tcW w:w="2989" w:type="dxa"/>
          </w:tcPr>
          <w:p>
            <w:pPr>
              <w:pStyle w:val="TableParagraph"/>
              <w:spacing w:line="261" w:lineRule="exact"/>
              <w:ind w:left="64"/>
              <w:rPr>
                <w:sz w:val="24"/>
              </w:rPr>
            </w:pPr>
            <w:r>
              <w:rPr>
                <w:sz w:val="24"/>
              </w:rPr>
              <w:t>Métastases pulmonaires</w:t>
            </w:r>
          </w:p>
          <w:p>
            <w:pPr>
              <w:pStyle w:val="TableParagraph"/>
              <w:spacing w:line="271" w:lineRule="exact"/>
              <w:ind w:left="64"/>
              <w:rPr>
                <w:i/>
                <w:sz w:val="24"/>
              </w:rPr>
            </w:pPr>
            <w:r>
              <w:rPr>
                <w:i/>
                <w:sz w:val="24"/>
              </w:rPr>
              <w:t>(scanner)</w:t>
            </w:r>
          </w:p>
        </w:tc>
        <w:tc>
          <w:tcPr>
            <w:tcW w:w="2126" w:type="dxa"/>
          </w:tcPr>
          <w:p>
            <w:pPr>
              <w:pStyle w:val="TableParagraph"/>
              <w:spacing w:before="7"/>
              <w:rPr>
                <w:i/>
                <w:sz w:val="22"/>
              </w:rPr>
            </w:pPr>
          </w:p>
          <w:p>
            <w:pPr>
              <w:pStyle w:val="TableParagraph"/>
              <w:spacing w:line="271" w:lineRule="exact"/>
              <w:ind w:left="64"/>
              <w:rPr>
                <w:sz w:val="24"/>
              </w:rPr>
            </w:pPr>
            <w:r>
              <w:rPr>
                <w:sz w:val="24"/>
              </w:rPr>
              <w:t>Aucun</w:t>
            </w:r>
          </w:p>
        </w:tc>
      </w:tr>
    </w:tbl>
    <w:p>
      <w:pPr>
        <w:pStyle w:val="BodyText"/>
        <w:rPr>
          <w:i/>
          <w:sz w:val="20"/>
        </w:rPr>
      </w:pPr>
    </w:p>
    <w:p>
      <w:pPr>
        <w:pStyle w:val="BodyText"/>
        <w:rPr>
          <w:i/>
          <w:sz w:val="20"/>
        </w:rPr>
      </w:pPr>
    </w:p>
    <w:p>
      <w:pPr>
        <w:pStyle w:val="BodyText"/>
        <w:spacing w:before="7"/>
        <w:rPr>
          <w:i/>
          <w:sz w:val="16"/>
        </w:rPr>
      </w:pPr>
    </w:p>
    <w:p>
      <w:pPr>
        <w:spacing w:line="256" w:lineRule="auto" w:before="93"/>
        <w:ind w:left="956" w:right="1040" w:firstLine="0"/>
        <w:jc w:val="left"/>
        <w:rPr>
          <w:i/>
          <w:sz w:val="18"/>
        </w:rPr>
      </w:pPr>
      <w:r>
        <w:rPr>
          <w:i/>
          <w:sz w:val="18"/>
        </w:rPr>
        <w:t>L-CHOP= Protocole de chimiothérapie associant différentes molécules : </w:t>
      </w:r>
      <w:r>
        <w:rPr>
          <w:b/>
          <w:i/>
          <w:sz w:val="18"/>
        </w:rPr>
        <w:t>L</w:t>
      </w:r>
      <w:r>
        <w:rPr>
          <w:i/>
          <w:sz w:val="18"/>
        </w:rPr>
        <w:t>-Asparaginase - </w:t>
      </w:r>
      <w:r>
        <w:rPr>
          <w:b/>
          <w:i/>
          <w:sz w:val="18"/>
        </w:rPr>
        <w:t>C</w:t>
      </w:r>
      <w:r>
        <w:rPr>
          <w:i/>
          <w:sz w:val="18"/>
        </w:rPr>
        <w:t>yclophosphamide (Endoxan) – </w:t>
      </w:r>
      <w:r>
        <w:rPr>
          <w:i/>
          <w:sz w:val="18"/>
        </w:rPr>
        <w:t>Doxorubicine (</w:t>
      </w:r>
      <w:r>
        <w:rPr>
          <w:b/>
          <w:i/>
          <w:sz w:val="18"/>
        </w:rPr>
        <w:t>H</w:t>
      </w:r>
      <w:r>
        <w:rPr>
          <w:i/>
          <w:sz w:val="18"/>
        </w:rPr>
        <w:t>ydroxydaunorubicine) - Vincristine (</w:t>
      </w:r>
      <w:r>
        <w:rPr>
          <w:b/>
          <w:i/>
          <w:sz w:val="18"/>
        </w:rPr>
        <w:t>O</w:t>
      </w:r>
      <w:r>
        <w:rPr>
          <w:i/>
          <w:sz w:val="18"/>
        </w:rPr>
        <w:t>ncovin) – </w:t>
      </w:r>
      <w:r>
        <w:rPr>
          <w:b/>
          <w:i/>
          <w:sz w:val="18"/>
        </w:rPr>
        <w:t>P</w:t>
      </w:r>
      <w:r>
        <w:rPr>
          <w:i/>
          <w:sz w:val="18"/>
        </w:rPr>
        <w:t>rednisolone</w:t>
      </w:r>
    </w:p>
    <w:p>
      <w:pPr>
        <w:spacing w:before="163"/>
        <w:ind w:left="956" w:right="0" w:firstLine="0"/>
        <w:jc w:val="left"/>
        <w:rPr>
          <w:i/>
          <w:sz w:val="18"/>
        </w:rPr>
      </w:pPr>
      <w:r>
        <w:rPr>
          <w:i/>
          <w:sz w:val="18"/>
        </w:rPr>
        <w:t>M : mâle - MC : mâle castré – F : femelle - F OV : femelle ovariectomisée – F OVH : femelle ovariohysterectomisée</w:t>
      </w:r>
    </w:p>
    <w:p>
      <w:pPr>
        <w:spacing w:after="0"/>
        <w:jc w:val="left"/>
        <w:rPr>
          <w:sz w:val="18"/>
        </w:rPr>
        <w:sectPr>
          <w:pgSz w:w="11910" w:h="16840"/>
          <w:pgMar w:header="0" w:footer="1055" w:top="1280" w:bottom="1240" w:left="460" w:right="440"/>
        </w:sectPr>
      </w:pPr>
    </w:p>
    <w:p>
      <w:pPr>
        <w:pStyle w:val="ListParagraph"/>
        <w:numPr>
          <w:ilvl w:val="0"/>
          <w:numId w:val="27"/>
        </w:numPr>
        <w:tabs>
          <w:tab w:pos="1110" w:val="left" w:leader="none"/>
        </w:tabs>
        <w:spacing w:line="240" w:lineRule="auto" w:before="72" w:after="0"/>
        <w:ind w:left="1110" w:right="0" w:hanging="360"/>
        <w:jc w:val="left"/>
        <w:rPr>
          <w:sz w:val="24"/>
        </w:rPr>
      </w:pPr>
      <w:bookmarkStart w:name="_bookmark165" w:id="281"/>
      <w:bookmarkEnd w:id="281"/>
      <w:r>
        <w:rPr/>
      </w:r>
      <w:bookmarkStart w:name="_bookmark165" w:id="282"/>
      <w:bookmarkEnd w:id="282"/>
      <w:r>
        <w:rPr>
          <w:sz w:val="24"/>
          <w:u w:val="single"/>
        </w:rPr>
        <w:t>S</w:t>
      </w:r>
      <w:r>
        <w:rPr>
          <w:sz w:val="24"/>
          <w:u w:val="single"/>
        </w:rPr>
        <w:t>uivi clinique, effets secondaires et perception des</w:t>
      </w:r>
      <w:r>
        <w:rPr>
          <w:spacing w:val="-16"/>
          <w:sz w:val="24"/>
          <w:u w:val="single"/>
        </w:rPr>
        <w:t> </w:t>
      </w:r>
      <w:r>
        <w:rPr>
          <w:sz w:val="24"/>
          <w:u w:val="single"/>
        </w:rPr>
        <w:t>propriétaires</w:t>
      </w:r>
    </w:p>
    <w:p>
      <w:pPr>
        <w:pStyle w:val="BodyText"/>
        <w:rPr>
          <w:sz w:val="20"/>
        </w:rPr>
      </w:pPr>
    </w:p>
    <w:p>
      <w:pPr>
        <w:pStyle w:val="BodyText"/>
        <w:spacing w:before="8"/>
        <w:rPr>
          <w:sz w:val="21"/>
        </w:rPr>
      </w:pPr>
    </w:p>
    <w:p>
      <w:pPr>
        <w:pStyle w:val="BodyText"/>
        <w:spacing w:line="259" w:lineRule="auto"/>
        <w:ind w:left="116" w:right="114" w:firstLine="707"/>
        <w:jc w:val="both"/>
      </w:pPr>
      <w:r>
        <w:rPr/>
        <w:t>Le tableau suivant (Tableau 7) présente le suivi clinique, les effets secondaires et la perception du propriétaire suite à l’instauration de la thérapie métabolique (TM), ainsi que la survie globale-totale en semaines (durée entre l’instauration du premier traitement et le décès ou la perte de vue de l’animal), et la survie globale-TM en semaines (durée entre</w:t>
      </w:r>
      <w:r>
        <w:rPr>
          <w:spacing w:val="-31"/>
        </w:rPr>
        <w:t> </w:t>
      </w:r>
      <w:r>
        <w:rPr/>
        <w:t>l’instauration du</w:t>
      </w:r>
      <w:r>
        <w:rPr>
          <w:spacing w:val="-13"/>
        </w:rPr>
        <w:t> </w:t>
      </w:r>
      <w:r>
        <w:rPr/>
        <w:t>taitement</w:t>
      </w:r>
      <w:r>
        <w:rPr>
          <w:spacing w:val="-13"/>
        </w:rPr>
        <w:t> </w:t>
      </w:r>
      <w:r>
        <w:rPr/>
        <w:t>métabolique</w:t>
      </w:r>
      <w:r>
        <w:rPr>
          <w:spacing w:val="-12"/>
        </w:rPr>
        <w:t> </w:t>
      </w:r>
      <w:r>
        <w:rPr/>
        <w:t>et</w:t>
      </w:r>
      <w:r>
        <w:rPr>
          <w:spacing w:val="-13"/>
        </w:rPr>
        <w:t> </w:t>
      </w:r>
      <w:r>
        <w:rPr/>
        <w:t>le</w:t>
      </w:r>
      <w:r>
        <w:rPr>
          <w:spacing w:val="-14"/>
        </w:rPr>
        <w:t> </w:t>
      </w:r>
      <w:r>
        <w:rPr/>
        <w:t>décès</w:t>
      </w:r>
      <w:r>
        <w:rPr>
          <w:spacing w:val="-13"/>
        </w:rPr>
        <w:t> </w:t>
      </w:r>
      <w:r>
        <w:rPr/>
        <w:t>ou</w:t>
      </w:r>
      <w:r>
        <w:rPr>
          <w:spacing w:val="-11"/>
        </w:rPr>
        <w:t> </w:t>
      </w:r>
      <w:r>
        <w:rPr/>
        <w:t>la</w:t>
      </w:r>
      <w:r>
        <w:rPr>
          <w:spacing w:val="-14"/>
        </w:rPr>
        <w:t> </w:t>
      </w:r>
      <w:r>
        <w:rPr/>
        <w:t>perte</w:t>
      </w:r>
      <w:r>
        <w:rPr>
          <w:spacing w:val="-15"/>
        </w:rPr>
        <w:t> </w:t>
      </w:r>
      <w:r>
        <w:rPr/>
        <w:t>de</w:t>
      </w:r>
      <w:r>
        <w:rPr>
          <w:spacing w:val="-12"/>
        </w:rPr>
        <w:t> </w:t>
      </w:r>
      <w:r>
        <w:rPr/>
        <w:t>vue</w:t>
      </w:r>
      <w:r>
        <w:rPr>
          <w:spacing w:val="-14"/>
        </w:rPr>
        <w:t> </w:t>
      </w:r>
      <w:r>
        <w:rPr/>
        <w:t>de</w:t>
      </w:r>
      <w:r>
        <w:rPr>
          <w:spacing w:val="-14"/>
        </w:rPr>
        <w:t> </w:t>
      </w:r>
      <w:r>
        <w:rPr/>
        <w:t>l’animal).</w:t>
      </w:r>
      <w:r>
        <w:rPr>
          <w:spacing w:val="-11"/>
        </w:rPr>
        <w:t> </w:t>
      </w:r>
      <w:r>
        <w:rPr/>
        <w:t>Le</w:t>
      </w:r>
      <w:r>
        <w:rPr>
          <w:spacing w:val="-12"/>
        </w:rPr>
        <w:t> </w:t>
      </w:r>
      <w:r>
        <w:rPr/>
        <w:t>symbole</w:t>
      </w:r>
      <w:r>
        <w:rPr>
          <w:spacing w:val="-9"/>
        </w:rPr>
        <w:t> </w:t>
      </w:r>
      <w:r>
        <w:rPr/>
        <w:t>«</w:t>
      </w:r>
      <w:r>
        <w:rPr>
          <w:spacing w:val="-5"/>
        </w:rPr>
        <w:t> </w:t>
      </w:r>
      <w:r>
        <w:rPr/>
        <w:t>&gt;</w:t>
      </w:r>
      <w:r>
        <w:rPr>
          <w:spacing w:val="1"/>
        </w:rPr>
        <w:t> </w:t>
      </w:r>
      <w:r>
        <w:rPr/>
        <w:t>»</w:t>
      </w:r>
      <w:r>
        <w:rPr>
          <w:spacing w:val="-18"/>
        </w:rPr>
        <w:t> </w:t>
      </w:r>
      <w:r>
        <w:rPr/>
        <w:t>est</w:t>
      </w:r>
      <w:r>
        <w:rPr>
          <w:spacing w:val="-13"/>
        </w:rPr>
        <w:t> </w:t>
      </w:r>
      <w:r>
        <w:rPr/>
        <w:t>utilisé si l’animal est toujours vivant. </w:t>
      </w:r>
      <w:r>
        <w:rPr>
          <w:spacing w:val="12"/>
        </w:rPr>
        <w:t> </w:t>
      </w:r>
      <w:r>
        <w:rPr>
          <w:spacing w:val="-3"/>
        </w:rPr>
        <w:t>Le </w:t>
      </w:r>
      <w:r>
        <w:rPr/>
        <w:t>traitement instauré est décliné dans les différentes colonnes</w:t>
      </w:r>
    </w:p>
    <w:p>
      <w:pPr>
        <w:pStyle w:val="BodyText"/>
        <w:spacing w:line="259" w:lineRule="auto"/>
        <w:ind w:left="116" w:right="115"/>
        <w:jc w:val="both"/>
      </w:pPr>
      <w:r>
        <w:rPr/>
        <w:t>« chimiothérapie » pour la chimiothérapie MTD ou métronomique, « métabolique» pour les molécules ciblant le métabolisme utilisées, et « AI » pour l’emploi d’anti-inflammatoires. La chronologie</w:t>
      </w:r>
      <w:r>
        <w:rPr>
          <w:spacing w:val="-7"/>
        </w:rPr>
        <w:t> </w:t>
      </w:r>
      <w:r>
        <w:rPr/>
        <w:t>de</w:t>
      </w:r>
      <w:r>
        <w:rPr>
          <w:spacing w:val="-5"/>
        </w:rPr>
        <w:t> </w:t>
      </w:r>
      <w:r>
        <w:rPr/>
        <w:t>l’instauration</w:t>
      </w:r>
      <w:r>
        <w:rPr>
          <w:spacing w:val="-6"/>
        </w:rPr>
        <w:t> </w:t>
      </w:r>
      <w:r>
        <w:rPr/>
        <w:t>de</w:t>
      </w:r>
      <w:r>
        <w:rPr>
          <w:spacing w:val="-7"/>
        </w:rPr>
        <w:t> </w:t>
      </w:r>
      <w:r>
        <w:rPr/>
        <w:t>la</w:t>
      </w:r>
      <w:r>
        <w:rPr>
          <w:spacing w:val="-5"/>
        </w:rPr>
        <w:t> </w:t>
      </w:r>
      <w:r>
        <w:rPr/>
        <w:t>TM</w:t>
      </w:r>
      <w:r>
        <w:rPr>
          <w:spacing w:val="-6"/>
        </w:rPr>
        <w:t> </w:t>
      </w:r>
      <w:r>
        <w:rPr/>
        <w:t>par</w:t>
      </w:r>
      <w:r>
        <w:rPr>
          <w:spacing w:val="-5"/>
        </w:rPr>
        <w:t> </w:t>
      </w:r>
      <w:r>
        <w:rPr/>
        <w:t>rapport</w:t>
      </w:r>
      <w:r>
        <w:rPr>
          <w:spacing w:val="-4"/>
        </w:rPr>
        <w:t> </w:t>
      </w:r>
      <w:r>
        <w:rPr/>
        <w:t>aux</w:t>
      </w:r>
      <w:r>
        <w:rPr>
          <w:spacing w:val="-4"/>
        </w:rPr>
        <w:t> </w:t>
      </w:r>
      <w:r>
        <w:rPr/>
        <w:t>thérapies</w:t>
      </w:r>
      <w:r>
        <w:rPr>
          <w:spacing w:val="-4"/>
        </w:rPr>
        <w:t> </w:t>
      </w:r>
      <w:r>
        <w:rPr/>
        <w:t>antérieures</w:t>
      </w:r>
      <w:r>
        <w:rPr>
          <w:spacing w:val="-4"/>
        </w:rPr>
        <w:t> </w:t>
      </w:r>
      <w:r>
        <w:rPr/>
        <w:t>et</w:t>
      </w:r>
      <w:r>
        <w:rPr>
          <w:spacing w:val="-6"/>
        </w:rPr>
        <w:t> </w:t>
      </w:r>
      <w:r>
        <w:rPr/>
        <w:t>à</w:t>
      </w:r>
      <w:r>
        <w:rPr>
          <w:spacing w:val="-7"/>
        </w:rPr>
        <w:t> </w:t>
      </w:r>
      <w:r>
        <w:rPr/>
        <w:t>une</w:t>
      </w:r>
      <w:r>
        <w:rPr>
          <w:spacing w:val="-7"/>
        </w:rPr>
        <w:t> </w:t>
      </w:r>
      <w:r>
        <w:rPr/>
        <w:t>éventuelle rémission est précisée, dans la mesure du possible, dans la première colonne. Les doses non indiquées ne sont pas</w:t>
      </w:r>
      <w:r>
        <w:rPr>
          <w:spacing w:val="-4"/>
        </w:rPr>
        <w:t> </w:t>
      </w:r>
      <w:r>
        <w:rPr/>
        <w:t>connues.</w:t>
      </w:r>
    </w:p>
    <w:p>
      <w:pPr>
        <w:pStyle w:val="BodyText"/>
        <w:rPr>
          <w:sz w:val="26"/>
        </w:rPr>
      </w:pPr>
    </w:p>
    <w:p>
      <w:pPr>
        <w:pStyle w:val="BodyText"/>
        <w:spacing w:before="5"/>
        <w:rPr>
          <w:sz w:val="28"/>
        </w:rPr>
      </w:pPr>
    </w:p>
    <w:p>
      <w:pPr>
        <w:pStyle w:val="Heading5"/>
        <w:numPr>
          <w:ilvl w:val="1"/>
          <w:numId w:val="27"/>
        </w:numPr>
        <w:tabs>
          <w:tab w:pos="2252" w:val="left" w:leader="none"/>
          <w:tab w:pos="2253" w:val="left" w:leader="none"/>
        </w:tabs>
        <w:spacing w:line="240" w:lineRule="auto" w:before="0" w:after="0"/>
        <w:ind w:left="2252" w:right="0" w:hanging="720"/>
        <w:jc w:val="left"/>
        <w:rPr>
          <w:i/>
        </w:rPr>
      </w:pPr>
      <w:bookmarkStart w:name="_bookmark166" w:id="283"/>
      <w:bookmarkEnd w:id="283"/>
      <w:r>
        <w:rPr>
          <w:b w:val="0"/>
          <w:i w:val="0"/>
        </w:rPr>
      </w:r>
      <w:bookmarkStart w:name="_bookmark166" w:id="284"/>
      <w:bookmarkEnd w:id="284"/>
      <w:r>
        <w:rPr>
          <w:i/>
        </w:rPr>
        <w:t>Su</w:t>
      </w:r>
      <w:r>
        <w:rPr>
          <w:i/>
        </w:rPr>
        <w:t>ivi</w:t>
      </w:r>
      <w:r>
        <w:rPr>
          <w:i/>
          <w:spacing w:val="-4"/>
        </w:rPr>
        <w:t> </w:t>
      </w:r>
      <w:r>
        <w:rPr>
          <w:i/>
        </w:rPr>
        <w:t>clinique</w:t>
      </w:r>
    </w:p>
    <w:p>
      <w:pPr>
        <w:pStyle w:val="BodyText"/>
        <w:rPr>
          <w:b/>
          <w:i/>
          <w:sz w:val="26"/>
        </w:rPr>
      </w:pPr>
    </w:p>
    <w:p>
      <w:pPr>
        <w:pStyle w:val="BodyText"/>
        <w:spacing w:line="259" w:lineRule="auto" w:before="175"/>
        <w:ind w:left="116" w:right="112" w:firstLine="707"/>
        <w:jc w:val="both"/>
      </w:pPr>
      <w:r>
        <w:rPr/>
        <w:t>Dans la majorité des cas, les animaux présentaient un examen clinique complet sans anomalies, excepté le développement d’un syndrome de Claude Bernard Horner et une dégradation</w:t>
      </w:r>
      <w:r>
        <w:rPr>
          <w:spacing w:val="-5"/>
        </w:rPr>
        <w:t> </w:t>
      </w:r>
      <w:r>
        <w:rPr/>
        <w:t>de</w:t>
      </w:r>
      <w:r>
        <w:rPr>
          <w:spacing w:val="-6"/>
        </w:rPr>
        <w:t> </w:t>
      </w:r>
      <w:r>
        <w:rPr/>
        <w:t>l’état</w:t>
      </w:r>
      <w:r>
        <w:rPr>
          <w:spacing w:val="-2"/>
        </w:rPr>
        <w:t> </w:t>
      </w:r>
      <w:r>
        <w:rPr/>
        <w:t>général</w:t>
      </w:r>
      <w:r>
        <w:rPr>
          <w:spacing w:val="-4"/>
        </w:rPr>
        <w:t> </w:t>
      </w:r>
      <w:r>
        <w:rPr/>
        <w:t>pour</w:t>
      </w:r>
      <w:r>
        <w:rPr>
          <w:spacing w:val="-6"/>
        </w:rPr>
        <w:t> </w:t>
      </w:r>
      <w:r>
        <w:rPr/>
        <w:t>le</w:t>
      </w:r>
      <w:r>
        <w:rPr>
          <w:spacing w:val="-5"/>
        </w:rPr>
        <w:t> </w:t>
      </w:r>
      <w:r>
        <w:rPr/>
        <w:t>CT</w:t>
      </w:r>
      <w:r>
        <w:rPr>
          <w:spacing w:val="-4"/>
        </w:rPr>
        <w:t> </w:t>
      </w:r>
      <w:r>
        <w:rPr/>
        <w:t>3,</w:t>
      </w:r>
      <w:r>
        <w:rPr>
          <w:spacing w:val="-5"/>
        </w:rPr>
        <w:t> </w:t>
      </w:r>
      <w:r>
        <w:rPr/>
        <w:t>5</w:t>
      </w:r>
      <w:r>
        <w:rPr>
          <w:spacing w:val="-5"/>
        </w:rPr>
        <w:t> </w:t>
      </w:r>
      <w:r>
        <w:rPr/>
        <w:t>semaines</w:t>
      </w:r>
      <w:r>
        <w:rPr>
          <w:spacing w:val="-5"/>
        </w:rPr>
        <w:t> </w:t>
      </w:r>
      <w:r>
        <w:rPr/>
        <w:t>après</w:t>
      </w:r>
      <w:r>
        <w:rPr>
          <w:spacing w:val="-5"/>
        </w:rPr>
        <w:t> </w:t>
      </w:r>
      <w:r>
        <w:rPr/>
        <w:t>la</w:t>
      </w:r>
      <w:r>
        <w:rPr>
          <w:spacing w:val="-5"/>
        </w:rPr>
        <w:t> </w:t>
      </w:r>
      <w:r>
        <w:rPr/>
        <w:t>mise</w:t>
      </w:r>
      <w:r>
        <w:rPr>
          <w:spacing w:val="-6"/>
        </w:rPr>
        <w:t> </w:t>
      </w:r>
      <w:r>
        <w:rPr/>
        <w:t>en</w:t>
      </w:r>
      <w:r>
        <w:rPr>
          <w:spacing w:val="-4"/>
        </w:rPr>
        <w:t> </w:t>
      </w:r>
      <w:r>
        <w:rPr/>
        <w:t>place</w:t>
      </w:r>
      <w:r>
        <w:rPr>
          <w:spacing w:val="-6"/>
        </w:rPr>
        <w:t> </w:t>
      </w:r>
      <w:r>
        <w:rPr/>
        <w:t>de</w:t>
      </w:r>
      <w:r>
        <w:rPr>
          <w:spacing w:val="-6"/>
        </w:rPr>
        <w:t> </w:t>
      </w:r>
      <w:r>
        <w:rPr/>
        <w:t>la</w:t>
      </w:r>
      <w:r>
        <w:rPr>
          <w:spacing w:val="-5"/>
        </w:rPr>
        <w:t> </w:t>
      </w:r>
      <w:r>
        <w:rPr/>
        <w:t>TM.</w:t>
      </w:r>
      <w:r>
        <w:rPr>
          <w:spacing w:val="-5"/>
        </w:rPr>
        <w:t> </w:t>
      </w:r>
      <w:r>
        <w:rPr/>
        <w:t>Un</w:t>
      </w:r>
      <w:r>
        <w:rPr>
          <w:spacing w:val="-5"/>
        </w:rPr>
        <w:t> </w:t>
      </w:r>
      <w:r>
        <w:rPr/>
        <w:t>bon état général est traduit par « BEG » dans le tableau</w:t>
      </w:r>
      <w:r>
        <w:rPr>
          <w:spacing w:val="-7"/>
        </w:rPr>
        <w:t> </w:t>
      </w:r>
      <w:r>
        <w:rPr/>
        <w:t>7.</w:t>
      </w:r>
    </w:p>
    <w:p>
      <w:pPr>
        <w:pStyle w:val="BodyText"/>
        <w:spacing w:line="256" w:lineRule="auto" w:before="163"/>
        <w:ind w:left="116" w:right="121" w:firstLine="707"/>
        <w:jc w:val="both"/>
      </w:pPr>
      <w:r>
        <w:rPr/>
        <w:t>Cliniquement, l’évolution tumorale a été suivie par mesure de la tumeur lorsque cela était possible, par exemple par palpation des nœuds lymphatiques dans les cas de lymphome. Les résultats disponibles sont retrouvés dans le tableau 7.</w:t>
      </w:r>
    </w:p>
    <w:p>
      <w:pPr>
        <w:pStyle w:val="BodyText"/>
        <w:rPr>
          <w:sz w:val="26"/>
        </w:rPr>
      </w:pPr>
    </w:p>
    <w:p>
      <w:pPr>
        <w:pStyle w:val="BodyText"/>
        <w:spacing w:before="5"/>
        <w:rPr>
          <w:sz w:val="28"/>
        </w:rPr>
      </w:pPr>
    </w:p>
    <w:p>
      <w:pPr>
        <w:pStyle w:val="Heading5"/>
        <w:numPr>
          <w:ilvl w:val="1"/>
          <w:numId w:val="27"/>
        </w:numPr>
        <w:tabs>
          <w:tab w:pos="2252" w:val="left" w:leader="none"/>
          <w:tab w:pos="2253" w:val="left" w:leader="none"/>
        </w:tabs>
        <w:spacing w:line="240" w:lineRule="auto" w:before="0" w:after="0"/>
        <w:ind w:left="2252" w:right="0" w:hanging="720"/>
        <w:jc w:val="left"/>
        <w:rPr>
          <w:i/>
        </w:rPr>
      </w:pPr>
      <w:bookmarkStart w:name="_bookmark167" w:id="285"/>
      <w:bookmarkEnd w:id="285"/>
      <w:r>
        <w:rPr>
          <w:b w:val="0"/>
          <w:i w:val="0"/>
        </w:rPr>
      </w:r>
      <w:bookmarkStart w:name="_bookmark167" w:id="286"/>
      <w:bookmarkEnd w:id="286"/>
      <w:r>
        <w:rPr>
          <w:i/>
        </w:rPr>
        <w:t>Obs</w:t>
      </w:r>
      <w:r>
        <w:rPr>
          <w:i/>
        </w:rPr>
        <w:t>ervation des effets</w:t>
      </w:r>
      <w:r>
        <w:rPr>
          <w:i/>
          <w:spacing w:val="-5"/>
        </w:rPr>
        <w:t> </w:t>
      </w:r>
      <w:r>
        <w:rPr>
          <w:i/>
        </w:rPr>
        <w:t>secondaires</w:t>
      </w:r>
    </w:p>
    <w:p>
      <w:pPr>
        <w:pStyle w:val="BodyText"/>
        <w:rPr>
          <w:b/>
          <w:i/>
          <w:sz w:val="26"/>
        </w:rPr>
      </w:pPr>
    </w:p>
    <w:p>
      <w:pPr>
        <w:pStyle w:val="BodyText"/>
        <w:spacing w:line="259" w:lineRule="auto" w:before="175"/>
        <w:ind w:left="116" w:right="112" w:firstLine="707"/>
        <w:jc w:val="both"/>
      </w:pPr>
      <w:r>
        <w:rPr/>
        <w:t>De manière générale, le vétérinaire rapporte une très bonne tolérance de la TM chez</w:t>
      </w:r>
      <w:r>
        <w:rPr>
          <w:spacing w:val="-38"/>
        </w:rPr>
        <w:t> </w:t>
      </w:r>
      <w:r>
        <w:rPr/>
        <w:t>les chats et les chiens. L’état général des animaux est diminué pour 2 animaux sur 18 (CT 3, CN 1). Le CN 1 a développé des épisodes d’ataxie et d’abattement 1 mois et demi après la mise</w:t>
      </w:r>
      <w:r>
        <w:rPr>
          <w:spacing w:val="-26"/>
        </w:rPr>
        <w:t> </w:t>
      </w:r>
      <w:r>
        <w:rPr/>
        <w:t>en place de la TM. Des effets secondaires gastro-intestinaux ont été relevés chez 6 animaux. Une hospitalisation d’une nuit a été nécessaire pour l’un d’entre eux (CN</w:t>
      </w:r>
      <w:r>
        <w:rPr>
          <w:spacing w:val="-15"/>
        </w:rPr>
        <w:t> </w:t>
      </w:r>
      <w:r>
        <w:rPr/>
        <w:t>10).</w:t>
      </w:r>
    </w:p>
    <w:p>
      <w:pPr>
        <w:pStyle w:val="BodyText"/>
        <w:rPr>
          <w:sz w:val="26"/>
        </w:rPr>
      </w:pPr>
    </w:p>
    <w:p>
      <w:pPr>
        <w:pStyle w:val="BodyText"/>
        <w:spacing w:before="2"/>
        <w:rPr>
          <w:sz w:val="28"/>
        </w:rPr>
      </w:pPr>
    </w:p>
    <w:p>
      <w:pPr>
        <w:pStyle w:val="Heading5"/>
        <w:numPr>
          <w:ilvl w:val="1"/>
          <w:numId w:val="27"/>
        </w:numPr>
        <w:tabs>
          <w:tab w:pos="2252" w:val="left" w:leader="none"/>
          <w:tab w:pos="2253" w:val="left" w:leader="none"/>
        </w:tabs>
        <w:spacing w:line="240" w:lineRule="auto" w:before="1" w:after="0"/>
        <w:ind w:left="2252" w:right="0" w:hanging="720"/>
        <w:jc w:val="left"/>
        <w:rPr>
          <w:i/>
        </w:rPr>
      </w:pPr>
      <w:bookmarkStart w:name="_bookmark168" w:id="287"/>
      <w:bookmarkEnd w:id="287"/>
      <w:r>
        <w:rPr>
          <w:b w:val="0"/>
          <w:i w:val="0"/>
        </w:rPr>
      </w:r>
      <w:bookmarkStart w:name="_bookmark168" w:id="288"/>
      <w:bookmarkEnd w:id="288"/>
      <w:r>
        <w:rPr>
          <w:i/>
        </w:rPr>
        <w:t>P</w:t>
      </w:r>
      <w:r>
        <w:rPr>
          <w:i/>
        </w:rPr>
        <w:t>erception des</w:t>
      </w:r>
      <w:r>
        <w:rPr>
          <w:i/>
          <w:spacing w:val="-7"/>
        </w:rPr>
        <w:t> </w:t>
      </w:r>
      <w:r>
        <w:rPr>
          <w:i/>
        </w:rPr>
        <w:t>propriétaires</w:t>
      </w:r>
    </w:p>
    <w:p>
      <w:pPr>
        <w:pStyle w:val="BodyText"/>
        <w:rPr>
          <w:b/>
          <w:i/>
          <w:sz w:val="26"/>
        </w:rPr>
      </w:pPr>
    </w:p>
    <w:p>
      <w:pPr>
        <w:pStyle w:val="BodyText"/>
        <w:spacing w:line="259" w:lineRule="auto" w:before="176"/>
        <w:ind w:left="836" w:right="117" w:hanging="360"/>
        <w:jc w:val="both"/>
      </w:pPr>
      <w:r>
        <w:rPr/>
        <w:t>- </w:t>
      </w:r>
      <w:r>
        <w:rPr>
          <w:b/>
          <w:u w:val="thick"/>
        </w:rPr>
        <w:t>Confort de vie à la maison</w:t>
      </w:r>
      <w:r>
        <w:rPr>
          <w:b/>
        </w:rPr>
        <w:t> </w:t>
      </w:r>
      <w:r>
        <w:rPr/>
        <w:t>: Concernant les chats, des informations sont disponibles pour 3 chats sur les 4. Ces 3 animaux présentent un bon état général et un bon confort de</w:t>
      </w:r>
      <w:r>
        <w:rPr>
          <w:spacing w:val="-7"/>
        </w:rPr>
        <w:t> </w:t>
      </w:r>
      <w:r>
        <w:rPr/>
        <w:t>vie</w:t>
      </w:r>
      <w:r>
        <w:rPr>
          <w:spacing w:val="-7"/>
        </w:rPr>
        <w:t> </w:t>
      </w:r>
      <w:r>
        <w:rPr/>
        <w:t>à</w:t>
      </w:r>
      <w:r>
        <w:rPr>
          <w:spacing w:val="-7"/>
        </w:rPr>
        <w:t> </w:t>
      </w:r>
      <w:r>
        <w:rPr/>
        <w:t>la</w:t>
      </w:r>
      <w:r>
        <w:rPr>
          <w:spacing w:val="-7"/>
        </w:rPr>
        <w:t> </w:t>
      </w:r>
      <w:r>
        <w:rPr/>
        <w:t>maison.</w:t>
      </w:r>
      <w:r>
        <w:rPr>
          <w:spacing w:val="-6"/>
        </w:rPr>
        <w:t> </w:t>
      </w:r>
      <w:r>
        <w:rPr/>
        <w:t>Concernant</w:t>
      </w:r>
      <w:r>
        <w:rPr>
          <w:spacing w:val="-6"/>
        </w:rPr>
        <w:t> </w:t>
      </w:r>
      <w:r>
        <w:rPr/>
        <w:t>les</w:t>
      </w:r>
      <w:r>
        <w:rPr>
          <w:spacing w:val="-6"/>
        </w:rPr>
        <w:t> </w:t>
      </w:r>
      <w:r>
        <w:rPr/>
        <w:t>chiens,</w:t>
      </w:r>
      <w:r>
        <w:rPr>
          <w:spacing w:val="-7"/>
        </w:rPr>
        <w:t> </w:t>
      </w:r>
      <w:r>
        <w:rPr/>
        <w:t>des</w:t>
      </w:r>
      <w:r>
        <w:rPr>
          <w:spacing w:val="-6"/>
        </w:rPr>
        <w:t> </w:t>
      </w:r>
      <w:r>
        <w:rPr/>
        <w:t>informations</w:t>
      </w:r>
      <w:r>
        <w:rPr>
          <w:spacing w:val="-6"/>
        </w:rPr>
        <w:t> </w:t>
      </w:r>
      <w:r>
        <w:rPr/>
        <w:t>sont</w:t>
      </w:r>
      <w:r>
        <w:rPr>
          <w:spacing w:val="-6"/>
        </w:rPr>
        <w:t> </w:t>
      </w:r>
      <w:r>
        <w:rPr/>
        <w:t>disponibles</w:t>
      </w:r>
      <w:r>
        <w:rPr>
          <w:spacing w:val="-9"/>
        </w:rPr>
        <w:t> </w:t>
      </w:r>
      <w:r>
        <w:rPr/>
        <w:t>pour</w:t>
      </w:r>
      <w:r>
        <w:rPr>
          <w:spacing w:val="-7"/>
        </w:rPr>
        <w:t> </w:t>
      </w:r>
      <w:r>
        <w:rPr/>
        <w:t>les</w:t>
      </w:r>
      <w:r>
        <w:rPr>
          <w:spacing w:val="-6"/>
        </w:rPr>
        <w:t> </w:t>
      </w:r>
      <w:r>
        <w:rPr/>
        <w:t>14 animaux étudiés. 11/14 présentent un bon état général et un bon confort de vie à la maison.</w:t>
      </w:r>
    </w:p>
    <w:p>
      <w:pPr>
        <w:pStyle w:val="BodyText"/>
        <w:spacing w:line="261" w:lineRule="auto"/>
        <w:ind w:left="836" w:right="118" w:hanging="360"/>
        <w:jc w:val="both"/>
      </w:pPr>
      <w:r>
        <w:rPr/>
        <w:t>- </w:t>
      </w:r>
      <w:r>
        <w:rPr>
          <w:b/>
          <w:u w:val="thick"/>
        </w:rPr>
        <w:t>Effets indésirables</w:t>
      </w:r>
      <w:r>
        <w:rPr>
          <w:b/>
        </w:rPr>
        <w:t> : </w:t>
      </w:r>
      <w:r>
        <w:rPr/>
        <w:t>Concernant les chats, des épisodes de diarrhées, vomissement et dysorexie</w:t>
      </w:r>
      <w:r>
        <w:rPr>
          <w:spacing w:val="-10"/>
        </w:rPr>
        <w:t> </w:t>
      </w:r>
      <w:r>
        <w:rPr/>
        <w:t>sont</w:t>
      </w:r>
      <w:r>
        <w:rPr>
          <w:spacing w:val="-9"/>
        </w:rPr>
        <w:t> </w:t>
      </w:r>
      <w:r>
        <w:rPr/>
        <w:t>rapportés</w:t>
      </w:r>
      <w:r>
        <w:rPr>
          <w:spacing w:val="-12"/>
        </w:rPr>
        <w:t> </w:t>
      </w:r>
      <w:r>
        <w:rPr/>
        <w:t>pour</w:t>
      </w:r>
      <w:r>
        <w:rPr>
          <w:spacing w:val="-10"/>
        </w:rPr>
        <w:t> </w:t>
      </w:r>
      <w:r>
        <w:rPr/>
        <w:t>le</w:t>
      </w:r>
      <w:r>
        <w:rPr>
          <w:spacing w:val="-10"/>
        </w:rPr>
        <w:t> </w:t>
      </w:r>
      <w:r>
        <w:rPr/>
        <w:t>CT</w:t>
      </w:r>
      <w:r>
        <w:rPr>
          <w:spacing w:val="-10"/>
        </w:rPr>
        <w:t> </w:t>
      </w:r>
      <w:r>
        <w:rPr/>
        <w:t>2.</w:t>
      </w:r>
      <w:r>
        <w:rPr>
          <w:spacing w:val="-12"/>
        </w:rPr>
        <w:t> </w:t>
      </w:r>
      <w:r>
        <w:rPr/>
        <w:t>Concernant</w:t>
      </w:r>
      <w:r>
        <w:rPr>
          <w:spacing w:val="-7"/>
        </w:rPr>
        <w:t> </w:t>
      </w:r>
      <w:r>
        <w:rPr/>
        <w:t>les</w:t>
      </w:r>
      <w:r>
        <w:rPr>
          <w:spacing w:val="-10"/>
        </w:rPr>
        <w:t> </w:t>
      </w:r>
      <w:r>
        <w:rPr/>
        <w:t>chiens,</w:t>
      </w:r>
      <w:r>
        <w:rPr>
          <w:spacing w:val="-10"/>
        </w:rPr>
        <w:t> </w:t>
      </w:r>
      <w:r>
        <w:rPr/>
        <w:t>des</w:t>
      </w:r>
      <w:r>
        <w:rPr>
          <w:spacing w:val="-9"/>
        </w:rPr>
        <w:t> </w:t>
      </w:r>
      <w:r>
        <w:rPr/>
        <w:t>épisodes</w:t>
      </w:r>
      <w:r>
        <w:rPr>
          <w:spacing w:val="-12"/>
        </w:rPr>
        <w:t> </w:t>
      </w:r>
      <w:r>
        <w:rPr/>
        <w:t>de</w:t>
      </w:r>
      <w:r>
        <w:rPr>
          <w:spacing w:val="-11"/>
        </w:rPr>
        <w:t> </w:t>
      </w:r>
      <w:r>
        <w:rPr/>
        <w:t>dysorexie</w:t>
      </w:r>
    </w:p>
    <w:p>
      <w:pPr>
        <w:spacing w:after="0" w:line="261" w:lineRule="auto"/>
        <w:jc w:val="both"/>
        <w:sectPr>
          <w:pgSz w:w="11910" w:h="16840"/>
          <w:pgMar w:header="0" w:footer="1055" w:top="1320" w:bottom="1240" w:left="1300" w:right="1300"/>
        </w:sectPr>
      </w:pPr>
    </w:p>
    <w:p>
      <w:pPr>
        <w:pStyle w:val="BodyText"/>
        <w:spacing w:line="261" w:lineRule="auto" w:before="72"/>
        <w:ind w:left="836"/>
      </w:pPr>
      <w:r>
        <w:rPr/>
        <w:t>et vomissements sont présents pour 4 chiens, des épisodes de diarrhées chez 2 chiens. 2 animaux apparaissent abattus (dont 1 uniquement par épisodes).</w:t>
      </w:r>
    </w:p>
    <w:p>
      <w:pPr>
        <w:pStyle w:val="BodyText"/>
        <w:spacing w:line="259" w:lineRule="auto"/>
        <w:ind w:left="836" w:right="118" w:hanging="360"/>
        <w:jc w:val="both"/>
      </w:pPr>
      <w:r>
        <w:rPr/>
        <w:t>- </w:t>
      </w:r>
      <w:r>
        <w:rPr>
          <w:b/>
          <w:u w:val="thick"/>
        </w:rPr>
        <w:t>Satisfaction des propriétaires</w:t>
      </w:r>
      <w:r>
        <w:rPr>
          <w:b/>
        </w:rPr>
        <w:t> </w:t>
      </w:r>
      <w:r>
        <w:rPr/>
        <w:t>: Ils sont satisfaits du traitement mis en place et rapportent une bonne tolérance au traitement. Aucune plainte ou insatisfaction n’a été rapportée.</w:t>
      </w:r>
    </w:p>
    <w:p>
      <w:pPr>
        <w:pStyle w:val="BodyText"/>
        <w:rPr>
          <w:sz w:val="26"/>
        </w:rPr>
      </w:pPr>
    </w:p>
    <w:p>
      <w:pPr>
        <w:pStyle w:val="Heading5"/>
        <w:numPr>
          <w:ilvl w:val="1"/>
          <w:numId w:val="27"/>
        </w:numPr>
        <w:tabs>
          <w:tab w:pos="2252" w:val="left" w:leader="none"/>
          <w:tab w:pos="2253" w:val="left" w:leader="none"/>
        </w:tabs>
        <w:spacing w:line="240" w:lineRule="auto" w:before="167" w:after="0"/>
        <w:ind w:left="2252" w:right="0" w:hanging="720"/>
        <w:jc w:val="left"/>
        <w:rPr>
          <w:i/>
        </w:rPr>
      </w:pPr>
      <w:bookmarkStart w:name="_bookmark169" w:id="289"/>
      <w:bookmarkEnd w:id="289"/>
      <w:r>
        <w:rPr>
          <w:b w:val="0"/>
          <w:i w:val="0"/>
        </w:rPr>
      </w:r>
      <w:bookmarkStart w:name="_bookmark169" w:id="290"/>
      <w:bookmarkEnd w:id="290"/>
      <w:r>
        <w:rPr>
          <w:i/>
        </w:rPr>
        <w:t>S</w:t>
      </w:r>
      <w:r>
        <w:rPr>
          <w:i/>
        </w:rPr>
        <w:t>ynthèse</w:t>
      </w:r>
    </w:p>
    <w:p>
      <w:pPr>
        <w:pStyle w:val="BodyText"/>
        <w:rPr>
          <w:b/>
          <w:i/>
          <w:sz w:val="26"/>
        </w:rPr>
      </w:pPr>
    </w:p>
    <w:p>
      <w:pPr>
        <w:pStyle w:val="BodyText"/>
        <w:spacing w:line="259" w:lineRule="auto" w:before="176"/>
        <w:ind w:left="116" w:right="114" w:firstLine="707"/>
        <w:jc w:val="both"/>
      </w:pPr>
      <w:r>
        <w:rPr/>
        <w:t>La comparaison des différents animaux permet de conclure que les animaux présentent globalement une bonne tolérance au traitement, avec un bon confort de vie. Les propriétaires sont satisfaits. Les effets secondaires principaux sont d’ordre gastro-intestinal (diarrhée, vomissement, dysorexie) et surviennent dans un tiers des cas (6 animaux/18). Un traitement symptomatique</w:t>
      </w:r>
      <w:r>
        <w:rPr>
          <w:spacing w:val="-9"/>
        </w:rPr>
        <w:t> </w:t>
      </w:r>
      <w:r>
        <w:rPr/>
        <w:t>permet</w:t>
      </w:r>
      <w:r>
        <w:rPr>
          <w:spacing w:val="-8"/>
        </w:rPr>
        <w:t> </w:t>
      </w:r>
      <w:r>
        <w:rPr/>
        <w:t>de</w:t>
      </w:r>
      <w:r>
        <w:rPr>
          <w:spacing w:val="-10"/>
        </w:rPr>
        <w:t> </w:t>
      </w:r>
      <w:r>
        <w:rPr/>
        <w:t>limiter</w:t>
      </w:r>
      <w:r>
        <w:rPr>
          <w:spacing w:val="-10"/>
        </w:rPr>
        <w:t> </w:t>
      </w:r>
      <w:r>
        <w:rPr/>
        <w:t>diarrhées</w:t>
      </w:r>
      <w:r>
        <w:rPr>
          <w:spacing w:val="-6"/>
        </w:rPr>
        <w:t> </w:t>
      </w:r>
      <w:r>
        <w:rPr/>
        <w:t>et</w:t>
      </w:r>
      <w:r>
        <w:rPr>
          <w:spacing w:val="-8"/>
        </w:rPr>
        <w:t> </w:t>
      </w:r>
      <w:r>
        <w:rPr/>
        <w:t>vomissements.</w:t>
      </w:r>
      <w:r>
        <w:rPr>
          <w:spacing w:val="-6"/>
        </w:rPr>
        <w:t> </w:t>
      </w:r>
      <w:r>
        <w:rPr/>
        <w:t>Le</w:t>
      </w:r>
      <w:r>
        <w:rPr>
          <w:spacing w:val="-10"/>
        </w:rPr>
        <w:t> </w:t>
      </w:r>
      <w:r>
        <w:rPr/>
        <w:t>passage</w:t>
      </w:r>
      <w:r>
        <w:rPr>
          <w:spacing w:val="-7"/>
        </w:rPr>
        <w:t> </w:t>
      </w:r>
      <w:r>
        <w:rPr/>
        <w:t>à</w:t>
      </w:r>
      <w:r>
        <w:rPr>
          <w:spacing w:val="-10"/>
        </w:rPr>
        <w:t> </w:t>
      </w:r>
      <w:r>
        <w:rPr/>
        <w:t>une</w:t>
      </w:r>
      <w:r>
        <w:rPr>
          <w:spacing w:val="-10"/>
        </w:rPr>
        <w:t> </w:t>
      </w:r>
      <w:r>
        <w:rPr/>
        <w:t>ration</w:t>
      </w:r>
      <w:r>
        <w:rPr>
          <w:spacing w:val="-9"/>
        </w:rPr>
        <w:t> </w:t>
      </w:r>
      <w:r>
        <w:rPr/>
        <w:t>ménagère permet de stimuler l’appétit de</w:t>
      </w:r>
      <w:r>
        <w:rPr>
          <w:spacing w:val="-8"/>
        </w:rPr>
        <w:t> </w:t>
      </w:r>
      <w:r>
        <w:rPr/>
        <w:t>l’animal.</w:t>
      </w:r>
    </w:p>
    <w:p>
      <w:pPr>
        <w:spacing w:after="0" w:line="259" w:lineRule="auto"/>
        <w:jc w:val="both"/>
        <w:sectPr>
          <w:pgSz w:w="11910" w:h="16840"/>
          <w:pgMar w:header="0" w:footer="1055" w:top="1320" w:bottom="1240" w:left="1300" w:right="1300"/>
        </w:sectPr>
      </w:pPr>
    </w:p>
    <w:p>
      <w:pPr>
        <w:pStyle w:val="BodyText"/>
        <w:rPr>
          <w:sz w:val="22"/>
        </w:rPr>
      </w:pPr>
    </w:p>
    <w:p>
      <w:pPr>
        <w:spacing w:before="93"/>
        <w:ind w:left="398" w:right="0" w:firstLine="0"/>
        <w:jc w:val="left"/>
        <w:rPr>
          <w:i/>
          <w:sz w:val="18"/>
        </w:rPr>
      </w:pPr>
      <w:bookmarkStart w:name="_bookmark170" w:id="291"/>
      <w:bookmarkEnd w:id="291"/>
      <w:r>
        <w:rPr/>
      </w:r>
      <w:r>
        <w:rPr>
          <w:i/>
          <w:color w:val="44536A"/>
          <w:sz w:val="18"/>
        </w:rPr>
        <w:t>Tableau 7 : Traitements mis en place et suivi clinique</w:t>
      </w:r>
    </w:p>
    <w:p>
      <w:pPr>
        <w:spacing w:before="16"/>
        <w:ind w:left="398" w:right="0" w:firstLine="0"/>
        <w:jc w:val="left"/>
        <w:rPr>
          <w:i/>
          <w:sz w:val="20"/>
        </w:rPr>
      </w:pPr>
      <w:r>
        <w:rPr>
          <w:i/>
          <w:sz w:val="20"/>
        </w:rPr>
        <w:t>//TM : chimiothérapie réalisée le même jour que le début de la thérapie métabolique - Sx post TM : chimio réalisée x semaines après le début de la thérapie métabolique</w:t>
      </w:r>
    </w:p>
    <w:p>
      <w:pPr>
        <w:pStyle w:val="BodyText"/>
        <w:spacing w:before="11"/>
        <w:rPr>
          <w:i/>
          <w:sz w:val="15"/>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1702"/>
        <w:gridCol w:w="2269"/>
        <w:gridCol w:w="1985"/>
        <w:gridCol w:w="1395"/>
        <w:gridCol w:w="4277"/>
        <w:gridCol w:w="1558"/>
        <w:gridCol w:w="710"/>
        <w:gridCol w:w="708"/>
      </w:tblGrid>
      <w:tr>
        <w:trPr>
          <w:trHeight w:val="1000" w:hRule="atLeast"/>
        </w:trPr>
        <w:tc>
          <w:tcPr>
            <w:tcW w:w="425" w:type="dxa"/>
            <w:vMerge w:val="restart"/>
          </w:tcPr>
          <w:p>
            <w:pPr>
              <w:pStyle w:val="TableParagraph"/>
              <w:rPr>
                <w:sz w:val="20"/>
              </w:rPr>
            </w:pPr>
          </w:p>
        </w:tc>
        <w:tc>
          <w:tcPr>
            <w:tcW w:w="1702" w:type="dxa"/>
            <w:vMerge w:val="restart"/>
          </w:tcPr>
          <w:p>
            <w:pPr>
              <w:pStyle w:val="TableParagraph"/>
              <w:ind w:left="74" w:right="71"/>
              <w:jc w:val="center"/>
              <w:rPr>
                <w:b/>
                <w:i/>
                <w:sz w:val="22"/>
              </w:rPr>
            </w:pPr>
            <w:r>
              <w:rPr>
                <w:b/>
                <w:i/>
                <w:sz w:val="22"/>
              </w:rPr>
              <w:t>Instauration </w:t>
            </w:r>
            <w:r>
              <w:rPr>
                <w:b/>
                <w:i/>
                <w:sz w:val="22"/>
              </w:rPr>
              <w:t>thérapie métabolique (TM)</w:t>
            </w:r>
          </w:p>
        </w:tc>
        <w:tc>
          <w:tcPr>
            <w:tcW w:w="5648" w:type="dxa"/>
            <w:gridSpan w:val="3"/>
          </w:tcPr>
          <w:p>
            <w:pPr>
              <w:pStyle w:val="TableParagraph"/>
              <w:spacing w:before="8"/>
              <w:rPr>
                <w:i/>
                <w:sz w:val="21"/>
              </w:rPr>
            </w:pPr>
          </w:p>
          <w:p>
            <w:pPr>
              <w:pStyle w:val="TableParagraph"/>
              <w:spacing w:before="1"/>
              <w:ind w:left="1601"/>
              <w:rPr>
                <w:b/>
                <w:i/>
                <w:sz w:val="22"/>
              </w:rPr>
            </w:pPr>
            <w:r>
              <w:rPr>
                <w:b/>
                <w:i/>
                <w:sz w:val="22"/>
              </w:rPr>
              <w:t>Traitements en association</w:t>
            </w:r>
          </w:p>
        </w:tc>
        <w:tc>
          <w:tcPr>
            <w:tcW w:w="4277" w:type="dxa"/>
            <w:vMerge w:val="restart"/>
          </w:tcPr>
          <w:p>
            <w:pPr>
              <w:pStyle w:val="TableParagraph"/>
              <w:spacing w:before="8"/>
              <w:rPr>
                <w:i/>
                <w:sz w:val="21"/>
              </w:rPr>
            </w:pPr>
          </w:p>
          <w:p>
            <w:pPr>
              <w:pStyle w:val="TableParagraph"/>
              <w:spacing w:before="1"/>
              <w:ind w:left="717" w:right="250" w:hanging="454"/>
              <w:rPr>
                <w:b/>
                <w:i/>
                <w:sz w:val="22"/>
              </w:rPr>
            </w:pPr>
            <w:r>
              <w:rPr>
                <w:b/>
                <w:i/>
                <w:sz w:val="22"/>
              </w:rPr>
              <w:t>Évolution clinique, observation des effets </w:t>
            </w:r>
            <w:r>
              <w:rPr>
                <w:b/>
                <w:i/>
                <w:sz w:val="22"/>
              </w:rPr>
              <w:t>secondaires, imagerie médicale</w:t>
            </w:r>
          </w:p>
        </w:tc>
        <w:tc>
          <w:tcPr>
            <w:tcW w:w="1558" w:type="dxa"/>
            <w:vMerge w:val="restart"/>
          </w:tcPr>
          <w:p>
            <w:pPr>
              <w:pStyle w:val="TableParagraph"/>
              <w:spacing w:before="8"/>
              <w:rPr>
                <w:i/>
                <w:sz w:val="21"/>
              </w:rPr>
            </w:pPr>
          </w:p>
          <w:p>
            <w:pPr>
              <w:pStyle w:val="TableParagraph"/>
              <w:spacing w:before="1"/>
              <w:ind w:left="232" w:right="127" w:hanging="96"/>
              <w:rPr>
                <w:b/>
                <w:i/>
                <w:sz w:val="22"/>
              </w:rPr>
            </w:pPr>
            <w:r>
              <w:rPr>
                <w:b/>
                <w:i/>
                <w:sz w:val="22"/>
              </w:rPr>
              <w:t>Perception du </w:t>
            </w:r>
            <w:r>
              <w:rPr>
                <w:b/>
                <w:i/>
                <w:sz w:val="22"/>
              </w:rPr>
              <w:t>propriétaire</w:t>
            </w:r>
          </w:p>
        </w:tc>
        <w:tc>
          <w:tcPr>
            <w:tcW w:w="1418" w:type="dxa"/>
            <w:gridSpan w:val="2"/>
          </w:tcPr>
          <w:p>
            <w:pPr>
              <w:pStyle w:val="TableParagraph"/>
              <w:ind w:left="213" w:right="215" w:hanging="2"/>
              <w:jc w:val="center"/>
              <w:rPr>
                <w:b/>
                <w:i/>
                <w:sz w:val="22"/>
              </w:rPr>
            </w:pPr>
            <w:r>
              <w:rPr>
                <w:b/>
                <w:i/>
                <w:sz w:val="22"/>
              </w:rPr>
              <w:t>Survie </w:t>
            </w:r>
            <w:r>
              <w:rPr>
                <w:b/>
                <w:i/>
                <w:sz w:val="22"/>
              </w:rPr>
              <w:t>globale (semaines)</w:t>
            </w:r>
          </w:p>
        </w:tc>
      </w:tr>
      <w:tr>
        <w:trPr>
          <w:trHeight w:val="480" w:hRule="atLeast"/>
        </w:trPr>
        <w:tc>
          <w:tcPr>
            <w:tcW w:w="425" w:type="dxa"/>
            <w:vMerge/>
            <w:tcBorders>
              <w:top w:val="nil"/>
            </w:tcBorders>
          </w:tcPr>
          <w:p>
            <w:pPr>
              <w:rPr>
                <w:sz w:val="2"/>
                <w:szCs w:val="2"/>
              </w:rPr>
            </w:pPr>
          </w:p>
        </w:tc>
        <w:tc>
          <w:tcPr>
            <w:tcW w:w="1702" w:type="dxa"/>
            <w:vMerge/>
            <w:tcBorders>
              <w:top w:val="nil"/>
            </w:tcBorders>
          </w:tcPr>
          <w:p>
            <w:pPr>
              <w:rPr>
                <w:sz w:val="2"/>
                <w:szCs w:val="2"/>
              </w:rPr>
            </w:pPr>
          </w:p>
        </w:tc>
        <w:tc>
          <w:tcPr>
            <w:tcW w:w="2269" w:type="dxa"/>
          </w:tcPr>
          <w:p>
            <w:pPr>
              <w:pStyle w:val="TableParagraph"/>
              <w:spacing w:before="1"/>
              <w:ind w:left="167" w:right="168"/>
              <w:jc w:val="center"/>
              <w:rPr>
                <w:b/>
                <w:i/>
                <w:sz w:val="22"/>
              </w:rPr>
            </w:pPr>
            <w:r>
              <w:rPr>
                <w:b/>
                <w:i/>
                <w:sz w:val="22"/>
              </w:rPr>
              <w:t>Métabolique</w:t>
            </w:r>
          </w:p>
        </w:tc>
        <w:tc>
          <w:tcPr>
            <w:tcW w:w="1985" w:type="dxa"/>
          </w:tcPr>
          <w:p>
            <w:pPr>
              <w:pStyle w:val="TableParagraph"/>
              <w:spacing w:before="1"/>
              <w:ind w:left="75" w:right="75"/>
              <w:jc w:val="center"/>
              <w:rPr>
                <w:b/>
                <w:i/>
                <w:sz w:val="22"/>
              </w:rPr>
            </w:pPr>
            <w:r>
              <w:rPr>
                <w:b/>
                <w:i/>
                <w:sz w:val="22"/>
              </w:rPr>
              <w:t>Chimiothérapie</w:t>
            </w:r>
          </w:p>
        </w:tc>
        <w:tc>
          <w:tcPr>
            <w:tcW w:w="1395" w:type="dxa"/>
          </w:tcPr>
          <w:p>
            <w:pPr>
              <w:pStyle w:val="TableParagraph"/>
              <w:spacing w:before="1"/>
              <w:ind w:left="95" w:right="98"/>
              <w:jc w:val="center"/>
              <w:rPr>
                <w:b/>
                <w:i/>
                <w:sz w:val="22"/>
              </w:rPr>
            </w:pPr>
            <w:r>
              <w:rPr>
                <w:b/>
                <w:i/>
                <w:sz w:val="22"/>
              </w:rPr>
              <w:t>AI</w:t>
            </w:r>
          </w:p>
        </w:tc>
        <w:tc>
          <w:tcPr>
            <w:tcW w:w="4277" w:type="dxa"/>
            <w:vMerge/>
            <w:tcBorders>
              <w:top w:val="nil"/>
            </w:tcBorders>
          </w:tcPr>
          <w:p>
            <w:pPr>
              <w:rPr>
                <w:sz w:val="2"/>
                <w:szCs w:val="2"/>
              </w:rPr>
            </w:pPr>
          </w:p>
        </w:tc>
        <w:tc>
          <w:tcPr>
            <w:tcW w:w="1558" w:type="dxa"/>
            <w:vMerge/>
            <w:tcBorders>
              <w:top w:val="nil"/>
            </w:tcBorders>
          </w:tcPr>
          <w:p>
            <w:pPr>
              <w:rPr>
                <w:sz w:val="2"/>
                <w:szCs w:val="2"/>
              </w:rPr>
            </w:pPr>
          </w:p>
        </w:tc>
        <w:tc>
          <w:tcPr>
            <w:tcW w:w="710" w:type="dxa"/>
          </w:tcPr>
          <w:p>
            <w:pPr>
              <w:pStyle w:val="TableParagraph"/>
              <w:ind w:right="89"/>
              <w:jc w:val="right"/>
              <w:rPr>
                <w:b/>
                <w:i/>
                <w:sz w:val="20"/>
              </w:rPr>
            </w:pPr>
            <w:r>
              <w:rPr>
                <w:b/>
                <w:i/>
                <w:w w:val="95"/>
                <w:sz w:val="20"/>
              </w:rPr>
              <w:t>Totale</w:t>
            </w:r>
          </w:p>
        </w:tc>
        <w:tc>
          <w:tcPr>
            <w:tcW w:w="708" w:type="dxa"/>
          </w:tcPr>
          <w:p>
            <w:pPr>
              <w:pStyle w:val="TableParagraph"/>
              <w:ind w:left="73" w:right="75"/>
              <w:jc w:val="center"/>
              <w:rPr>
                <w:b/>
                <w:i/>
                <w:sz w:val="20"/>
              </w:rPr>
            </w:pPr>
            <w:r>
              <w:rPr>
                <w:b/>
                <w:i/>
                <w:sz w:val="20"/>
              </w:rPr>
              <w:t>TM</w:t>
            </w:r>
          </w:p>
        </w:tc>
      </w:tr>
      <w:tr>
        <w:trPr>
          <w:trHeight w:val="280" w:hRule="atLeast"/>
        </w:trPr>
        <w:tc>
          <w:tcPr>
            <w:tcW w:w="14321" w:type="dxa"/>
            <w:gridSpan w:val="8"/>
            <w:shd w:val="clear" w:color="auto" w:fill="C5DFB3"/>
          </w:tcPr>
          <w:p>
            <w:pPr>
              <w:pStyle w:val="TableParagraph"/>
              <w:spacing w:line="257" w:lineRule="exact" w:before="20"/>
              <w:ind w:left="5146" w:right="5149"/>
              <w:jc w:val="center"/>
              <w:rPr>
                <w:b/>
                <w:sz w:val="24"/>
              </w:rPr>
            </w:pPr>
            <w:r>
              <w:rPr>
                <w:b/>
                <w:sz w:val="24"/>
              </w:rPr>
              <w:t>Tumeurs</w:t>
            </w:r>
            <w:r>
              <w:rPr>
                <w:b/>
                <w:spacing w:val="-7"/>
                <w:sz w:val="24"/>
              </w:rPr>
              <w:t> </w:t>
            </w:r>
            <w:r>
              <w:rPr>
                <w:b/>
                <w:sz w:val="24"/>
              </w:rPr>
              <w:t>solides</w:t>
            </w:r>
          </w:p>
        </w:tc>
        <w:tc>
          <w:tcPr>
            <w:tcW w:w="708" w:type="dxa"/>
            <w:shd w:val="clear" w:color="auto" w:fill="C5DFB3"/>
          </w:tcPr>
          <w:p>
            <w:pPr>
              <w:pStyle w:val="TableParagraph"/>
              <w:rPr>
                <w:sz w:val="20"/>
              </w:rPr>
            </w:pPr>
          </w:p>
        </w:tc>
      </w:tr>
      <w:tr>
        <w:trPr>
          <w:trHeight w:val="1000" w:hRule="atLeast"/>
        </w:trPr>
        <w:tc>
          <w:tcPr>
            <w:tcW w:w="425" w:type="dxa"/>
            <w:shd w:val="clear" w:color="auto" w:fill="C5DFB3"/>
          </w:tcPr>
          <w:p>
            <w:pPr>
              <w:pStyle w:val="TableParagraph"/>
              <w:rPr>
                <w:i/>
                <w:sz w:val="22"/>
              </w:rPr>
            </w:pPr>
          </w:p>
          <w:p>
            <w:pPr>
              <w:pStyle w:val="TableParagraph"/>
              <w:spacing w:before="7"/>
              <w:rPr>
                <w:i/>
                <w:sz w:val="25"/>
              </w:rPr>
            </w:pPr>
          </w:p>
          <w:p>
            <w:pPr>
              <w:pStyle w:val="TableParagraph"/>
              <w:spacing w:line="230" w:lineRule="atLeast"/>
              <w:ind w:left="155" w:right="48" w:hanging="87"/>
              <w:rPr>
                <w:sz w:val="20"/>
              </w:rPr>
            </w:pPr>
            <w:r>
              <w:rPr>
                <w:sz w:val="20"/>
              </w:rPr>
              <w:t>CN</w:t>
            </w:r>
            <w:r>
              <w:rPr>
                <w:w w:val="99"/>
                <w:sz w:val="20"/>
              </w:rPr>
              <w:t> </w:t>
            </w:r>
            <w:r>
              <w:rPr>
                <w:sz w:val="20"/>
              </w:rPr>
              <w:t>1</w:t>
            </w:r>
          </w:p>
        </w:tc>
        <w:tc>
          <w:tcPr>
            <w:tcW w:w="1702" w:type="dxa"/>
          </w:tcPr>
          <w:p>
            <w:pPr>
              <w:pStyle w:val="TableParagraph"/>
              <w:spacing w:line="242" w:lineRule="auto"/>
              <w:ind w:left="156" w:right="83" w:hanging="58"/>
              <w:rPr>
                <w:sz w:val="22"/>
              </w:rPr>
            </w:pPr>
            <w:r>
              <w:rPr>
                <w:sz w:val="22"/>
              </w:rPr>
              <w:t>3 semaines après la splénectomie</w:t>
            </w:r>
          </w:p>
        </w:tc>
        <w:tc>
          <w:tcPr>
            <w:tcW w:w="2269" w:type="dxa"/>
          </w:tcPr>
          <w:p>
            <w:pPr>
              <w:pStyle w:val="TableParagraph"/>
              <w:ind w:left="347" w:right="289" w:hanging="60"/>
              <w:jc w:val="both"/>
              <w:rPr>
                <w:sz w:val="18"/>
              </w:rPr>
            </w:pPr>
            <w:r>
              <w:rPr>
                <w:sz w:val="22"/>
              </w:rPr>
              <w:t>ALA </w:t>
            </w:r>
            <w:r>
              <w:rPr>
                <w:sz w:val="18"/>
              </w:rPr>
              <w:t>37,5 mg/kg BID </w:t>
            </w:r>
            <w:r>
              <w:rPr>
                <w:sz w:val="22"/>
              </w:rPr>
              <w:t>DCA </w:t>
            </w:r>
            <w:r>
              <w:rPr>
                <w:sz w:val="18"/>
              </w:rPr>
              <w:t>20 mg/kg BID </w:t>
            </w:r>
            <w:r>
              <w:rPr>
                <w:sz w:val="22"/>
              </w:rPr>
              <w:t>HCA </w:t>
            </w:r>
            <w:r>
              <w:rPr>
                <w:sz w:val="18"/>
              </w:rPr>
              <w:t>20 mg/kg TID</w:t>
            </w:r>
          </w:p>
        </w:tc>
        <w:tc>
          <w:tcPr>
            <w:tcW w:w="1985" w:type="dxa"/>
          </w:tcPr>
          <w:p>
            <w:pPr>
              <w:pStyle w:val="TableParagraph"/>
              <w:spacing w:line="249" w:lineRule="exact"/>
              <w:ind w:left="75" w:right="75"/>
              <w:jc w:val="center"/>
              <w:rPr>
                <w:sz w:val="22"/>
              </w:rPr>
            </w:pPr>
            <w:r>
              <w:rPr>
                <w:sz w:val="22"/>
              </w:rPr>
              <w:t>Lomustine</w:t>
            </w:r>
          </w:p>
          <w:p>
            <w:pPr>
              <w:pStyle w:val="TableParagraph"/>
              <w:spacing w:before="2"/>
              <w:ind w:left="75" w:right="75"/>
              <w:jc w:val="center"/>
              <w:rPr>
                <w:sz w:val="18"/>
              </w:rPr>
            </w:pPr>
            <w:r>
              <w:rPr>
                <w:sz w:val="18"/>
              </w:rPr>
              <w:t>4 mg/kg S6 post TM</w:t>
            </w:r>
          </w:p>
        </w:tc>
        <w:tc>
          <w:tcPr>
            <w:tcW w:w="1395" w:type="dxa"/>
          </w:tcPr>
          <w:p>
            <w:pPr>
              <w:pStyle w:val="TableParagraph"/>
              <w:spacing w:line="249" w:lineRule="exact"/>
              <w:ind w:left="96" w:right="97"/>
              <w:jc w:val="center"/>
              <w:rPr>
                <w:sz w:val="22"/>
              </w:rPr>
            </w:pPr>
            <w:r>
              <w:rPr>
                <w:sz w:val="22"/>
              </w:rPr>
              <w:t>Prednisolone</w:t>
            </w:r>
          </w:p>
          <w:p>
            <w:pPr>
              <w:pStyle w:val="TableParagraph"/>
              <w:spacing w:before="2"/>
              <w:ind w:left="96" w:right="97"/>
              <w:jc w:val="center"/>
              <w:rPr>
                <w:sz w:val="18"/>
              </w:rPr>
            </w:pPr>
            <w:r>
              <w:rPr>
                <w:sz w:val="18"/>
              </w:rPr>
              <w:t>//TM</w:t>
            </w:r>
          </w:p>
        </w:tc>
        <w:tc>
          <w:tcPr>
            <w:tcW w:w="4277" w:type="dxa"/>
          </w:tcPr>
          <w:p>
            <w:pPr>
              <w:pStyle w:val="TableParagraph"/>
              <w:spacing w:line="249" w:lineRule="exact"/>
              <w:ind w:left="53" w:right="54"/>
              <w:jc w:val="center"/>
              <w:rPr>
                <w:sz w:val="22"/>
              </w:rPr>
            </w:pPr>
            <w:r>
              <w:rPr>
                <w:sz w:val="22"/>
              </w:rPr>
              <w:t>BEG</w:t>
            </w:r>
          </w:p>
          <w:p>
            <w:pPr>
              <w:pStyle w:val="TableParagraph"/>
              <w:spacing w:line="252" w:lineRule="exact" w:before="5"/>
              <w:ind w:left="52" w:right="55"/>
              <w:jc w:val="center"/>
              <w:rPr>
                <w:sz w:val="22"/>
              </w:rPr>
            </w:pPr>
            <w:r>
              <w:rPr>
                <w:sz w:val="22"/>
              </w:rPr>
              <w:t>Episodes d’abattement et d’ataxie S6 post TM </w:t>
            </w:r>
            <w:r>
              <w:rPr>
                <w:i/>
                <w:sz w:val="22"/>
              </w:rPr>
              <w:t>Scanner </w:t>
            </w:r>
            <w:r>
              <w:rPr>
                <w:sz w:val="22"/>
              </w:rPr>
              <w:t>de contrôle S6 post TM : nombre de métastases hépatiques plus important</w:t>
            </w:r>
          </w:p>
        </w:tc>
        <w:tc>
          <w:tcPr>
            <w:tcW w:w="1558" w:type="dxa"/>
          </w:tcPr>
          <w:p>
            <w:pPr>
              <w:pStyle w:val="TableParagraph"/>
              <w:spacing w:line="249" w:lineRule="exact"/>
              <w:ind w:left="146" w:right="147"/>
              <w:jc w:val="center"/>
              <w:rPr>
                <w:sz w:val="22"/>
              </w:rPr>
            </w:pPr>
            <w:r>
              <w:rPr>
                <w:sz w:val="22"/>
              </w:rPr>
              <w:t>BEG</w:t>
            </w:r>
          </w:p>
          <w:p>
            <w:pPr>
              <w:pStyle w:val="TableParagraph"/>
              <w:spacing w:line="252" w:lineRule="exact" w:before="5"/>
              <w:ind w:left="88" w:right="93" w:hanging="2"/>
              <w:jc w:val="center"/>
              <w:rPr>
                <w:sz w:val="22"/>
              </w:rPr>
            </w:pPr>
            <w:r>
              <w:rPr>
                <w:sz w:val="22"/>
              </w:rPr>
              <w:t>Episodes d’abattement et d’ataxie</w:t>
            </w:r>
          </w:p>
        </w:tc>
        <w:tc>
          <w:tcPr>
            <w:tcW w:w="710" w:type="dxa"/>
          </w:tcPr>
          <w:p>
            <w:pPr>
              <w:pStyle w:val="TableParagraph"/>
              <w:spacing w:line="249" w:lineRule="exact"/>
              <w:ind w:left="73" w:right="75"/>
              <w:jc w:val="center"/>
              <w:rPr>
                <w:sz w:val="22"/>
              </w:rPr>
            </w:pPr>
            <w:r>
              <w:rPr>
                <w:sz w:val="22"/>
              </w:rPr>
              <w:t>17</w:t>
            </w:r>
          </w:p>
        </w:tc>
        <w:tc>
          <w:tcPr>
            <w:tcW w:w="708" w:type="dxa"/>
          </w:tcPr>
          <w:p>
            <w:pPr>
              <w:pStyle w:val="TableParagraph"/>
              <w:spacing w:line="249" w:lineRule="exact"/>
              <w:ind w:left="73" w:right="75"/>
              <w:jc w:val="center"/>
              <w:rPr>
                <w:sz w:val="22"/>
              </w:rPr>
            </w:pPr>
            <w:r>
              <w:rPr>
                <w:sz w:val="22"/>
              </w:rPr>
              <w:t>12,5</w:t>
            </w:r>
          </w:p>
        </w:tc>
      </w:tr>
      <w:tr>
        <w:trPr>
          <w:trHeight w:val="740" w:hRule="atLeast"/>
        </w:trPr>
        <w:tc>
          <w:tcPr>
            <w:tcW w:w="425" w:type="dxa"/>
            <w:shd w:val="clear" w:color="auto" w:fill="C5DFB3"/>
          </w:tcPr>
          <w:p>
            <w:pPr>
              <w:pStyle w:val="TableParagraph"/>
              <w:spacing w:before="9"/>
              <w:rPr>
                <w:i/>
                <w:sz w:val="25"/>
              </w:rPr>
            </w:pPr>
          </w:p>
          <w:p>
            <w:pPr>
              <w:pStyle w:val="TableParagraph"/>
              <w:spacing w:line="228" w:lineRule="exact" w:before="1"/>
              <w:ind w:left="155" w:right="48" w:hanging="87"/>
              <w:rPr>
                <w:sz w:val="20"/>
              </w:rPr>
            </w:pPr>
            <w:r>
              <w:rPr>
                <w:sz w:val="20"/>
              </w:rPr>
              <w:t>CN</w:t>
            </w:r>
            <w:r>
              <w:rPr>
                <w:w w:val="99"/>
                <w:sz w:val="20"/>
              </w:rPr>
              <w:t> </w:t>
            </w:r>
            <w:r>
              <w:rPr>
                <w:sz w:val="20"/>
              </w:rPr>
              <w:t>4</w:t>
            </w:r>
          </w:p>
        </w:tc>
        <w:tc>
          <w:tcPr>
            <w:tcW w:w="1702" w:type="dxa"/>
          </w:tcPr>
          <w:p>
            <w:pPr>
              <w:pStyle w:val="TableParagraph"/>
              <w:spacing w:line="235" w:lineRule="auto"/>
              <w:ind w:left="73" w:right="75"/>
              <w:jc w:val="center"/>
              <w:rPr>
                <w:sz w:val="22"/>
              </w:rPr>
            </w:pPr>
            <w:r>
              <w:rPr>
                <w:sz w:val="22"/>
              </w:rPr>
              <w:t>3 semaines après la 1</w:t>
            </w:r>
            <w:r>
              <w:rPr>
                <w:position w:val="8"/>
                <w:sz w:val="14"/>
              </w:rPr>
              <w:t>ère  </w:t>
            </w:r>
            <w:r>
              <w:rPr>
                <w:sz w:val="22"/>
              </w:rPr>
              <w:t>séance de</w:t>
            </w:r>
          </w:p>
          <w:p>
            <w:pPr>
              <w:pStyle w:val="TableParagraph"/>
              <w:spacing w:line="238" w:lineRule="exact" w:before="2"/>
              <w:ind w:left="74" w:right="75"/>
              <w:jc w:val="center"/>
              <w:rPr>
                <w:sz w:val="22"/>
              </w:rPr>
            </w:pPr>
            <w:r>
              <w:rPr>
                <w:sz w:val="22"/>
              </w:rPr>
              <w:t>carboplatine</w:t>
            </w:r>
          </w:p>
        </w:tc>
        <w:tc>
          <w:tcPr>
            <w:tcW w:w="2269" w:type="dxa"/>
          </w:tcPr>
          <w:p>
            <w:pPr>
              <w:pStyle w:val="TableParagraph"/>
              <w:ind w:left="938" w:right="118" w:hanging="804"/>
              <w:rPr>
                <w:sz w:val="22"/>
              </w:rPr>
            </w:pPr>
            <w:r>
              <w:rPr>
                <w:sz w:val="22"/>
              </w:rPr>
              <w:t>MET – ALA – HCA – LSP</w:t>
            </w:r>
          </w:p>
        </w:tc>
        <w:tc>
          <w:tcPr>
            <w:tcW w:w="1985" w:type="dxa"/>
          </w:tcPr>
          <w:p>
            <w:pPr>
              <w:pStyle w:val="TableParagraph"/>
              <w:ind w:left="208" w:right="191" w:firstLine="208"/>
              <w:rPr>
                <w:sz w:val="18"/>
              </w:rPr>
            </w:pPr>
            <w:r>
              <w:rPr>
                <w:sz w:val="22"/>
              </w:rPr>
              <w:t>Carboplatine </w:t>
            </w:r>
            <w:r>
              <w:rPr>
                <w:sz w:val="18"/>
              </w:rPr>
              <w:t>300 mg/m² // TM, S4 post TM, S8 post TM</w:t>
            </w:r>
          </w:p>
        </w:tc>
        <w:tc>
          <w:tcPr>
            <w:tcW w:w="1395" w:type="dxa"/>
          </w:tcPr>
          <w:p>
            <w:pPr>
              <w:pStyle w:val="TableParagraph"/>
              <w:spacing w:line="247" w:lineRule="exact"/>
              <w:ind w:left="96" w:right="96"/>
              <w:jc w:val="center"/>
              <w:rPr>
                <w:sz w:val="22"/>
              </w:rPr>
            </w:pPr>
            <w:r>
              <w:rPr>
                <w:sz w:val="22"/>
              </w:rPr>
              <w:t>Non</w:t>
            </w:r>
          </w:p>
        </w:tc>
        <w:tc>
          <w:tcPr>
            <w:tcW w:w="4277" w:type="dxa"/>
          </w:tcPr>
          <w:p>
            <w:pPr>
              <w:pStyle w:val="TableParagraph"/>
              <w:spacing w:line="247" w:lineRule="exact"/>
              <w:ind w:left="53" w:right="54"/>
              <w:jc w:val="center"/>
              <w:rPr>
                <w:sz w:val="22"/>
              </w:rPr>
            </w:pPr>
            <w:r>
              <w:rPr>
                <w:sz w:val="22"/>
              </w:rPr>
              <w:t>BEG</w:t>
            </w:r>
          </w:p>
        </w:tc>
        <w:tc>
          <w:tcPr>
            <w:tcW w:w="1558" w:type="dxa"/>
          </w:tcPr>
          <w:p>
            <w:pPr>
              <w:pStyle w:val="TableParagraph"/>
              <w:spacing w:line="247" w:lineRule="exact"/>
              <w:ind w:left="146" w:right="147"/>
              <w:jc w:val="center"/>
              <w:rPr>
                <w:sz w:val="22"/>
              </w:rPr>
            </w:pPr>
            <w:r>
              <w:rPr>
                <w:sz w:val="22"/>
              </w:rPr>
              <w:t>BEG</w:t>
            </w:r>
          </w:p>
        </w:tc>
        <w:tc>
          <w:tcPr>
            <w:tcW w:w="710" w:type="dxa"/>
          </w:tcPr>
          <w:p>
            <w:pPr>
              <w:pStyle w:val="TableParagraph"/>
              <w:spacing w:line="247" w:lineRule="exact"/>
              <w:ind w:right="120"/>
              <w:jc w:val="right"/>
              <w:rPr>
                <w:sz w:val="22"/>
              </w:rPr>
            </w:pPr>
            <w:r>
              <w:rPr>
                <w:sz w:val="22"/>
              </w:rPr>
              <w:t>&gt;183</w:t>
            </w:r>
          </w:p>
        </w:tc>
        <w:tc>
          <w:tcPr>
            <w:tcW w:w="708" w:type="dxa"/>
          </w:tcPr>
          <w:p>
            <w:pPr>
              <w:pStyle w:val="TableParagraph"/>
              <w:spacing w:line="247" w:lineRule="exact"/>
              <w:ind w:left="73" w:right="73"/>
              <w:jc w:val="center"/>
              <w:rPr>
                <w:sz w:val="22"/>
              </w:rPr>
            </w:pPr>
            <w:r>
              <w:rPr>
                <w:sz w:val="22"/>
              </w:rPr>
              <w:t>&gt;180</w:t>
            </w:r>
          </w:p>
        </w:tc>
      </w:tr>
      <w:tr>
        <w:trPr>
          <w:trHeight w:val="760" w:hRule="atLeast"/>
        </w:trPr>
        <w:tc>
          <w:tcPr>
            <w:tcW w:w="425" w:type="dxa"/>
            <w:shd w:val="clear" w:color="auto" w:fill="C5DFB3"/>
          </w:tcPr>
          <w:p>
            <w:pPr>
              <w:pStyle w:val="TableParagraph"/>
              <w:spacing w:before="5"/>
              <w:rPr>
                <w:i/>
                <w:sz w:val="25"/>
              </w:rPr>
            </w:pPr>
          </w:p>
          <w:p>
            <w:pPr>
              <w:pStyle w:val="TableParagraph"/>
              <w:spacing w:line="230" w:lineRule="atLeast"/>
              <w:ind w:left="155" w:right="48" w:hanging="87"/>
              <w:rPr>
                <w:sz w:val="20"/>
              </w:rPr>
            </w:pPr>
            <w:r>
              <w:rPr>
                <w:sz w:val="20"/>
              </w:rPr>
              <w:t>CN</w:t>
            </w:r>
            <w:r>
              <w:rPr>
                <w:w w:val="99"/>
                <w:sz w:val="20"/>
              </w:rPr>
              <w:t> </w:t>
            </w:r>
            <w:r>
              <w:rPr>
                <w:sz w:val="20"/>
              </w:rPr>
              <w:t>5</w:t>
            </w:r>
          </w:p>
        </w:tc>
        <w:tc>
          <w:tcPr>
            <w:tcW w:w="1702" w:type="dxa"/>
          </w:tcPr>
          <w:p>
            <w:pPr>
              <w:pStyle w:val="TableParagraph"/>
              <w:spacing w:line="247" w:lineRule="exact"/>
              <w:ind w:left="72" w:right="75"/>
              <w:jc w:val="center"/>
              <w:rPr>
                <w:sz w:val="22"/>
              </w:rPr>
            </w:pPr>
            <w:r>
              <w:rPr>
                <w:sz w:val="22"/>
              </w:rPr>
              <w:t>5 mois après les</w:t>
            </w:r>
          </w:p>
          <w:p>
            <w:pPr>
              <w:pStyle w:val="TableParagraph"/>
              <w:spacing w:line="252" w:lineRule="exact" w:before="5"/>
              <w:ind w:left="343" w:right="346" w:firstLine="2"/>
              <w:jc w:val="center"/>
              <w:rPr>
                <w:sz w:val="22"/>
              </w:rPr>
            </w:pPr>
            <w:r>
              <w:rPr>
                <w:sz w:val="22"/>
              </w:rPr>
              <w:t>premiers symptômes</w:t>
            </w:r>
          </w:p>
        </w:tc>
        <w:tc>
          <w:tcPr>
            <w:tcW w:w="2269" w:type="dxa"/>
          </w:tcPr>
          <w:p>
            <w:pPr>
              <w:pStyle w:val="TableParagraph"/>
              <w:spacing w:line="247" w:lineRule="exact"/>
              <w:ind w:left="167" w:right="167"/>
              <w:jc w:val="center"/>
              <w:rPr>
                <w:sz w:val="22"/>
              </w:rPr>
            </w:pPr>
            <w:r>
              <w:rPr>
                <w:sz w:val="22"/>
              </w:rPr>
              <w:t>SPU</w:t>
            </w:r>
          </w:p>
        </w:tc>
        <w:tc>
          <w:tcPr>
            <w:tcW w:w="1985" w:type="dxa"/>
          </w:tcPr>
          <w:p>
            <w:pPr>
              <w:pStyle w:val="TableParagraph"/>
              <w:spacing w:line="247" w:lineRule="exact"/>
              <w:ind w:left="74" w:right="75"/>
              <w:jc w:val="center"/>
              <w:rPr>
                <w:sz w:val="22"/>
              </w:rPr>
            </w:pPr>
            <w:r>
              <w:rPr>
                <w:sz w:val="22"/>
              </w:rPr>
              <w:t>Chloraminophène</w:t>
            </w:r>
          </w:p>
          <w:p>
            <w:pPr>
              <w:pStyle w:val="TableParagraph"/>
              <w:spacing w:before="2"/>
              <w:ind w:left="74" w:right="75"/>
              <w:jc w:val="center"/>
              <w:rPr>
                <w:sz w:val="18"/>
              </w:rPr>
            </w:pPr>
            <w:r>
              <w:rPr>
                <w:sz w:val="18"/>
              </w:rPr>
              <w:t>0,15 mg/kg SID</w:t>
            </w:r>
          </w:p>
        </w:tc>
        <w:tc>
          <w:tcPr>
            <w:tcW w:w="1395" w:type="dxa"/>
          </w:tcPr>
          <w:p>
            <w:pPr>
              <w:pStyle w:val="TableParagraph"/>
              <w:spacing w:line="247" w:lineRule="exact"/>
              <w:ind w:left="96" w:right="96"/>
              <w:jc w:val="center"/>
              <w:rPr>
                <w:sz w:val="22"/>
              </w:rPr>
            </w:pPr>
            <w:r>
              <w:rPr>
                <w:sz w:val="22"/>
              </w:rPr>
              <w:t>Piroxicam</w:t>
            </w:r>
          </w:p>
          <w:p>
            <w:pPr>
              <w:pStyle w:val="TableParagraph"/>
              <w:spacing w:before="2"/>
              <w:ind w:left="91" w:right="98"/>
              <w:jc w:val="center"/>
              <w:rPr>
                <w:sz w:val="18"/>
              </w:rPr>
            </w:pPr>
            <w:r>
              <w:rPr>
                <w:sz w:val="18"/>
              </w:rPr>
              <w:t>0,3 mg/kg //TM</w:t>
            </w:r>
          </w:p>
        </w:tc>
        <w:tc>
          <w:tcPr>
            <w:tcW w:w="4277" w:type="dxa"/>
          </w:tcPr>
          <w:p>
            <w:pPr>
              <w:pStyle w:val="TableParagraph"/>
              <w:spacing w:line="247" w:lineRule="exact"/>
              <w:ind w:left="53" w:right="54"/>
              <w:jc w:val="center"/>
              <w:rPr>
                <w:sz w:val="22"/>
              </w:rPr>
            </w:pPr>
            <w:r>
              <w:rPr>
                <w:sz w:val="22"/>
              </w:rPr>
              <w:t>Suivi vétérinaire traitant</w:t>
            </w:r>
          </w:p>
          <w:p>
            <w:pPr>
              <w:pStyle w:val="TableParagraph"/>
              <w:spacing w:before="1"/>
              <w:ind w:left="53" w:right="55"/>
              <w:jc w:val="center"/>
              <w:rPr>
                <w:sz w:val="22"/>
              </w:rPr>
            </w:pPr>
            <w:r>
              <w:rPr>
                <w:i/>
                <w:sz w:val="22"/>
              </w:rPr>
              <w:t>Scanner </w:t>
            </w:r>
            <w:r>
              <w:rPr>
                <w:sz w:val="22"/>
              </w:rPr>
              <w:t>de contrôle S8 post TM : lésion stable</w:t>
            </w:r>
          </w:p>
        </w:tc>
        <w:tc>
          <w:tcPr>
            <w:tcW w:w="1558" w:type="dxa"/>
          </w:tcPr>
          <w:p>
            <w:pPr>
              <w:pStyle w:val="TableParagraph"/>
              <w:spacing w:line="247" w:lineRule="exact"/>
              <w:ind w:left="146" w:right="149"/>
              <w:jc w:val="center"/>
              <w:rPr>
                <w:sz w:val="22"/>
              </w:rPr>
            </w:pPr>
            <w:r>
              <w:rPr>
                <w:sz w:val="22"/>
              </w:rPr>
              <w:t>Abattu</w:t>
            </w:r>
          </w:p>
        </w:tc>
        <w:tc>
          <w:tcPr>
            <w:tcW w:w="710" w:type="dxa"/>
          </w:tcPr>
          <w:p>
            <w:pPr>
              <w:pStyle w:val="TableParagraph"/>
              <w:spacing w:line="247" w:lineRule="exact"/>
              <w:ind w:left="73" w:right="75"/>
              <w:jc w:val="center"/>
              <w:rPr>
                <w:sz w:val="22"/>
              </w:rPr>
            </w:pPr>
            <w:r>
              <w:rPr>
                <w:sz w:val="22"/>
              </w:rPr>
              <w:t>76</w:t>
            </w:r>
          </w:p>
        </w:tc>
        <w:tc>
          <w:tcPr>
            <w:tcW w:w="708" w:type="dxa"/>
          </w:tcPr>
          <w:p>
            <w:pPr>
              <w:pStyle w:val="TableParagraph"/>
              <w:spacing w:line="247" w:lineRule="exact"/>
              <w:ind w:left="70" w:right="75"/>
              <w:jc w:val="center"/>
              <w:rPr>
                <w:sz w:val="22"/>
              </w:rPr>
            </w:pPr>
            <w:r>
              <w:rPr>
                <w:sz w:val="22"/>
              </w:rPr>
              <w:t>56</w:t>
            </w:r>
          </w:p>
        </w:tc>
      </w:tr>
      <w:tr>
        <w:trPr>
          <w:trHeight w:val="1000" w:hRule="atLeast"/>
        </w:trPr>
        <w:tc>
          <w:tcPr>
            <w:tcW w:w="425" w:type="dxa"/>
            <w:shd w:val="clear" w:color="auto" w:fill="C5DFB3"/>
          </w:tcPr>
          <w:p>
            <w:pPr>
              <w:pStyle w:val="TableParagraph"/>
              <w:rPr>
                <w:i/>
                <w:sz w:val="22"/>
              </w:rPr>
            </w:pPr>
          </w:p>
          <w:p>
            <w:pPr>
              <w:pStyle w:val="TableParagraph"/>
              <w:spacing w:before="4"/>
              <w:rPr>
                <w:i/>
                <w:sz w:val="25"/>
              </w:rPr>
            </w:pPr>
          </w:p>
          <w:p>
            <w:pPr>
              <w:pStyle w:val="TableParagraph"/>
              <w:spacing w:line="230" w:lineRule="atLeast"/>
              <w:ind w:left="155" w:right="48" w:hanging="87"/>
              <w:rPr>
                <w:sz w:val="20"/>
              </w:rPr>
            </w:pPr>
            <w:r>
              <w:rPr>
                <w:sz w:val="20"/>
              </w:rPr>
              <w:t>CN</w:t>
            </w:r>
            <w:r>
              <w:rPr>
                <w:w w:val="99"/>
                <w:sz w:val="20"/>
              </w:rPr>
              <w:t> </w:t>
            </w:r>
            <w:r>
              <w:rPr>
                <w:sz w:val="20"/>
              </w:rPr>
              <w:t>8</w:t>
            </w:r>
          </w:p>
        </w:tc>
        <w:tc>
          <w:tcPr>
            <w:tcW w:w="1702" w:type="dxa"/>
          </w:tcPr>
          <w:p>
            <w:pPr>
              <w:pStyle w:val="TableParagraph"/>
              <w:ind w:left="283" w:right="287" w:firstLine="3"/>
              <w:jc w:val="center"/>
              <w:rPr>
                <w:sz w:val="22"/>
              </w:rPr>
            </w:pPr>
            <w:r>
              <w:rPr>
                <w:sz w:val="22"/>
              </w:rPr>
              <w:t>4 mois après diagnostic et chirurgie</w:t>
            </w:r>
          </w:p>
        </w:tc>
        <w:tc>
          <w:tcPr>
            <w:tcW w:w="2269" w:type="dxa"/>
          </w:tcPr>
          <w:p>
            <w:pPr>
              <w:pStyle w:val="TableParagraph"/>
              <w:ind w:left="347" w:right="351" w:hanging="1"/>
              <w:jc w:val="center"/>
              <w:rPr>
                <w:sz w:val="18"/>
              </w:rPr>
            </w:pPr>
            <w:r>
              <w:rPr>
                <w:sz w:val="22"/>
              </w:rPr>
              <w:t>ALA </w:t>
            </w:r>
            <w:r>
              <w:rPr>
                <w:sz w:val="18"/>
              </w:rPr>
              <w:t>20 mg/kg TID </w:t>
            </w:r>
            <w:r>
              <w:rPr>
                <w:sz w:val="22"/>
              </w:rPr>
              <w:t>HCA </w:t>
            </w:r>
            <w:r>
              <w:rPr>
                <w:sz w:val="18"/>
              </w:rPr>
              <w:t>20 mg/kg TID </w:t>
            </w:r>
            <w:r>
              <w:rPr>
                <w:sz w:val="22"/>
              </w:rPr>
              <w:t>MET </w:t>
            </w:r>
            <w:r>
              <w:rPr>
                <w:sz w:val="18"/>
              </w:rPr>
              <w:t>20 mg/kg BID</w:t>
            </w:r>
          </w:p>
          <w:p>
            <w:pPr>
              <w:pStyle w:val="TableParagraph"/>
              <w:spacing w:line="237" w:lineRule="exact" w:before="6"/>
              <w:ind w:left="167" w:right="169"/>
              <w:jc w:val="center"/>
              <w:rPr>
                <w:sz w:val="18"/>
              </w:rPr>
            </w:pPr>
            <w:r>
              <w:rPr>
                <w:sz w:val="22"/>
              </w:rPr>
              <w:t>OMP </w:t>
            </w:r>
            <w:r>
              <w:rPr>
                <w:sz w:val="18"/>
              </w:rPr>
              <w:t>1 mg/kg</w:t>
            </w:r>
          </w:p>
        </w:tc>
        <w:tc>
          <w:tcPr>
            <w:tcW w:w="1985" w:type="dxa"/>
          </w:tcPr>
          <w:p>
            <w:pPr>
              <w:pStyle w:val="TableParagraph"/>
              <w:spacing w:line="247" w:lineRule="exact"/>
              <w:ind w:left="75" w:right="75"/>
              <w:jc w:val="center"/>
              <w:rPr>
                <w:sz w:val="22"/>
              </w:rPr>
            </w:pPr>
            <w:r>
              <w:rPr>
                <w:sz w:val="22"/>
              </w:rPr>
              <w:t>Non</w:t>
            </w:r>
          </w:p>
        </w:tc>
        <w:tc>
          <w:tcPr>
            <w:tcW w:w="1395" w:type="dxa"/>
          </w:tcPr>
          <w:p>
            <w:pPr>
              <w:pStyle w:val="TableParagraph"/>
              <w:spacing w:line="247" w:lineRule="exact"/>
              <w:ind w:left="96" w:right="96"/>
              <w:jc w:val="center"/>
              <w:rPr>
                <w:sz w:val="22"/>
              </w:rPr>
            </w:pPr>
            <w:r>
              <w:rPr>
                <w:sz w:val="22"/>
              </w:rPr>
              <w:t>Non</w:t>
            </w:r>
          </w:p>
        </w:tc>
        <w:tc>
          <w:tcPr>
            <w:tcW w:w="4277" w:type="dxa"/>
          </w:tcPr>
          <w:p>
            <w:pPr>
              <w:pStyle w:val="TableParagraph"/>
              <w:ind w:left="141" w:right="128" w:firstLine="1015"/>
              <w:rPr>
                <w:sz w:val="22"/>
              </w:rPr>
            </w:pPr>
            <w:r>
              <w:rPr>
                <w:sz w:val="22"/>
              </w:rPr>
              <w:t>BEG, bonne tolérance </w:t>
            </w:r>
            <w:r>
              <w:rPr>
                <w:i/>
                <w:sz w:val="22"/>
              </w:rPr>
              <w:t>Echographie abdominale </w:t>
            </w:r>
            <w:r>
              <w:rPr>
                <w:sz w:val="22"/>
              </w:rPr>
              <w:t>de contrôle S6 post TM : disparition des métastases hépatiques</w:t>
            </w:r>
          </w:p>
          <w:p>
            <w:pPr>
              <w:pStyle w:val="TableParagraph"/>
              <w:spacing w:line="237" w:lineRule="exact" w:before="6"/>
              <w:ind w:left="616"/>
              <w:rPr>
                <w:i/>
                <w:sz w:val="22"/>
              </w:rPr>
            </w:pPr>
            <w:r>
              <w:rPr>
                <w:i/>
                <w:sz w:val="22"/>
              </w:rPr>
              <w:t>(cytoponctions non diagnostiques)</w:t>
            </w:r>
          </w:p>
        </w:tc>
        <w:tc>
          <w:tcPr>
            <w:tcW w:w="1558" w:type="dxa"/>
          </w:tcPr>
          <w:p>
            <w:pPr>
              <w:pStyle w:val="TableParagraph"/>
              <w:spacing w:line="247" w:lineRule="exact"/>
              <w:ind w:left="146" w:right="147"/>
              <w:jc w:val="center"/>
              <w:rPr>
                <w:sz w:val="22"/>
              </w:rPr>
            </w:pPr>
            <w:r>
              <w:rPr>
                <w:sz w:val="22"/>
              </w:rPr>
              <w:t>BEG</w:t>
            </w:r>
          </w:p>
        </w:tc>
        <w:tc>
          <w:tcPr>
            <w:tcW w:w="710" w:type="dxa"/>
          </w:tcPr>
          <w:p>
            <w:pPr>
              <w:pStyle w:val="TableParagraph"/>
              <w:spacing w:line="247" w:lineRule="exact"/>
              <w:ind w:left="73" w:right="75"/>
              <w:jc w:val="center"/>
              <w:rPr>
                <w:sz w:val="22"/>
              </w:rPr>
            </w:pPr>
            <w:r>
              <w:rPr>
                <w:sz w:val="22"/>
              </w:rPr>
              <w:t>50</w:t>
            </w:r>
          </w:p>
        </w:tc>
        <w:tc>
          <w:tcPr>
            <w:tcW w:w="708" w:type="dxa"/>
          </w:tcPr>
          <w:p>
            <w:pPr>
              <w:pStyle w:val="TableParagraph"/>
              <w:spacing w:line="247" w:lineRule="exact"/>
              <w:ind w:left="70" w:right="75"/>
              <w:jc w:val="center"/>
              <w:rPr>
                <w:sz w:val="22"/>
              </w:rPr>
            </w:pPr>
            <w:r>
              <w:rPr>
                <w:sz w:val="22"/>
              </w:rPr>
              <w:t>50</w:t>
            </w:r>
          </w:p>
        </w:tc>
      </w:tr>
      <w:tr>
        <w:trPr>
          <w:trHeight w:val="660" w:hRule="atLeast"/>
        </w:trPr>
        <w:tc>
          <w:tcPr>
            <w:tcW w:w="425" w:type="dxa"/>
            <w:shd w:val="clear" w:color="auto" w:fill="C5DFB3"/>
          </w:tcPr>
          <w:p>
            <w:pPr>
              <w:pStyle w:val="TableParagraph"/>
              <w:spacing w:before="6"/>
              <w:rPr>
                <w:i/>
                <w:sz w:val="17"/>
              </w:rPr>
            </w:pPr>
          </w:p>
          <w:p>
            <w:pPr>
              <w:pStyle w:val="TableParagraph"/>
              <w:spacing w:line="230" w:lineRule="atLeast"/>
              <w:ind w:left="155" w:right="48" w:hanging="87"/>
              <w:rPr>
                <w:sz w:val="20"/>
              </w:rPr>
            </w:pPr>
            <w:r>
              <w:rPr>
                <w:sz w:val="20"/>
              </w:rPr>
              <w:t>CN</w:t>
            </w:r>
            <w:r>
              <w:rPr>
                <w:w w:val="99"/>
                <w:sz w:val="20"/>
              </w:rPr>
              <w:t> </w:t>
            </w:r>
            <w:r>
              <w:rPr>
                <w:sz w:val="20"/>
              </w:rPr>
              <w:t>9</w:t>
            </w:r>
          </w:p>
        </w:tc>
        <w:tc>
          <w:tcPr>
            <w:tcW w:w="1702" w:type="dxa"/>
          </w:tcPr>
          <w:p>
            <w:pPr>
              <w:pStyle w:val="TableParagraph"/>
              <w:ind w:left="185" w:right="167" w:firstLine="33"/>
              <w:rPr>
                <w:sz w:val="22"/>
              </w:rPr>
            </w:pPr>
            <w:r>
              <w:rPr>
                <w:sz w:val="22"/>
              </w:rPr>
              <w:t>2</w:t>
            </w:r>
            <w:r>
              <w:rPr>
                <w:position w:val="8"/>
                <w:sz w:val="14"/>
              </w:rPr>
              <w:t>ème </w:t>
            </w:r>
            <w:r>
              <w:rPr>
                <w:sz w:val="22"/>
              </w:rPr>
              <w:t>séance de chimiothérapie</w:t>
            </w:r>
          </w:p>
        </w:tc>
        <w:tc>
          <w:tcPr>
            <w:tcW w:w="2269" w:type="dxa"/>
          </w:tcPr>
          <w:p>
            <w:pPr>
              <w:pStyle w:val="TableParagraph"/>
              <w:spacing w:line="249" w:lineRule="exact"/>
              <w:ind w:left="167" w:right="167"/>
              <w:jc w:val="center"/>
              <w:rPr>
                <w:sz w:val="22"/>
              </w:rPr>
            </w:pPr>
            <w:r>
              <w:rPr>
                <w:sz w:val="22"/>
              </w:rPr>
              <w:t>MET – ALA – HCA</w:t>
            </w:r>
          </w:p>
        </w:tc>
        <w:tc>
          <w:tcPr>
            <w:tcW w:w="1985" w:type="dxa"/>
          </w:tcPr>
          <w:p>
            <w:pPr>
              <w:pStyle w:val="TableParagraph"/>
              <w:spacing w:line="249" w:lineRule="exact"/>
              <w:ind w:left="74" w:right="75"/>
              <w:jc w:val="center"/>
              <w:rPr>
                <w:sz w:val="22"/>
              </w:rPr>
            </w:pPr>
            <w:r>
              <w:rPr>
                <w:sz w:val="22"/>
              </w:rPr>
              <w:t>Doxorubicine</w:t>
            </w:r>
          </w:p>
          <w:p>
            <w:pPr>
              <w:pStyle w:val="TableParagraph"/>
              <w:spacing w:line="206" w:lineRule="exact" w:before="3"/>
              <w:ind w:left="72" w:right="75"/>
              <w:jc w:val="center"/>
              <w:rPr>
                <w:sz w:val="18"/>
              </w:rPr>
            </w:pPr>
            <w:r>
              <w:rPr>
                <w:sz w:val="18"/>
              </w:rPr>
              <w:t>30 mg/m² // TM, S4 post TM</w:t>
            </w:r>
          </w:p>
        </w:tc>
        <w:tc>
          <w:tcPr>
            <w:tcW w:w="1395" w:type="dxa"/>
          </w:tcPr>
          <w:p>
            <w:pPr>
              <w:pStyle w:val="TableParagraph"/>
              <w:spacing w:line="249" w:lineRule="exact"/>
              <w:ind w:left="96" w:right="96"/>
              <w:jc w:val="center"/>
              <w:rPr>
                <w:sz w:val="22"/>
              </w:rPr>
            </w:pPr>
            <w:r>
              <w:rPr>
                <w:sz w:val="22"/>
              </w:rPr>
              <w:t>Non</w:t>
            </w:r>
          </w:p>
        </w:tc>
        <w:tc>
          <w:tcPr>
            <w:tcW w:w="4277" w:type="dxa"/>
          </w:tcPr>
          <w:p>
            <w:pPr>
              <w:pStyle w:val="TableParagraph"/>
              <w:ind w:left="1636" w:right="408" w:hanging="1212"/>
              <w:rPr>
                <w:sz w:val="22"/>
              </w:rPr>
            </w:pPr>
            <w:r>
              <w:rPr>
                <w:sz w:val="22"/>
              </w:rPr>
              <w:t>Diarrhée importante après changement alimentaire</w:t>
            </w:r>
          </w:p>
        </w:tc>
        <w:tc>
          <w:tcPr>
            <w:tcW w:w="1558" w:type="dxa"/>
          </w:tcPr>
          <w:p>
            <w:pPr>
              <w:pStyle w:val="TableParagraph"/>
              <w:spacing w:line="249" w:lineRule="exact"/>
              <w:ind w:left="146" w:right="147"/>
              <w:jc w:val="center"/>
              <w:rPr>
                <w:sz w:val="22"/>
              </w:rPr>
            </w:pPr>
            <w:r>
              <w:rPr>
                <w:sz w:val="22"/>
              </w:rPr>
              <w:t>Dysorexie</w:t>
            </w:r>
          </w:p>
        </w:tc>
        <w:tc>
          <w:tcPr>
            <w:tcW w:w="710" w:type="dxa"/>
          </w:tcPr>
          <w:p>
            <w:pPr>
              <w:pStyle w:val="TableParagraph"/>
              <w:spacing w:line="249" w:lineRule="exact"/>
              <w:ind w:left="73" w:right="75"/>
              <w:jc w:val="center"/>
              <w:rPr>
                <w:sz w:val="22"/>
              </w:rPr>
            </w:pPr>
            <w:r>
              <w:rPr>
                <w:sz w:val="22"/>
              </w:rPr>
              <w:t>77</w:t>
            </w:r>
          </w:p>
        </w:tc>
        <w:tc>
          <w:tcPr>
            <w:tcW w:w="708" w:type="dxa"/>
          </w:tcPr>
          <w:p>
            <w:pPr>
              <w:pStyle w:val="TableParagraph"/>
              <w:spacing w:line="249" w:lineRule="exact"/>
              <w:ind w:left="70" w:right="75"/>
              <w:jc w:val="center"/>
              <w:rPr>
                <w:sz w:val="22"/>
              </w:rPr>
            </w:pPr>
            <w:r>
              <w:rPr>
                <w:sz w:val="22"/>
              </w:rPr>
              <w:t>65</w:t>
            </w:r>
          </w:p>
        </w:tc>
      </w:tr>
      <w:tr>
        <w:trPr>
          <w:trHeight w:val="1780" w:hRule="atLeast"/>
        </w:trPr>
        <w:tc>
          <w:tcPr>
            <w:tcW w:w="425" w:type="dxa"/>
            <w:shd w:val="clear" w:color="auto" w:fill="C5DFB3"/>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5"/>
              <w:rPr>
                <w:i/>
                <w:sz w:val="27"/>
              </w:rPr>
            </w:pPr>
          </w:p>
          <w:p>
            <w:pPr>
              <w:pStyle w:val="TableParagraph"/>
              <w:spacing w:line="230" w:lineRule="atLeast"/>
              <w:ind w:left="107" w:right="48" w:hanging="39"/>
              <w:rPr>
                <w:sz w:val="20"/>
              </w:rPr>
            </w:pPr>
            <w:r>
              <w:rPr>
                <w:sz w:val="20"/>
              </w:rPr>
              <w:t>CN</w:t>
            </w:r>
            <w:r>
              <w:rPr>
                <w:w w:val="99"/>
                <w:sz w:val="20"/>
              </w:rPr>
              <w:t> </w:t>
            </w:r>
            <w:r>
              <w:rPr>
                <w:sz w:val="20"/>
              </w:rPr>
              <w:t>10</w:t>
            </w:r>
          </w:p>
        </w:tc>
        <w:tc>
          <w:tcPr>
            <w:tcW w:w="1702" w:type="dxa"/>
          </w:tcPr>
          <w:p>
            <w:pPr>
              <w:pStyle w:val="TableParagraph"/>
              <w:ind w:left="71" w:right="75"/>
              <w:jc w:val="center"/>
              <w:rPr>
                <w:sz w:val="22"/>
              </w:rPr>
            </w:pPr>
            <w:r>
              <w:rPr>
                <w:sz w:val="22"/>
              </w:rPr>
              <w:t>15 jours après chirurgie et diagnostic</w:t>
            </w:r>
          </w:p>
        </w:tc>
        <w:tc>
          <w:tcPr>
            <w:tcW w:w="2269" w:type="dxa"/>
          </w:tcPr>
          <w:p>
            <w:pPr>
              <w:pStyle w:val="TableParagraph"/>
              <w:ind w:left="166" w:right="170"/>
              <w:jc w:val="center"/>
              <w:rPr>
                <w:sz w:val="22"/>
              </w:rPr>
            </w:pPr>
            <w:r>
              <w:rPr>
                <w:sz w:val="22"/>
              </w:rPr>
              <w:t>MET </w:t>
            </w:r>
            <w:r>
              <w:rPr>
                <w:sz w:val="18"/>
              </w:rPr>
              <w:t>15 mg/kg BID </w:t>
            </w:r>
            <w:r>
              <w:rPr>
                <w:sz w:val="22"/>
              </w:rPr>
              <w:t>ALA </w:t>
            </w:r>
            <w:r>
              <w:rPr>
                <w:sz w:val="18"/>
              </w:rPr>
              <w:t>10 mg/kg BID </w:t>
            </w:r>
            <w:r>
              <w:rPr>
                <w:sz w:val="22"/>
              </w:rPr>
              <w:t>HCA </w:t>
            </w:r>
            <w:r>
              <w:rPr>
                <w:sz w:val="18"/>
              </w:rPr>
              <w:t>30 mg/kg BID </w:t>
            </w:r>
            <w:r>
              <w:rPr>
                <w:sz w:val="22"/>
              </w:rPr>
              <w:t>SPU</w:t>
            </w:r>
          </w:p>
        </w:tc>
        <w:tc>
          <w:tcPr>
            <w:tcW w:w="1985" w:type="dxa"/>
          </w:tcPr>
          <w:p>
            <w:pPr>
              <w:pStyle w:val="TableParagraph"/>
              <w:spacing w:line="249" w:lineRule="exact"/>
              <w:ind w:left="74" w:right="75"/>
              <w:jc w:val="center"/>
              <w:rPr>
                <w:sz w:val="22"/>
              </w:rPr>
            </w:pPr>
            <w:r>
              <w:rPr>
                <w:sz w:val="22"/>
              </w:rPr>
              <w:t>Carboplatine</w:t>
            </w:r>
          </w:p>
          <w:p>
            <w:pPr>
              <w:pStyle w:val="TableParagraph"/>
              <w:ind w:left="103" w:right="106"/>
              <w:jc w:val="center"/>
              <w:rPr>
                <w:sz w:val="22"/>
              </w:rPr>
            </w:pPr>
            <w:r>
              <w:rPr>
                <w:sz w:val="18"/>
              </w:rPr>
              <w:t>300 mg/m² // TM, S4 post TM </w:t>
            </w:r>
            <w:r>
              <w:rPr>
                <w:sz w:val="22"/>
              </w:rPr>
              <w:t>Doxorubicine</w:t>
            </w:r>
          </w:p>
          <w:p>
            <w:pPr>
              <w:pStyle w:val="TableParagraph"/>
              <w:ind w:left="72" w:right="75"/>
              <w:jc w:val="center"/>
              <w:rPr>
                <w:sz w:val="18"/>
              </w:rPr>
            </w:pPr>
            <w:r>
              <w:rPr>
                <w:sz w:val="18"/>
              </w:rPr>
              <w:t>30 mg/m² S2, S10 post TM</w:t>
            </w:r>
          </w:p>
          <w:p>
            <w:pPr>
              <w:pStyle w:val="TableParagraph"/>
              <w:spacing w:line="251" w:lineRule="exact"/>
              <w:ind w:left="74" w:right="75"/>
              <w:jc w:val="center"/>
              <w:rPr>
                <w:sz w:val="22"/>
              </w:rPr>
            </w:pPr>
            <w:r>
              <w:rPr>
                <w:sz w:val="22"/>
              </w:rPr>
              <w:t>Chlorambucil</w:t>
            </w:r>
          </w:p>
          <w:p>
            <w:pPr>
              <w:pStyle w:val="TableParagraph"/>
              <w:spacing w:line="191" w:lineRule="exact" w:before="2"/>
              <w:ind w:left="72" w:right="75"/>
              <w:jc w:val="center"/>
              <w:rPr>
                <w:sz w:val="18"/>
              </w:rPr>
            </w:pPr>
            <w:r>
              <w:rPr>
                <w:sz w:val="18"/>
              </w:rPr>
              <w:t>6 mg/m²/j S12 post TM</w:t>
            </w:r>
          </w:p>
        </w:tc>
        <w:tc>
          <w:tcPr>
            <w:tcW w:w="1395" w:type="dxa"/>
          </w:tcPr>
          <w:p>
            <w:pPr>
              <w:pStyle w:val="TableParagraph"/>
              <w:spacing w:line="249" w:lineRule="exact"/>
              <w:ind w:left="237"/>
              <w:rPr>
                <w:sz w:val="22"/>
              </w:rPr>
            </w:pPr>
            <w:r>
              <w:rPr>
                <w:sz w:val="22"/>
              </w:rPr>
              <w:t>Piroxicam</w:t>
            </w:r>
          </w:p>
          <w:p>
            <w:pPr>
              <w:pStyle w:val="TableParagraph"/>
              <w:ind w:left="326"/>
              <w:rPr>
                <w:sz w:val="18"/>
              </w:rPr>
            </w:pPr>
            <w:r>
              <w:rPr>
                <w:sz w:val="18"/>
              </w:rPr>
              <w:t>0,3 mg/kg</w:t>
            </w:r>
          </w:p>
        </w:tc>
        <w:tc>
          <w:tcPr>
            <w:tcW w:w="4277" w:type="dxa"/>
          </w:tcPr>
          <w:p>
            <w:pPr>
              <w:pStyle w:val="TableParagraph"/>
              <w:spacing w:line="248" w:lineRule="exact"/>
              <w:ind w:left="53" w:right="54"/>
              <w:jc w:val="center"/>
              <w:rPr>
                <w:sz w:val="22"/>
              </w:rPr>
            </w:pPr>
            <w:r>
              <w:rPr>
                <w:sz w:val="22"/>
              </w:rPr>
              <w:t>BEG</w:t>
            </w:r>
          </w:p>
          <w:p>
            <w:pPr>
              <w:pStyle w:val="TableParagraph"/>
              <w:ind w:left="160" w:right="161" w:hanging="6"/>
              <w:jc w:val="center"/>
              <w:rPr>
                <w:sz w:val="22"/>
              </w:rPr>
            </w:pPr>
            <w:r>
              <w:rPr>
                <w:sz w:val="22"/>
              </w:rPr>
              <w:t>Diarrhées et vomissements après séance de chimiothérapie (doxorubicine S2 post TM) – hospitalisation nécessaire</w:t>
            </w:r>
          </w:p>
        </w:tc>
        <w:tc>
          <w:tcPr>
            <w:tcW w:w="1558" w:type="dxa"/>
          </w:tcPr>
          <w:p>
            <w:pPr>
              <w:pStyle w:val="TableParagraph"/>
              <w:ind w:left="131" w:right="136" w:firstLine="1"/>
              <w:jc w:val="center"/>
              <w:rPr>
                <w:sz w:val="22"/>
              </w:rPr>
            </w:pPr>
            <w:r>
              <w:rPr>
                <w:sz w:val="22"/>
              </w:rPr>
              <w:t>Episodes de diarrhées (lorsque fortes doses de LSP)</w:t>
            </w:r>
          </w:p>
        </w:tc>
        <w:tc>
          <w:tcPr>
            <w:tcW w:w="710" w:type="dxa"/>
          </w:tcPr>
          <w:p>
            <w:pPr>
              <w:pStyle w:val="TableParagraph"/>
              <w:spacing w:line="249" w:lineRule="exact"/>
              <w:ind w:right="150"/>
              <w:jc w:val="right"/>
              <w:rPr>
                <w:sz w:val="22"/>
              </w:rPr>
            </w:pPr>
            <w:r>
              <w:rPr>
                <w:sz w:val="22"/>
              </w:rPr>
              <w:t>&gt; 90</w:t>
            </w:r>
          </w:p>
        </w:tc>
        <w:tc>
          <w:tcPr>
            <w:tcW w:w="708" w:type="dxa"/>
          </w:tcPr>
          <w:p>
            <w:pPr>
              <w:pStyle w:val="TableParagraph"/>
              <w:spacing w:line="249" w:lineRule="exact"/>
              <w:ind w:left="72" w:right="75"/>
              <w:jc w:val="center"/>
              <w:rPr>
                <w:sz w:val="22"/>
              </w:rPr>
            </w:pPr>
            <w:r>
              <w:rPr>
                <w:sz w:val="22"/>
              </w:rPr>
              <w:t>&gt; 88</w:t>
            </w:r>
          </w:p>
        </w:tc>
      </w:tr>
    </w:tbl>
    <w:p>
      <w:pPr>
        <w:spacing w:after="0" w:line="249" w:lineRule="exact"/>
        <w:jc w:val="center"/>
        <w:rPr>
          <w:sz w:val="22"/>
        </w:rPr>
        <w:sectPr>
          <w:footerReference w:type="even" r:id="rId53"/>
          <w:pgSz w:w="16840" w:h="11910" w:orient="landscape"/>
          <w:pgMar w:footer="998" w:header="0" w:top="1100" w:bottom="1180" w:left="1020" w:right="560"/>
          <w:pgNumType w:start="112"/>
        </w:sectPr>
      </w:pPr>
    </w:p>
    <w:p>
      <w:pPr>
        <w:pStyle w:val="BodyText"/>
        <w:spacing w:before="11"/>
        <w:rPr>
          <w:i/>
          <w:sz w:val="26"/>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6"/>
        <w:gridCol w:w="1702"/>
        <w:gridCol w:w="2269"/>
        <w:gridCol w:w="1985"/>
        <w:gridCol w:w="1395"/>
        <w:gridCol w:w="4277"/>
        <w:gridCol w:w="1558"/>
        <w:gridCol w:w="710"/>
        <w:gridCol w:w="709"/>
      </w:tblGrid>
      <w:tr>
        <w:trPr>
          <w:trHeight w:val="1760" w:hRule="atLeast"/>
        </w:trPr>
        <w:tc>
          <w:tcPr>
            <w:tcW w:w="426" w:type="dxa"/>
            <w:shd w:val="clear" w:color="auto" w:fill="C5DFB3"/>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4"/>
              <w:rPr>
                <w:i/>
                <w:sz w:val="25"/>
              </w:rPr>
            </w:pPr>
          </w:p>
          <w:p>
            <w:pPr>
              <w:pStyle w:val="TableParagraph"/>
              <w:spacing w:line="230" w:lineRule="atLeast"/>
              <w:ind w:left="107" w:right="50" w:hanging="39"/>
              <w:rPr>
                <w:sz w:val="20"/>
              </w:rPr>
            </w:pPr>
            <w:r>
              <w:rPr>
                <w:sz w:val="20"/>
              </w:rPr>
              <w:t>CN 11</w:t>
            </w:r>
          </w:p>
        </w:tc>
        <w:tc>
          <w:tcPr>
            <w:tcW w:w="1702" w:type="dxa"/>
          </w:tcPr>
          <w:p>
            <w:pPr>
              <w:pStyle w:val="TableParagraph"/>
              <w:ind w:left="446" w:right="167" w:hanging="267"/>
              <w:rPr>
                <w:sz w:val="22"/>
              </w:rPr>
            </w:pPr>
            <w:r>
              <w:rPr>
                <w:sz w:val="22"/>
              </w:rPr>
              <w:t>1 mois après la chirurgie</w:t>
            </w:r>
          </w:p>
        </w:tc>
        <w:tc>
          <w:tcPr>
            <w:tcW w:w="2269" w:type="dxa"/>
          </w:tcPr>
          <w:p>
            <w:pPr>
              <w:pStyle w:val="TableParagraph"/>
              <w:spacing w:line="247" w:lineRule="exact"/>
              <w:ind w:left="167" w:right="167"/>
              <w:jc w:val="center"/>
              <w:rPr>
                <w:sz w:val="22"/>
              </w:rPr>
            </w:pPr>
            <w:r>
              <w:rPr>
                <w:sz w:val="22"/>
              </w:rPr>
              <w:t>SPU</w:t>
            </w:r>
          </w:p>
        </w:tc>
        <w:tc>
          <w:tcPr>
            <w:tcW w:w="1985" w:type="dxa"/>
          </w:tcPr>
          <w:p>
            <w:pPr>
              <w:pStyle w:val="TableParagraph"/>
              <w:spacing w:line="247" w:lineRule="exact"/>
              <w:ind w:left="74" w:right="75"/>
              <w:jc w:val="center"/>
              <w:rPr>
                <w:sz w:val="22"/>
              </w:rPr>
            </w:pPr>
            <w:r>
              <w:rPr>
                <w:sz w:val="22"/>
              </w:rPr>
              <w:t>Chloraminophène</w:t>
            </w:r>
          </w:p>
          <w:p>
            <w:pPr>
              <w:pStyle w:val="TableParagraph"/>
              <w:ind w:left="285" w:right="277" w:firstLine="348"/>
              <w:rPr>
                <w:sz w:val="18"/>
              </w:rPr>
            </w:pPr>
            <w:r>
              <w:rPr>
                <w:sz w:val="18"/>
              </w:rPr>
              <w:t>6  mg/m²/j Puis alternance une</w:t>
            </w:r>
          </w:p>
          <w:p>
            <w:pPr>
              <w:pStyle w:val="TableParagraph"/>
              <w:spacing w:line="205" w:lineRule="exact"/>
              <w:ind w:left="74" w:right="75"/>
              <w:jc w:val="center"/>
              <w:rPr>
                <w:sz w:val="18"/>
              </w:rPr>
            </w:pPr>
            <w:r>
              <w:rPr>
                <w:sz w:val="18"/>
              </w:rPr>
              <w:t>semaine sur deux avec</w:t>
            </w:r>
          </w:p>
          <w:p>
            <w:pPr>
              <w:pStyle w:val="TableParagraph"/>
              <w:spacing w:line="252" w:lineRule="exact"/>
              <w:ind w:left="75" w:right="75"/>
              <w:jc w:val="center"/>
              <w:rPr>
                <w:sz w:val="22"/>
              </w:rPr>
            </w:pPr>
            <w:r>
              <w:rPr>
                <w:sz w:val="22"/>
              </w:rPr>
              <w:t>Etoposide</w:t>
            </w:r>
          </w:p>
          <w:p>
            <w:pPr>
              <w:pStyle w:val="TableParagraph"/>
              <w:spacing w:before="2"/>
              <w:ind w:left="75" w:right="75"/>
              <w:jc w:val="center"/>
              <w:rPr>
                <w:sz w:val="18"/>
              </w:rPr>
            </w:pPr>
            <w:r>
              <w:rPr>
                <w:sz w:val="18"/>
              </w:rPr>
              <w:t>50 mg/m²/j S16 post TM</w:t>
            </w:r>
          </w:p>
        </w:tc>
        <w:tc>
          <w:tcPr>
            <w:tcW w:w="1395" w:type="dxa"/>
          </w:tcPr>
          <w:p>
            <w:pPr>
              <w:pStyle w:val="TableParagraph"/>
              <w:spacing w:line="247" w:lineRule="exact"/>
              <w:ind w:left="237"/>
              <w:rPr>
                <w:sz w:val="22"/>
              </w:rPr>
            </w:pPr>
            <w:r>
              <w:rPr>
                <w:sz w:val="22"/>
              </w:rPr>
              <w:t>Piroxicam</w:t>
            </w:r>
          </w:p>
          <w:p>
            <w:pPr>
              <w:pStyle w:val="TableParagraph"/>
              <w:ind w:left="326"/>
              <w:rPr>
                <w:sz w:val="18"/>
              </w:rPr>
            </w:pPr>
            <w:r>
              <w:rPr>
                <w:sz w:val="18"/>
              </w:rPr>
              <w:t>0,3 mg/kg</w:t>
            </w:r>
          </w:p>
        </w:tc>
        <w:tc>
          <w:tcPr>
            <w:tcW w:w="4277" w:type="dxa"/>
          </w:tcPr>
          <w:p>
            <w:pPr>
              <w:pStyle w:val="TableParagraph"/>
              <w:spacing w:line="246" w:lineRule="exact"/>
              <w:ind w:left="53" w:right="54"/>
              <w:jc w:val="center"/>
              <w:rPr>
                <w:sz w:val="22"/>
              </w:rPr>
            </w:pPr>
            <w:r>
              <w:rPr>
                <w:sz w:val="22"/>
              </w:rPr>
              <w:t>BEG, alerte, pas de boiterie</w:t>
            </w:r>
          </w:p>
          <w:p>
            <w:pPr>
              <w:pStyle w:val="TableParagraph"/>
              <w:ind w:left="107" w:right="111" w:firstLine="4"/>
              <w:jc w:val="center"/>
              <w:rPr>
                <w:sz w:val="22"/>
              </w:rPr>
            </w:pPr>
            <w:r>
              <w:rPr>
                <w:i/>
                <w:sz w:val="22"/>
              </w:rPr>
              <w:t>Scanner </w:t>
            </w:r>
            <w:r>
              <w:rPr>
                <w:sz w:val="22"/>
              </w:rPr>
              <w:t>de contrôle S12 post TM : récidive Apparition d’une boiterie S20 post TM </w:t>
            </w:r>
            <w:r>
              <w:rPr>
                <w:i/>
                <w:sz w:val="22"/>
              </w:rPr>
              <w:t>Scanner </w:t>
            </w:r>
            <w:r>
              <w:rPr>
                <w:sz w:val="22"/>
              </w:rPr>
              <w:t>de contrôle S28 post TM : augmentation du nombre de métastases</w:t>
            </w:r>
          </w:p>
          <w:p>
            <w:pPr>
              <w:pStyle w:val="TableParagraph"/>
              <w:spacing w:line="252" w:lineRule="exact" w:before="3"/>
              <w:ind w:left="51" w:right="55"/>
              <w:jc w:val="center"/>
              <w:rPr>
                <w:sz w:val="22"/>
              </w:rPr>
            </w:pPr>
            <w:r>
              <w:rPr>
                <w:sz w:val="22"/>
              </w:rPr>
              <w:t>pulmonaires + Métastase chambre postérieure globe oculaire droit</w:t>
            </w:r>
          </w:p>
        </w:tc>
        <w:tc>
          <w:tcPr>
            <w:tcW w:w="1558" w:type="dxa"/>
          </w:tcPr>
          <w:p>
            <w:pPr>
              <w:pStyle w:val="TableParagraph"/>
              <w:spacing w:line="246" w:lineRule="exact"/>
              <w:ind w:left="146" w:right="147"/>
              <w:jc w:val="center"/>
              <w:rPr>
                <w:sz w:val="22"/>
              </w:rPr>
            </w:pPr>
            <w:r>
              <w:rPr>
                <w:sz w:val="22"/>
              </w:rPr>
              <w:t>BEG</w:t>
            </w:r>
          </w:p>
          <w:p>
            <w:pPr>
              <w:pStyle w:val="TableParagraph"/>
              <w:ind w:left="146" w:right="153"/>
              <w:jc w:val="center"/>
              <w:rPr>
                <w:sz w:val="22"/>
              </w:rPr>
            </w:pPr>
            <w:r>
              <w:rPr>
                <w:sz w:val="22"/>
              </w:rPr>
              <w:t>Apparition d’épisodes de vomissements lors de la récidive</w:t>
            </w:r>
          </w:p>
        </w:tc>
        <w:tc>
          <w:tcPr>
            <w:tcW w:w="710" w:type="dxa"/>
          </w:tcPr>
          <w:p>
            <w:pPr>
              <w:pStyle w:val="TableParagraph"/>
              <w:spacing w:line="247" w:lineRule="exact"/>
              <w:ind w:left="73" w:right="75"/>
              <w:jc w:val="center"/>
              <w:rPr>
                <w:sz w:val="22"/>
              </w:rPr>
            </w:pPr>
            <w:r>
              <w:rPr>
                <w:sz w:val="22"/>
              </w:rPr>
              <w:t>35</w:t>
            </w:r>
          </w:p>
        </w:tc>
        <w:tc>
          <w:tcPr>
            <w:tcW w:w="709" w:type="dxa"/>
          </w:tcPr>
          <w:p>
            <w:pPr>
              <w:pStyle w:val="TableParagraph"/>
              <w:spacing w:line="247" w:lineRule="exact"/>
              <w:ind w:left="235"/>
              <w:rPr>
                <w:sz w:val="22"/>
              </w:rPr>
            </w:pPr>
            <w:r>
              <w:rPr>
                <w:sz w:val="22"/>
              </w:rPr>
              <w:t>31</w:t>
            </w:r>
          </w:p>
        </w:tc>
      </w:tr>
      <w:tr>
        <w:trPr>
          <w:trHeight w:val="1000" w:hRule="atLeast"/>
        </w:trPr>
        <w:tc>
          <w:tcPr>
            <w:tcW w:w="426" w:type="dxa"/>
            <w:shd w:val="clear" w:color="auto" w:fill="C5DFB3"/>
          </w:tcPr>
          <w:p>
            <w:pPr>
              <w:pStyle w:val="TableParagraph"/>
              <w:rPr>
                <w:i/>
                <w:sz w:val="22"/>
              </w:rPr>
            </w:pPr>
          </w:p>
          <w:p>
            <w:pPr>
              <w:pStyle w:val="TableParagraph"/>
              <w:spacing w:before="5"/>
              <w:rPr>
                <w:i/>
                <w:sz w:val="25"/>
              </w:rPr>
            </w:pPr>
          </w:p>
          <w:p>
            <w:pPr>
              <w:pStyle w:val="TableParagraph"/>
              <w:spacing w:line="230" w:lineRule="atLeast"/>
              <w:ind w:left="107" w:right="50" w:hanging="39"/>
              <w:rPr>
                <w:sz w:val="20"/>
              </w:rPr>
            </w:pPr>
            <w:r>
              <w:rPr>
                <w:sz w:val="20"/>
              </w:rPr>
              <w:t>CN 12</w:t>
            </w:r>
          </w:p>
        </w:tc>
        <w:tc>
          <w:tcPr>
            <w:tcW w:w="1702" w:type="dxa"/>
          </w:tcPr>
          <w:p>
            <w:pPr>
              <w:pStyle w:val="TableParagraph"/>
              <w:ind w:left="446" w:right="217" w:hanging="214"/>
              <w:rPr>
                <w:sz w:val="22"/>
              </w:rPr>
            </w:pPr>
            <w:r>
              <w:rPr>
                <w:sz w:val="22"/>
              </w:rPr>
              <w:t>10 mois après chirurgie</w:t>
            </w:r>
          </w:p>
        </w:tc>
        <w:tc>
          <w:tcPr>
            <w:tcW w:w="2269" w:type="dxa"/>
          </w:tcPr>
          <w:p>
            <w:pPr>
              <w:pStyle w:val="TableParagraph"/>
              <w:ind w:left="347" w:right="351" w:firstLine="16"/>
              <w:jc w:val="both"/>
              <w:rPr>
                <w:sz w:val="18"/>
              </w:rPr>
            </w:pPr>
            <w:r>
              <w:rPr>
                <w:sz w:val="22"/>
              </w:rPr>
              <w:t>ALA </w:t>
            </w:r>
            <w:r>
              <w:rPr>
                <w:sz w:val="18"/>
              </w:rPr>
              <w:t>40 mg/kg SID </w:t>
            </w:r>
            <w:r>
              <w:rPr>
                <w:sz w:val="22"/>
              </w:rPr>
              <w:t>DCA </w:t>
            </w:r>
            <w:r>
              <w:rPr>
                <w:sz w:val="18"/>
              </w:rPr>
              <w:t>14 mg/kg BID </w:t>
            </w:r>
            <w:r>
              <w:rPr>
                <w:sz w:val="22"/>
              </w:rPr>
              <w:t>HCA </w:t>
            </w:r>
            <w:r>
              <w:rPr>
                <w:sz w:val="18"/>
              </w:rPr>
              <w:t>14 mg/kg TID</w:t>
            </w:r>
          </w:p>
          <w:p>
            <w:pPr>
              <w:pStyle w:val="TableParagraph"/>
              <w:spacing w:line="239" w:lineRule="exact" w:before="6"/>
              <w:ind w:left="398"/>
              <w:jc w:val="both"/>
              <w:rPr>
                <w:sz w:val="18"/>
              </w:rPr>
            </w:pPr>
            <w:r>
              <w:rPr>
                <w:sz w:val="22"/>
              </w:rPr>
              <w:t>OMP </w:t>
            </w:r>
            <w:r>
              <w:rPr>
                <w:sz w:val="18"/>
              </w:rPr>
              <w:t>1 mg/kg SID</w:t>
            </w:r>
          </w:p>
        </w:tc>
        <w:tc>
          <w:tcPr>
            <w:tcW w:w="1985" w:type="dxa"/>
          </w:tcPr>
          <w:p>
            <w:pPr>
              <w:pStyle w:val="TableParagraph"/>
              <w:spacing w:line="247" w:lineRule="exact"/>
              <w:ind w:left="75" w:right="75"/>
              <w:jc w:val="center"/>
              <w:rPr>
                <w:sz w:val="22"/>
              </w:rPr>
            </w:pPr>
            <w:r>
              <w:rPr>
                <w:sz w:val="22"/>
              </w:rPr>
              <w:t>Non</w:t>
            </w:r>
          </w:p>
        </w:tc>
        <w:tc>
          <w:tcPr>
            <w:tcW w:w="1395" w:type="dxa"/>
          </w:tcPr>
          <w:p>
            <w:pPr>
              <w:pStyle w:val="TableParagraph"/>
              <w:spacing w:line="247" w:lineRule="exact"/>
              <w:ind w:left="96" w:right="97"/>
              <w:jc w:val="center"/>
              <w:rPr>
                <w:sz w:val="22"/>
              </w:rPr>
            </w:pPr>
            <w:r>
              <w:rPr>
                <w:sz w:val="22"/>
              </w:rPr>
              <w:t>Prednisolone</w:t>
            </w:r>
          </w:p>
          <w:p>
            <w:pPr>
              <w:pStyle w:val="TableParagraph"/>
              <w:ind w:left="96" w:right="97"/>
              <w:jc w:val="center"/>
              <w:rPr>
                <w:sz w:val="18"/>
              </w:rPr>
            </w:pPr>
            <w:r>
              <w:rPr>
                <w:sz w:val="18"/>
              </w:rPr>
              <w:t>0,7 mg/kg tous</w:t>
            </w:r>
          </w:p>
          <w:p>
            <w:pPr>
              <w:pStyle w:val="TableParagraph"/>
              <w:spacing w:before="1"/>
              <w:ind w:left="96" w:right="96"/>
              <w:jc w:val="center"/>
              <w:rPr>
                <w:sz w:val="18"/>
              </w:rPr>
            </w:pPr>
            <w:r>
              <w:rPr>
                <w:sz w:val="18"/>
              </w:rPr>
              <w:t>les 3 jours</w:t>
            </w:r>
          </w:p>
        </w:tc>
        <w:tc>
          <w:tcPr>
            <w:tcW w:w="4277" w:type="dxa"/>
          </w:tcPr>
          <w:p>
            <w:pPr>
              <w:pStyle w:val="TableParagraph"/>
              <w:ind w:left="1509" w:right="568" w:hanging="927"/>
              <w:rPr>
                <w:sz w:val="22"/>
              </w:rPr>
            </w:pPr>
            <w:r>
              <w:rPr>
                <w:sz w:val="22"/>
              </w:rPr>
              <w:t>BEG avec épisodes de dysorexie et vomissements</w:t>
            </w:r>
          </w:p>
        </w:tc>
        <w:tc>
          <w:tcPr>
            <w:tcW w:w="1558" w:type="dxa"/>
          </w:tcPr>
          <w:p>
            <w:pPr>
              <w:pStyle w:val="TableParagraph"/>
              <w:ind w:left="148" w:right="127" w:firstLine="172"/>
              <w:rPr>
                <w:sz w:val="22"/>
              </w:rPr>
            </w:pPr>
            <w:r>
              <w:rPr>
                <w:sz w:val="22"/>
              </w:rPr>
              <w:t>BEG avec épisodes de</w:t>
            </w:r>
          </w:p>
          <w:p>
            <w:pPr>
              <w:pStyle w:val="TableParagraph"/>
              <w:spacing w:line="252" w:lineRule="exact" w:before="12"/>
              <w:ind w:left="148" w:right="133" w:firstLine="86"/>
              <w:rPr>
                <w:sz w:val="22"/>
              </w:rPr>
            </w:pPr>
            <w:r>
              <w:rPr>
                <w:sz w:val="22"/>
              </w:rPr>
              <w:t>dysorexie et vomissements</w:t>
            </w:r>
          </w:p>
        </w:tc>
        <w:tc>
          <w:tcPr>
            <w:tcW w:w="710" w:type="dxa"/>
          </w:tcPr>
          <w:p>
            <w:pPr>
              <w:pStyle w:val="TableParagraph"/>
              <w:spacing w:line="247" w:lineRule="exact"/>
              <w:ind w:left="73" w:right="75"/>
              <w:jc w:val="center"/>
              <w:rPr>
                <w:sz w:val="22"/>
              </w:rPr>
            </w:pPr>
            <w:r>
              <w:rPr>
                <w:sz w:val="22"/>
              </w:rPr>
              <w:t>48</w:t>
            </w:r>
          </w:p>
        </w:tc>
        <w:tc>
          <w:tcPr>
            <w:tcW w:w="709" w:type="dxa"/>
          </w:tcPr>
          <w:p>
            <w:pPr>
              <w:pStyle w:val="TableParagraph"/>
              <w:spacing w:line="247" w:lineRule="exact"/>
              <w:ind w:left="290"/>
              <w:rPr>
                <w:sz w:val="22"/>
              </w:rPr>
            </w:pPr>
            <w:r>
              <w:rPr>
                <w:w w:val="100"/>
                <w:sz w:val="22"/>
              </w:rPr>
              <w:t>8</w:t>
            </w:r>
          </w:p>
        </w:tc>
      </w:tr>
      <w:tr>
        <w:trPr>
          <w:trHeight w:val="1760" w:hRule="atLeast"/>
        </w:trPr>
        <w:tc>
          <w:tcPr>
            <w:tcW w:w="426" w:type="dxa"/>
            <w:shd w:val="clear" w:color="auto" w:fill="C5DFB3"/>
          </w:tcPr>
          <w:p>
            <w:pPr>
              <w:pStyle w:val="TableParagraph"/>
              <w:rPr>
                <w:i/>
                <w:sz w:val="22"/>
              </w:rPr>
            </w:pPr>
          </w:p>
          <w:p>
            <w:pPr>
              <w:pStyle w:val="TableParagraph"/>
              <w:rPr>
                <w:i/>
                <w:sz w:val="22"/>
              </w:rPr>
            </w:pPr>
          </w:p>
          <w:p>
            <w:pPr>
              <w:pStyle w:val="TableParagraph"/>
              <w:rPr>
                <w:i/>
                <w:sz w:val="22"/>
              </w:rPr>
            </w:pPr>
          </w:p>
          <w:p>
            <w:pPr>
              <w:pStyle w:val="TableParagraph"/>
              <w:rPr>
                <w:i/>
                <w:sz w:val="22"/>
              </w:rPr>
            </w:pPr>
          </w:p>
          <w:p>
            <w:pPr>
              <w:pStyle w:val="TableParagraph"/>
              <w:spacing w:before="4"/>
              <w:rPr>
                <w:i/>
                <w:sz w:val="25"/>
              </w:rPr>
            </w:pPr>
          </w:p>
          <w:p>
            <w:pPr>
              <w:pStyle w:val="TableParagraph"/>
              <w:spacing w:line="230" w:lineRule="atLeast"/>
              <w:ind w:left="107" w:right="50" w:hanging="39"/>
              <w:rPr>
                <w:sz w:val="20"/>
              </w:rPr>
            </w:pPr>
            <w:r>
              <w:rPr>
                <w:sz w:val="20"/>
              </w:rPr>
              <w:t>CN 13</w:t>
            </w:r>
          </w:p>
        </w:tc>
        <w:tc>
          <w:tcPr>
            <w:tcW w:w="1702" w:type="dxa"/>
          </w:tcPr>
          <w:p>
            <w:pPr>
              <w:pStyle w:val="TableParagraph"/>
              <w:ind w:left="74" w:right="75"/>
              <w:jc w:val="center"/>
              <w:rPr>
                <w:sz w:val="22"/>
              </w:rPr>
            </w:pPr>
            <w:r>
              <w:rPr>
                <w:sz w:val="22"/>
              </w:rPr>
              <w:t>6 semaines après l’exérèse chirurgicale, 20 semaines après la</w:t>
            </w:r>
            <w:r>
              <w:rPr>
                <w:position w:val="-7"/>
                <w:sz w:val="22"/>
              </w:rPr>
              <w:t> 1</w:t>
            </w:r>
            <w:r>
              <w:rPr>
                <w:sz w:val="14"/>
              </w:rPr>
              <w:t>ère           </w:t>
            </w:r>
            <w:r>
              <w:rPr>
                <w:sz w:val="22"/>
              </w:rPr>
              <w:t>chimiothérapie</w:t>
            </w:r>
          </w:p>
        </w:tc>
        <w:tc>
          <w:tcPr>
            <w:tcW w:w="2269" w:type="dxa"/>
          </w:tcPr>
          <w:p>
            <w:pPr>
              <w:pStyle w:val="TableParagraph"/>
              <w:ind w:left="347" w:right="351" w:firstLine="2"/>
              <w:jc w:val="center"/>
              <w:rPr>
                <w:sz w:val="18"/>
              </w:rPr>
            </w:pPr>
            <w:r>
              <w:rPr>
                <w:sz w:val="22"/>
              </w:rPr>
              <w:t>ALA </w:t>
            </w:r>
            <w:r>
              <w:rPr>
                <w:sz w:val="18"/>
              </w:rPr>
              <w:t>10 mg/kg BID </w:t>
            </w:r>
            <w:r>
              <w:rPr>
                <w:sz w:val="22"/>
              </w:rPr>
              <w:t>DCA </w:t>
            </w:r>
            <w:r>
              <w:rPr>
                <w:sz w:val="18"/>
              </w:rPr>
              <w:t>10 mg/kg BID </w:t>
            </w:r>
            <w:r>
              <w:rPr>
                <w:sz w:val="22"/>
              </w:rPr>
              <w:t>HCA </w:t>
            </w:r>
            <w:r>
              <w:rPr>
                <w:sz w:val="18"/>
              </w:rPr>
              <w:t>13 mg/kg TID </w:t>
            </w:r>
            <w:r>
              <w:rPr>
                <w:sz w:val="22"/>
              </w:rPr>
              <w:t>MET </w:t>
            </w:r>
            <w:r>
              <w:rPr>
                <w:sz w:val="18"/>
              </w:rPr>
              <w:t>16 mg/kg</w:t>
            </w:r>
          </w:p>
          <w:p>
            <w:pPr>
              <w:pStyle w:val="TableParagraph"/>
              <w:spacing w:before="6"/>
              <w:ind w:left="167" w:right="170"/>
              <w:jc w:val="center"/>
              <w:rPr>
                <w:sz w:val="18"/>
              </w:rPr>
            </w:pPr>
            <w:r>
              <w:rPr>
                <w:sz w:val="18"/>
              </w:rPr>
              <w:t>à la place du DCA (8 mois post TM)</w:t>
            </w:r>
          </w:p>
          <w:p>
            <w:pPr>
              <w:pStyle w:val="TableParagraph"/>
              <w:spacing w:line="251" w:lineRule="exact"/>
              <w:ind w:left="167" w:right="168"/>
              <w:jc w:val="center"/>
              <w:rPr>
                <w:sz w:val="18"/>
              </w:rPr>
            </w:pPr>
            <w:r>
              <w:rPr>
                <w:sz w:val="22"/>
              </w:rPr>
              <w:t>CIT </w:t>
            </w:r>
            <w:r>
              <w:rPr>
                <w:sz w:val="18"/>
              </w:rPr>
              <w:t>330 mg/kg TID</w:t>
            </w:r>
          </w:p>
        </w:tc>
        <w:tc>
          <w:tcPr>
            <w:tcW w:w="1985" w:type="dxa"/>
          </w:tcPr>
          <w:p>
            <w:pPr>
              <w:pStyle w:val="TableParagraph"/>
              <w:spacing w:line="247" w:lineRule="exact"/>
              <w:ind w:left="74" w:right="75"/>
              <w:jc w:val="center"/>
              <w:rPr>
                <w:sz w:val="22"/>
              </w:rPr>
            </w:pPr>
            <w:r>
              <w:rPr>
                <w:sz w:val="22"/>
              </w:rPr>
              <w:t>Carboplatine</w:t>
            </w:r>
          </w:p>
          <w:p>
            <w:pPr>
              <w:pStyle w:val="TableParagraph"/>
              <w:ind w:left="73" w:right="75"/>
              <w:jc w:val="center"/>
              <w:rPr>
                <w:sz w:val="18"/>
              </w:rPr>
            </w:pPr>
            <w:r>
              <w:rPr>
                <w:sz w:val="18"/>
              </w:rPr>
              <w:t>300 mg/m² S3, S7, S12, S17, S20, S24, S28, S32</w:t>
            </w:r>
          </w:p>
          <w:p>
            <w:pPr>
              <w:pStyle w:val="TableParagraph"/>
              <w:spacing w:before="1"/>
              <w:ind w:left="74" w:right="75"/>
              <w:jc w:val="center"/>
              <w:rPr>
                <w:sz w:val="18"/>
              </w:rPr>
            </w:pPr>
            <w:r>
              <w:rPr>
                <w:sz w:val="18"/>
              </w:rPr>
              <w:t>post TM</w:t>
            </w:r>
          </w:p>
        </w:tc>
        <w:tc>
          <w:tcPr>
            <w:tcW w:w="1395" w:type="dxa"/>
          </w:tcPr>
          <w:p>
            <w:pPr>
              <w:pStyle w:val="TableParagraph"/>
              <w:spacing w:line="247" w:lineRule="exact"/>
              <w:ind w:left="96" w:right="96"/>
              <w:jc w:val="center"/>
              <w:rPr>
                <w:sz w:val="22"/>
              </w:rPr>
            </w:pPr>
            <w:r>
              <w:rPr>
                <w:sz w:val="22"/>
              </w:rPr>
              <w:t>Meloxicam</w:t>
            </w:r>
          </w:p>
        </w:tc>
        <w:tc>
          <w:tcPr>
            <w:tcW w:w="4277" w:type="dxa"/>
          </w:tcPr>
          <w:p>
            <w:pPr>
              <w:pStyle w:val="TableParagraph"/>
              <w:spacing w:line="246" w:lineRule="exact"/>
              <w:ind w:left="53" w:right="54"/>
              <w:jc w:val="center"/>
              <w:rPr>
                <w:sz w:val="22"/>
              </w:rPr>
            </w:pPr>
            <w:r>
              <w:rPr>
                <w:sz w:val="22"/>
              </w:rPr>
              <w:t>BEG</w:t>
            </w:r>
          </w:p>
          <w:p>
            <w:pPr>
              <w:pStyle w:val="TableParagraph"/>
              <w:spacing w:line="252" w:lineRule="exact"/>
              <w:ind w:left="53" w:right="54"/>
              <w:jc w:val="center"/>
              <w:rPr>
                <w:sz w:val="22"/>
              </w:rPr>
            </w:pPr>
            <w:r>
              <w:rPr>
                <w:sz w:val="22"/>
              </w:rPr>
              <w:t>1 épisode de prostatite S24 post TM</w:t>
            </w:r>
          </w:p>
          <w:p>
            <w:pPr>
              <w:pStyle w:val="TableParagraph"/>
              <w:spacing w:before="1"/>
              <w:ind w:left="53" w:right="54"/>
              <w:jc w:val="center"/>
              <w:rPr>
                <w:sz w:val="22"/>
              </w:rPr>
            </w:pPr>
            <w:r>
              <w:rPr>
                <w:i/>
                <w:sz w:val="22"/>
              </w:rPr>
              <w:t>Scanner </w:t>
            </w:r>
            <w:r>
              <w:rPr>
                <w:sz w:val="22"/>
              </w:rPr>
              <w:t>de contrôle S16 post TM : apparition de métastases pulmonaires</w:t>
            </w:r>
          </w:p>
          <w:p>
            <w:pPr>
              <w:pStyle w:val="TableParagraph"/>
              <w:spacing w:line="252" w:lineRule="exact"/>
              <w:ind w:left="53" w:right="54"/>
              <w:jc w:val="center"/>
              <w:rPr>
                <w:sz w:val="22"/>
              </w:rPr>
            </w:pPr>
            <w:r>
              <w:rPr>
                <w:i/>
                <w:sz w:val="22"/>
              </w:rPr>
              <w:t>Scanner </w:t>
            </w:r>
            <w:r>
              <w:rPr>
                <w:sz w:val="22"/>
              </w:rPr>
              <w:t>de contrôle S32 post TM :</w:t>
            </w:r>
          </w:p>
          <w:p>
            <w:pPr>
              <w:pStyle w:val="TableParagraph"/>
              <w:spacing w:line="252" w:lineRule="exact" w:before="5"/>
              <w:ind w:left="53" w:right="55"/>
              <w:jc w:val="center"/>
              <w:rPr>
                <w:sz w:val="22"/>
              </w:rPr>
            </w:pPr>
            <w:r>
              <w:rPr>
                <w:sz w:val="22"/>
              </w:rPr>
              <w:t>progression du nombre de métastases pulmonaires</w:t>
            </w:r>
          </w:p>
        </w:tc>
        <w:tc>
          <w:tcPr>
            <w:tcW w:w="1558" w:type="dxa"/>
          </w:tcPr>
          <w:p>
            <w:pPr>
              <w:pStyle w:val="TableParagraph"/>
              <w:spacing w:line="247" w:lineRule="exact"/>
              <w:ind w:left="146" w:right="147"/>
              <w:jc w:val="center"/>
              <w:rPr>
                <w:sz w:val="22"/>
              </w:rPr>
            </w:pPr>
            <w:r>
              <w:rPr>
                <w:sz w:val="22"/>
              </w:rPr>
              <w:t>BEG</w:t>
            </w:r>
          </w:p>
        </w:tc>
        <w:tc>
          <w:tcPr>
            <w:tcW w:w="710" w:type="dxa"/>
          </w:tcPr>
          <w:p>
            <w:pPr>
              <w:pStyle w:val="TableParagraph"/>
              <w:spacing w:line="247" w:lineRule="exact"/>
              <w:ind w:left="73" w:right="75"/>
              <w:jc w:val="center"/>
              <w:rPr>
                <w:sz w:val="22"/>
              </w:rPr>
            </w:pPr>
            <w:r>
              <w:rPr>
                <w:sz w:val="22"/>
              </w:rPr>
              <w:t>66</w:t>
            </w:r>
          </w:p>
        </w:tc>
        <w:tc>
          <w:tcPr>
            <w:tcW w:w="709" w:type="dxa"/>
          </w:tcPr>
          <w:p>
            <w:pPr>
              <w:pStyle w:val="TableParagraph"/>
              <w:spacing w:line="247" w:lineRule="exact"/>
              <w:ind w:left="235"/>
              <w:rPr>
                <w:sz w:val="22"/>
              </w:rPr>
            </w:pPr>
            <w:r>
              <w:rPr>
                <w:sz w:val="22"/>
              </w:rPr>
              <w:t>46</w:t>
            </w:r>
          </w:p>
        </w:tc>
      </w:tr>
      <w:tr>
        <w:trPr>
          <w:trHeight w:val="1080" w:hRule="atLeast"/>
        </w:trPr>
        <w:tc>
          <w:tcPr>
            <w:tcW w:w="426" w:type="dxa"/>
            <w:shd w:val="clear" w:color="auto" w:fill="C5DFB3"/>
          </w:tcPr>
          <w:p>
            <w:pPr>
              <w:pStyle w:val="TableParagraph"/>
              <w:rPr>
                <w:i/>
                <w:sz w:val="22"/>
              </w:rPr>
            </w:pPr>
          </w:p>
          <w:p>
            <w:pPr>
              <w:pStyle w:val="TableParagraph"/>
              <w:spacing w:before="9"/>
              <w:rPr>
                <w:i/>
                <w:sz w:val="31"/>
              </w:rPr>
            </w:pPr>
          </w:p>
          <w:p>
            <w:pPr>
              <w:pStyle w:val="TableParagraph"/>
              <w:spacing w:line="228" w:lineRule="exact" w:before="1"/>
              <w:ind w:left="155" w:right="62" w:hanging="77"/>
              <w:rPr>
                <w:sz w:val="20"/>
              </w:rPr>
            </w:pPr>
            <w:r>
              <w:rPr>
                <w:sz w:val="20"/>
              </w:rPr>
              <w:t>CT 1</w:t>
            </w:r>
          </w:p>
        </w:tc>
        <w:tc>
          <w:tcPr>
            <w:tcW w:w="1702" w:type="dxa"/>
          </w:tcPr>
          <w:p>
            <w:pPr>
              <w:pStyle w:val="TableParagraph"/>
              <w:ind w:left="391" w:right="167" w:hanging="212"/>
              <w:rPr>
                <w:sz w:val="22"/>
              </w:rPr>
            </w:pPr>
            <w:r>
              <w:rPr>
                <w:sz w:val="22"/>
              </w:rPr>
              <w:t>5 mois après le diagnostic</w:t>
            </w:r>
          </w:p>
        </w:tc>
        <w:tc>
          <w:tcPr>
            <w:tcW w:w="2269" w:type="dxa"/>
          </w:tcPr>
          <w:p>
            <w:pPr>
              <w:pStyle w:val="TableParagraph"/>
              <w:spacing w:line="246" w:lineRule="exact"/>
              <w:ind w:left="347"/>
              <w:rPr>
                <w:sz w:val="18"/>
              </w:rPr>
            </w:pPr>
            <w:r>
              <w:rPr>
                <w:sz w:val="22"/>
              </w:rPr>
              <w:t>DCA </w:t>
            </w:r>
            <w:r>
              <w:rPr>
                <w:sz w:val="18"/>
              </w:rPr>
              <w:t>20 mg/kg BID</w:t>
            </w:r>
          </w:p>
          <w:p>
            <w:pPr>
              <w:pStyle w:val="TableParagraph"/>
              <w:spacing w:line="242" w:lineRule="auto"/>
              <w:ind w:left="191" w:right="173" w:firstLine="156"/>
              <w:rPr>
                <w:sz w:val="18"/>
              </w:rPr>
            </w:pPr>
            <w:r>
              <w:rPr>
                <w:sz w:val="22"/>
              </w:rPr>
              <w:t>HCA </w:t>
            </w:r>
            <w:r>
              <w:rPr>
                <w:sz w:val="18"/>
              </w:rPr>
              <w:t>20 mg/kg BID (un an après le DCA seul)</w:t>
            </w:r>
          </w:p>
        </w:tc>
        <w:tc>
          <w:tcPr>
            <w:tcW w:w="1985" w:type="dxa"/>
          </w:tcPr>
          <w:p>
            <w:pPr>
              <w:pStyle w:val="TableParagraph"/>
              <w:spacing w:line="247" w:lineRule="exact"/>
              <w:ind w:left="75" w:right="75"/>
              <w:jc w:val="center"/>
              <w:rPr>
                <w:sz w:val="22"/>
              </w:rPr>
            </w:pPr>
            <w:r>
              <w:rPr>
                <w:sz w:val="22"/>
              </w:rPr>
              <w:t>Non</w:t>
            </w:r>
          </w:p>
        </w:tc>
        <w:tc>
          <w:tcPr>
            <w:tcW w:w="1395" w:type="dxa"/>
          </w:tcPr>
          <w:p>
            <w:pPr>
              <w:pStyle w:val="TableParagraph"/>
              <w:ind w:left="163" w:right="166" w:firstLine="2"/>
              <w:jc w:val="center"/>
              <w:rPr>
                <w:sz w:val="18"/>
              </w:rPr>
            </w:pPr>
            <w:r>
              <w:rPr>
                <w:sz w:val="22"/>
              </w:rPr>
              <w:t>Meloxicam </w:t>
            </w:r>
            <w:r>
              <w:rPr>
                <w:sz w:val="18"/>
              </w:rPr>
              <w:t>(commencé 5 mois avant,</w:t>
            </w:r>
          </w:p>
          <w:p>
            <w:pPr>
              <w:pStyle w:val="TableParagraph"/>
              <w:spacing w:line="206" w:lineRule="exact" w:before="11"/>
              <w:ind w:left="95" w:right="98"/>
              <w:jc w:val="center"/>
              <w:rPr>
                <w:sz w:val="18"/>
              </w:rPr>
            </w:pPr>
            <w:r>
              <w:rPr>
                <w:sz w:val="18"/>
              </w:rPr>
              <w:t>poursuivi avec TM)</w:t>
            </w:r>
          </w:p>
        </w:tc>
        <w:tc>
          <w:tcPr>
            <w:tcW w:w="4277" w:type="dxa"/>
          </w:tcPr>
          <w:p>
            <w:pPr>
              <w:pStyle w:val="TableParagraph"/>
              <w:spacing w:line="246" w:lineRule="exact"/>
              <w:ind w:left="53" w:right="54"/>
              <w:jc w:val="center"/>
              <w:rPr>
                <w:sz w:val="22"/>
              </w:rPr>
            </w:pPr>
            <w:r>
              <w:rPr>
                <w:sz w:val="22"/>
              </w:rPr>
              <w:t>BEG</w:t>
            </w:r>
          </w:p>
          <w:p>
            <w:pPr>
              <w:pStyle w:val="TableParagraph"/>
              <w:ind w:left="232" w:right="238"/>
              <w:jc w:val="center"/>
              <w:rPr>
                <w:sz w:val="22"/>
              </w:rPr>
            </w:pPr>
            <w:r>
              <w:rPr>
                <w:sz w:val="22"/>
              </w:rPr>
              <w:t>Régression tumorale partielle S20 post TM (diminution de plus de 50% du volume tumoral) puis stabilité pendant 2 ans</w:t>
            </w:r>
          </w:p>
        </w:tc>
        <w:tc>
          <w:tcPr>
            <w:tcW w:w="1558" w:type="dxa"/>
          </w:tcPr>
          <w:p>
            <w:pPr>
              <w:pStyle w:val="TableParagraph"/>
              <w:spacing w:line="247" w:lineRule="exact"/>
              <w:ind w:left="146" w:right="147"/>
              <w:jc w:val="center"/>
              <w:rPr>
                <w:sz w:val="22"/>
              </w:rPr>
            </w:pPr>
            <w:r>
              <w:rPr>
                <w:sz w:val="22"/>
              </w:rPr>
              <w:t>BEG</w:t>
            </w:r>
          </w:p>
        </w:tc>
        <w:tc>
          <w:tcPr>
            <w:tcW w:w="710" w:type="dxa"/>
          </w:tcPr>
          <w:p>
            <w:pPr>
              <w:pStyle w:val="TableParagraph"/>
              <w:spacing w:line="247" w:lineRule="exact"/>
              <w:ind w:left="73" w:right="75"/>
              <w:jc w:val="center"/>
              <w:rPr>
                <w:sz w:val="22"/>
              </w:rPr>
            </w:pPr>
            <w:r>
              <w:rPr>
                <w:sz w:val="22"/>
              </w:rPr>
              <w:t>170</w:t>
            </w:r>
          </w:p>
        </w:tc>
        <w:tc>
          <w:tcPr>
            <w:tcW w:w="709" w:type="dxa"/>
          </w:tcPr>
          <w:p>
            <w:pPr>
              <w:pStyle w:val="TableParagraph"/>
              <w:spacing w:line="247" w:lineRule="exact"/>
              <w:ind w:left="179"/>
              <w:rPr>
                <w:sz w:val="22"/>
              </w:rPr>
            </w:pPr>
            <w:r>
              <w:rPr>
                <w:sz w:val="22"/>
              </w:rPr>
              <w:t>150</w:t>
            </w:r>
          </w:p>
        </w:tc>
      </w:tr>
      <w:tr>
        <w:trPr>
          <w:trHeight w:val="760" w:hRule="atLeast"/>
        </w:trPr>
        <w:tc>
          <w:tcPr>
            <w:tcW w:w="426" w:type="dxa"/>
            <w:shd w:val="clear" w:color="auto" w:fill="C5DFB3"/>
          </w:tcPr>
          <w:p>
            <w:pPr>
              <w:pStyle w:val="TableParagraph"/>
              <w:spacing w:before="5"/>
              <w:rPr>
                <w:i/>
                <w:sz w:val="25"/>
              </w:rPr>
            </w:pPr>
          </w:p>
          <w:p>
            <w:pPr>
              <w:pStyle w:val="TableParagraph"/>
              <w:spacing w:line="230" w:lineRule="atLeast"/>
              <w:ind w:left="155" w:right="62" w:hanging="77"/>
              <w:rPr>
                <w:sz w:val="20"/>
              </w:rPr>
            </w:pPr>
            <w:r>
              <w:rPr>
                <w:sz w:val="20"/>
              </w:rPr>
              <w:t>CT 3</w:t>
            </w:r>
          </w:p>
        </w:tc>
        <w:tc>
          <w:tcPr>
            <w:tcW w:w="1702" w:type="dxa"/>
          </w:tcPr>
          <w:p>
            <w:pPr>
              <w:pStyle w:val="TableParagraph"/>
              <w:spacing w:line="242" w:lineRule="auto"/>
              <w:ind w:left="453" w:right="71" w:hanging="368"/>
              <w:rPr>
                <w:sz w:val="22"/>
              </w:rPr>
            </w:pPr>
            <w:r>
              <w:rPr>
                <w:sz w:val="22"/>
              </w:rPr>
              <w:t>Pas de traitement antérieur</w:t>
            </w:r>
          </w:p>
        </w:tc>
        <w:tc>
          <w:tcPr>
            <w:tcW w:w="2269" w:type="dxa"/>
          </w:tcPr>
          <w:p>
            <w:pPr>
              <w:pStyle w:val="TableParagraph"/>
              <w:spacing w:line="247" w:lineRule="exact"/>
              <w:ind w:left="347"/>
              <w:rPr>
                <w:sz w:val="18"/>
              </w:rPr>
            </w:pPr>
            <w:r>
              <w:rPr>
                <w:sz w:val="22"/>
              </w:rPr>
              <w:t>DCA </w:t>
            </w:r>
            <w:r>
              <w:rPr>
                <w:sz w:val="18"/>
              </w:rPr>
              <w:t>10 mg/kg BID</w:t>
            </w:r>
          </w:p>
          <w:p>
            <w:pPr>
              <w:pStyle w:val="TableParagraph"/>
              <w:spacing w:before="1"/>
              <w:ind w:left="347"/>
              <w:rPr>
                <w:sz w:val="18"/>
              </w:rPr>
            </w:pPr>
            <w:r>
              <w:rPr>
                <w:sz w:val="22"/>
              </w:rPr>
              <w:t>HCA </w:t>
            </w:r>
            <w:r>
              <w:rPr>
                <w:sz w:val="18"/>
              </w:rPr>
              <w:t>20 mg/kg BID</w:t>
            </w:r>
          </w:p>
        </w:tc>
        <w:tc>
          <w:tcPr>
            <w:tcW w:w="1985" w:type="dxa"/>
          </w:tcPr>
          <w:p>
            <w:pPr>
              <w:pStyle w:val="TableParagraph"/>
              <w:spacing w:line="247" w:lineRule="exact"/>
              <w:ind w:left="74" w:right="75"/>
              <w:jc w:val="center"/>
              <w:rPr>
                <w:sz w:val="22"/>
              </w:rPr>
            </w:pPr>
            <w:r>
              <w:rPr>
                <w:sz w:val="22"/>
              </w:rPr>
              <w:t>Carboplatine</w:t>
            </w:r>
          </w:p>
          <w:p>
            <w:pPr>
              <w:pStyle w:val="TableParagraph"/>
              <w:spacing w:before="2"/>
              <w:ind w:left="72" w:right="75"/>
              <w:jc w:val="center"/>
              <w:rPr>
                <w:sz w:val="18"/>
              </w:rPr>
            </w:pPr>
            <w:r>
              <w:rPr>
                <w:sz w:val="18"/>
              </w:rPr>
              <w:t>10 mg/kg toutes les 4 semaines</w:t>
            </w:r>
          </w:p>
        </w:tc>
        <w:tc>
          <w:tcPr>
            <w:tcW w:w="1395" w:type="dxa"/>
          </w:tcPr>
          <w:p>
            <w:pPr>
              <w:pStyle w:val="TableParagraph"/>
              <w:ind w:left="86" w:right="88" w:firstLine="2"/>
              <w:jc w:val="center"/>
              <w:rPr>
                <w:sz w:val="18"/>
              </w:rPr>
            </w:pPr>
            <w:r>
              <w:rPr>
                <w:sz w:val="22"/>
              </w:rPr>
              <w:t>Meloxicam </w:t>
            </w:r>
            <w:r>
              <w:rPr>
                <w:sz w:val="18"/>
              </w:rPr>
              <w:t>0,1 mg/kg SID // TM</w:t>
            </w:r>
          </w:p>
        </w:tc>
        <w:tc>
          <w:tcPr>
            <w:tcW w:w="4277" w:type="dxa"/>
          </w:tcPr>
          <w:p>
            <w:pPr>
              <w:pStyle w:val="TableParagraph"/>
              <w:spacing w:line="247" w:lineRule="exact"/>
              <w:ind w:left="53" w:right="55"/>
              <w:jc w:val="center"/>
              <w:rPr>
                <w:sz w:val="22"/>
              </w:rPr>
            </w:pPr>
            <w:r>
              <w:rPr>
                <w:sz w:val="22"/>
              </w:rPr>
              <w:t>Développement d’un syndrome de Claude</w:t>
            </w:r>
          </w:p>
          <w:p>
            <w:pPr>
              <w:pStyle w:val="TableParagraph"/>
              <w:spacing w:line="252" w:lineRule="exact" w:before="5"/>
              <w:ind w:left="232" w:right="238"/>
              <w:jc w:val="center"/>
              <w:rPr>
                <w:sz w:val="22"/>
              </w:rPr>
            </w:pPr>
            <w:r>
              <w:rPr>
                <w:sz w:val="22"/>
              </w:rPr>
              <w:t>Bernard Horner et dégradation de l’état général (abattement, apathie)</w:t>
            </w:r>
          </w:p>
        </w:tc>
        <w:tc>
          <w:tcPr>
            <w:tcW w:w="1558" w:type="dxa"/>
            <w:shd w:val="clear" w:color="auto" w:fill="F1F1F1"/>
          </w:tcPr>
          <w:p>
            <w:pPr>
              <w:pStyle w:val="TableParagraph"/>
              <w:rPr>
                <w:sz w:val="20"/>
              </w:rPr>
            </w:pPr>
          </w:p>
        </w:tc>
        <w:tc>
          <w:tcPr>
            <w:tcW w:w="710" w:type="dxa"/>
          </w:tcPr>
          <w:p>
            <w:pPr>
              <w:pStyle w:val="TableParagraph"/>
              <w:spacing w:line="247" w:lineRule="exact"/>
              <w:ind w:right="2"/>
              <w:jc w:val="center"/>
              <w:rPr>
                <w:sz w:val="22"/>
              </w:rPr>
            </w:pPr>
            <w:r>
              <w:rPr>
                <w:w w:val="100"/>
                <w:sz w:val="22"/>
              </w:rPr>
              <w:t>7</w:t>
            </w:r>
          </w:p>
        </w:tc>
        <w:tc>
          <w:tcPr>
            <w:tcW w:w="709" w:type="dxa"/>
          </w:tcPr>
          <w:p>
            <w:pPr>
              <w:pStyle w:val="TableParagraph"/>
              <w:spacing w:line="247" w:lineRule="exact"/>
              <w:ind w:left="290"/>
              <w:rPr>
                <w:sz w:val="22"/>
              </w:rPr>
            </w:pPr>
            <w:r>
              <w:rPr>
                <w:w w:val="100"/>
                <w:sz w:val="22"/>
              </w:rPr>
              <w:t>7</w:t>
            </w:r>
          </w:p>
        </w:tc>
      </w:tr>
      <w:tr>
        <w:trPr>
          <w:trHeight w:val="1060" w:hRule="atLeast"/>
        </w:trPr>
        <w:tc>
          <w:tcPr>
            <w:tcW w:w="426" w:type="dxa"/>
            <w:shd w:val="clear" w:color="auto" w:fill="C5DFB3"/>
          </w:tcPr>
          <w:p>
            <w:pPr>
              <w:pStyle w:val="TableParagraph"/>
              <w:rPr>
                <w:i/>
                <w:sz w:val="22"/>
              </w:rPr>
            </w:pPr>
          </w:p>
          <w:p>
            <w:pPr>
              <w:pStyle w:val="TableParagraph"/>
              <w:spacing w:before="9"/>
              <w:rPr>
                <w:i/>
                <w:sz w:val="31"/>
              </w:rPr>
            </w:pPr>
          </w:p>
          <w:p>
            <w:pPr>
              <w:pStyle w:val="TableParagraph"/>
              <w:spacing w:line="228" w:lineRule="exact"/>
              <w:ind w:left="155" w:right="62" w:hanging="77"/>
              <w:rPr>
                <w:sz w:val="20"/>
              </w:rPr>
            </w:pPr>
            <w:r>
              <w:rPr>
                <w:sz w:val="20"/>
              </w:rPr>
              <w:t>CT 4</w:t>
            </w:r>
          </w:p>
        </w:tc>
        <w:tc>
          <w:tcPr>
            <w:tcW w:w="1702" w:type="dxa"/>
          </w:tcPr>
          <w:p>
            <w:pPr>
              <w:pStyle w:val="TableParagraph"/>
              <w:ind w:left="101" w:right="88" w:hanging="15"/>
              <w:jc w:val="both"/>
              <w:rPr>
                <w:sz w:val="22"/>
              </w:rPr>
            </w:pPr>
            <w:r>
              <w:rPr>
                <w:sz w:val="22"/>
              </w:rPr>
              <w:t>Pas de traitement antérieur, 2 mois post diagnostic</w:t>
            </w:r>
          </w:p>
        </w:tc>
        <w:tc>
          <w:tcPr>
            <w:tcW w:w="2269" w:type="dxa"/>
          </w:tcPr>
          <w:p>
            <w:pPr>
              <w:pStyle w:val="TableParagraph"/>
              <w:spacing w:line="246" w:lineRule="exact"/>
              <w:ind w:left="347"/>
              <w:rPr>
                <w:sz w:val="18"/>
              </w:rPr>
            </w:pPr>
            <w:r>
              <w:rPr>
                <w:sz w:val="22"/>
              </w:rPr>
              <w:t>DCA </w:t>
            </w:r>
            <w:r>
              <w:rPr>
                <w:sz w:val="18"/>
              </w:rPr>
              <w:t>15 mg/kg BID</w:t>
            </w:r>
          </w:p>
          <w:p>
            <w:pPr>
              <w:pStyle w:val="TableParagraph"/>
              <w:spacing w:line="252" w:lineRule="exact"/>
              <w:ind w:left="347"/>
              <w:rPr>
                <w:sz w:val="18"/>
              </w:rPr>
            </w:pPr>
            <w:r>
              <w:rPr>
                <w:sz w:val="22"/>
              </w:rPr>
              <w:t>HCA </w:t>
            </w:r>
            <w:r>
              <w:rPr>
                <w:sz w:val="18"/>
              </w:rPr>
              <w:t>15 mg/kg BID</w:t>
            </w:r>
          </w:p>
        </w:tc>
        <w:tc>
          <w:tcPr>
            <w:tcW w:w="1985" w:type="dxa"/>
          </w:tcPr>
          <w:p>
            <w:pPr>
              <w:pStyle w:val="TableParagraph"/>
              <w:spacing w:line="247" w:lineRule="exact"/>
              <w:ind w:left="75" w:right="75"/>
              <w:jc w:val="center"/>
              <w:rPr>
                <w:sz w:val="22"/>
              </w:rPr>
            </w:pPr>
            <w:r>
              <w:rPr>
                <w:sz w:val="22"/>
              </w:rPr>
              <w:t>Masitinib</w:t>
            </w:r>
          </w:p>
          <w:p>
            <w:pPr>
              <w:pStyle w:val="TableParagraph"/>
              <w:ind w:left="75" w:right="75"/>
              <w:jc w:val="center"/>
              <w:rPr>
                <w:sz w:val="18"/>
              </w:rPr>
            </w:pPr>
            <w:r>
              <w:rPr>
                <w:sz w:val="18"/>
              </w:rPr>
              <w:t>10 mg/kg trois fois par semaine S8 post TM après progression</w:t>
            </w:r>
          </w:p>
          <w:p>
            <w:pPr>
              <w:pStyle w:val="TableParagraph"/>
              <w:spacing w:line="190" w:lineRule="exact"/>
              <w:ind w:left="75" w:right="75"/>
              <w:jc w:val="center"/>
              <w:rPr>
                <w:sz w:val="18"/>
              </w:rPr>
            </w:pPr>
            <w:r>
              <w:rPr>
                <w:sz w:val="18"/>
              </w:rPr>
              <w:t>tumorale</w:t>
            </w:r>
          </w:p>
        </w:tc>
        <w:tc>
          <w:tcPr>
            <w:tcW w:w="1395" w:type="dxa"/>
          </w:tcPr>
          <w:p>
            <w:pPr>
              <w:pStyle w:val="TableParagraph"/>
              <w:spacing w:line="247" w:lineRule="exact"/>
              <w:ind w:left="96" w:right="96"/>
              <w:jc w:val="center"/>
              <w:rPr>
                <w:sz w:val="22"/>
              </w:rPr>
            </w:pPr>
            <w:r>
              <w:rPr>
                <w:sz w:val="22"/>
              </w:rPr>
              <w:t>Non</w:t>
            </w:r>
          </w:p>
        </w:tc>
        <w:tc>
          <w:tcPr>
            <w:tcW w:w="4277" w:type="dxa"/>
          </w:tcPr>
          <w:p>
            <w:pPr>
              <w:pStyle w:val="TableParagraph"/>
              <w:spacing w:line="246" w:lineRule="exact"/>
              <w:ind w:left="53" w:right="54"/>
              <w:jc w:val="center"/>
              <w:rPr>
                <w:sz w:val="22"/>
              </w:rPr>
            </w:pPr>
            <w:r>
              <w:rPr>
                <w:sz w:val="22"/>
              </w:rPr>
              <w:t>BEG</w:t>
            </w:r>
          </w:p>
          <w:p>
            <w:pPr>
              <w:pStyle w:val="TableParagraph"/>
              <w:ind w:left="51" w:right="55"/>
              <w:jc w:val="center"/>
              <w:rPr>
                <w:sz w:val="22"/>
              </w:rPr>
            </w:pPr>
            <w:r>
              <w:rPr>
                <w:sz w:val="22"/>
              </w:rPr>
              <w:t>Tumeur stable (mesures régulières) pendant 2 mois sous TM puis progression</w:t>
            </w:r>
          </w:p>
        </w:tc>
        <w:tc>
          <w:tcPr>
            <w:tcW w:w="1558" w:type="dxa"/>
          </w:tcPr>
          <w:p>
            <w:pPr>
              <w:pStyle w:val="TableParagraph"/>
              <w:spacing w:line="247" w:lineRule="exact"/>
              <w:ind w:left="146" w:right="147"/>
              <w:jc w:val="center"/>
              <w:rPr>
                <w:sz w:val="22"/>
              </w:rPr>
            </w:pPr>
            <w:r>
              <w:rPr>
                <w:sz w:val="22"/>
              </w:rPr>
              <w:t>BEG</w:t>
            </w:r>
          </w:p>
        </w:tc>
        <w:tc>
          <w:tcPr>
            <w:tcW w:w="710" w:type="dxa"/>
          </w:tcPr>
          <w:p>
            <w:pPr>
              <w:pStyle w:val="TableParagraph"/>
              <w:spacing w:line="247" w:lineRule="exact"/>
              <w:ind w:left="73" w:right="75"/>
              <w:jc w:val="center"/>
              <w:rPr>
                <w:sz w:val="22"/>
              </w:rPr>
            </w:pPr>
            <w:r>
              <w:rPr>
                <w:sz w:val="22"/>
              </w:rPr>
              <w:t>45</w:t>
            </w:r>
          </w:p>
        </w:tc>
        <w:tc>
          <w:tcPr>
            <w:tcW w:w="709" w:type="dxa"/>
          </w:tcPr>
          <w:p>
            <w:pPr>
              <w:pStyle w:val="TableParagraph"/>
              <w:spacing w:line="247" w:lineRule="exact"/>
              <w:ind w:left="235"/>
              <w:rPr>
                <w:sz w:val="22"/>
              </w:rPr>
            </w:pPr>
            <w:r>
              <w:rPr>
                <w:sz w:val="22"/>
              </w:rPr>
              <w:t>45</w:t>
            </w:r>
          </w:p>
        </w:tc>
      </w:tr>
      <w:tr>
        <w:trPr>
          <w:trHeight w:val="300" w:hRule="atLeast"/>
        </w:trPr>
        <w:tc>
          <w:tcPr>
            <w:tcW w:w="15031" w:type="dxa"/>
            <w:gridSpan w:val="9"/>
            <w:tcBorders>
              <w:left w:val="nil"/>
              <w:right w:val="nil"/>
            </w:tcBorders>
          </w:tcPr>
          <w:p>
            <w:pPr>
              <w:pStyle w:val="TableParagraph"/>
              <w:rPr>
                <w:sz w:val="20"/>
              </w:rPr>
            </w:pPr>
          </w:p>
        </w:tc>
      </w:tr>
      <w:tr>
        <w:trPr>
          <w:trHeight w:val="280" w:hRule="atLeast"/>
        </w:trPr>
        <w:tc>
          <w:tcPr>
            <w:tcW w:w="14322" w:type="dxa"/>
            <w:gridSpan w:val="8"/>
            <w:shd w:val="clear" w:color="auto" w:fill="BCD5ED"/>
          </w:tcPr>
          <w:p>
            <w:pPr>
              <w:pStyle w:val="TableParagraph"/>
              <w:spacing w:line="256" w:lineRule="exact" w:before="20"/>
              <w:ind w:left="5979" w:right="5987"/>
              <w:jc w:val="center"/>
              <w:rPr>
                <w:b/>
                <w:sz w:val="24"/>
              </w:rPr>
            </w:pPr>
            <w:r>
              <w:rPr>
                <w:b/>
                <w:sz w:val="24"/>
              </w:rPr>
              <w:t>Hémopathies</w:t>
            </w:r>
            <w:r>
              <w:rPr>
                <w:b/>
                <w:spacing w:val="-9"/>
                <w:sz w:val="24"/>
              </w:rPr>
              <w:t> </w:t>
            </w:r>
            <w:r>
              <w:rPr>
                <w:b/>
                <w:sz w:val="24"/>
              </w:rPr>
              <w:t>malignes</w:t>
            </w:r>
          </w:p>
        </w:tc>
        <w:tc>
          <w:tcPr>
            <w:tcW w:w="709" w:type="dxa"/>
            <w:shd w:val="clear" w:color="auto" w:fill="BCD5ED"/>
          </w:tcPr>
          <w:p>
            <w:pPr>
              <w:pStyle w:val="TableParagraph"/>
              <w:rPr>
                <w:sz w:val="20"/>
              </w:rPr>
            </w:pPr>
          </w:p>
        </w:tc>
      </w:tr>
      <w:tr>
        <w:trPr>
          <w:trHeight w:val="880" w:hRule="atLeast"/>
        </w:trPr>
        <w:tc>
          <w:tcPr>
            <w:tcW w:w="426" w:type="dxa"/>
            <w:shd w:val="clear" w:color="auto" w:fill="BCD5ED"/>
          </w:tcPr>
          <w:p>
            <w:pPr>
              <w:pStyle w:val="TableParagraph"/>
              <w:rPr>
                <w:i/>
                <w:sz w:val="22"/>
              </w:rPr>
            </w:pPr>
          </w:p>
          <w:p>
            <w:pPr>
              <w:pStyle w:val="TableParagraph"/>
              <w:spacing w:line="230" w:lineRule="atLeast" w:before="158"/>
              <w:ind w:left="155" w:right="50" w:hanging="87"/>
              <w:rPr>
                <w:sz w:val="20"/>
              </w:rPr>
            </w:pPr>
            <w:r>
              <w:rPr>
                <w:sz w:val="20"/>
              </w:rPr>
              <w:t>CN 2</w:t>
            </w:r>
          </w:p>
        </w:tc>
        <w:tc>
          <w:tcPr>
            <w:tcW w:w="1702" w:type="dxa"/>
          </w:tcPr>
          <w:p>
            <w:pPr>
              <w:pStyle w:val="TableParagraph"/>
              <w:ind w:left="72" w:right="75"/>
              <w:jc w:val="center"/>
              <w:rPr>
                <w:sz w:val="22"/>
              </w:rPr>
            </w:pPr>
            <w:r>
              <w:rPr>
                <w:sz w:val="22"/>
              </w:rPr>
              <w:t>7 mois après le début du L- CHOP, pas de</w:t>
            </w:r>
          </w:p>
        </w:tc>
        <w:tc>
          <w:tcPr>
            <w:tcW w:w="2269" w:type="dxa"/>
          </w:tcPr>
          <w:p>
            <w:pPr>
              <w:pStyle w:val="TableParagraph"/>
              <w:ind w:left="347" w:right="351" w:firstLine="7"/>
              <w:jc w:val="both"/>
              <w:rPr>
                <w:sz w:val="18"/>
              </w:rPr>
            </w:pPr>
            <w:r>
              <w:rPr>
                <w:sz w:val="22"/>
              </w:rPr>
              <w:t>ALA </w:t>
            </w:r>
            <w:r>
              <w:rPr>
                <w:sz w:val="18"/>
              </w:rPr>
              <w:t>20 mg/kg BID </w:t>
            </w:r>
            <w:r>
              <w:rPr>
                <w:sz w:val="22"/>
              </w:rPr>
              <w:t>HCA </w:t>
            </w:r>
            <w:r>
              <w:rPr>
                <w:sz w:val="18"/>
              </w:rPr>
              <w:t>20 mg/kg BID </w:t>
            </w:r>
            <w:r>
              <w:rPr>
                <w:sz w:val="22"/>
              </w:rPr>
              <w:t>MET </w:t>
            </w:r>
            <w:r>
              <w:rPr>
                <w:sz w:val="18"/>
              </w:rPr>
              <w:t>20 mg/kg SID</w:t>
            </w:r>
          </w:p>
        </w:tc>
        <w:tc>
          <w:tcPr>
            <w:tcW w:w="1985" w:type="dxa"/>
          </w:tcPr>
          <w:p>
            <w:pPr>
              <w:pStyle w:val="TableParagraph"/>
              <w:spacing w:line="252" w:lineRule="exact"/>
              <w:ind w:left="75" w:right="74"/>
              <w:jc w:val="center"/>
              <w:rPr>
                <w:sz w:val="22"/>
              </w:rPr>
            </w:pPr>
            <w:r>
              <w:rPr>
                <w:sz w:val="22"/>
              </w:rPr>
              <w:t>Chloraminophène</w:t>
            </w:r>
          </w:p>
          <w:p>
            <w:pPr>
              <w:pStyle w:val="TableParagraph"/>
              <w:spacing w:line="207" w:lineRule="exact"/>
              <w:ind w:left="74" w:right="75"/>
              <w:jc w:val="center"/>
              <w:rPr>
                <w:sz w:val="18"/>
              </w:rPr>
            </w:pPr>
            <w:r>
              <w:rPr>
                <w:sz w:val="18"/>
              </w:rPr>
              <w:t>6 mg/m²/j</w:t>
            </w:r>
          </w:p>
          <w:p>
            <w:pPr>
              <w:pStyle w:val="TableParagraph"/>
              <w:spacing w:line="208" w:lineRule="exact" w:before="1"/>
              <w:ind w:left="75" w:right="74"/>
              <w:jc w:val="center"/>
              <w:rPr>
                <w:sz w:val="18"/>
              </w:rPr>
            </w:pPr>
            <w:r>
              <w:rPr>
                <w:sz w:val="18"/>
              </w:rPr>
              <w:t>(4 mois après le début de la TM)</w:t>
            </w:r>
          </w:p>
        </w:tc>
        <w:tc>
          <w:tcPr>
            <w:tcW w:w="1395" w:type="dxa"/>
          </w:tcPr>
          <w:p>
            <w:pPr>
              <w:pStyle w:val="TableParagraph"/>
              <w:ind w:left="213" w:right="102" w:hanging="99"/>
              <w:rPr>
                <w:sz w:val="18"/>
              </w:rPr>
            </w:pPr>
            <w:r>
              <w:rPr>
                <w:sz w:val="22"/>
              </w:rPr>
              <w:t>Prednisolone </w:t>
            </w:r>
            <w:r>
              <w:rPr>
                <w:sz w:val="18"/>
              </w:rPr>
              <w:t>0,6 mg/kg un jour sur deux</w:t>
            </w:r>
          </w:p>
        </w:tc>
        <w:tc>
          <w:tcPr>
            <w:tcW w:w="4277" w:type="dxa"/>
          </w:tcPr>
          <w:p>
            <w:pPr>
              <w:pStyle w:val="TableParagraph"/>
              <w:ind w:left="1046" w:right="456" w:hanging="579"/>
              <w:rPr>
                <w:sz w:val="22"/>
              </w:rPr>
            </w:pPr>
            <w:r>
              <w:rPr>
                <w:sz w:val="22"/>
              </w:rPr>
              <w:t>BEG - Généralisation lymphome, à la palpation (S28 post TM)</w:t>
            </w:r>
          </w:p>
        </w:tc>
        <w:tc>
          <w:tcPr>
            <w:tcW w:w="1558" w:type="dxa"/>
          </w:tcPr>
          <w:p>
            <w:pPr>
              <w:pStyle w:val="TableParagraph"/>
              <w:spacing w:line="252" w:lineRule="exact"/>
              <w:ind w:left="146" w:right="147"/>
              <w:jc w:val="center"/>
              <w:rPr>
                <w:sz w:val="22"/>
              </w:rPr>
            </w:pPr>
            <w:r>
              <w:rPr>
                <w:sz w:val="22"/>
              </w:rPr>
              <w:t>BEG</w:t>
            </w:r>
          </w:p>
        </w:tc>
        <w:tc>
          <w:tcPr>
            <w:tcW w:w="710" w:type="dxa"/>
          </w:tcPr>
          <w:p>
            <w:pPr>
              <w:pStyle w:val="TableParagraph"/>
              <w:spacing w:line="252" w:lineRule="exact"/>
              <w:ind w:left="73" w:right="75"/>
              <w:jc w:val="center"/>
              <w:rPr>
                <w:sz w:val="22"/>
              </w:rPr>
            </w:pPr>
            <w:r>
              <w:rPr>
                <w:sz w:val="22"/>
              </w:rPr>
              <w:t>84</w:t>
            </w:r>
          </w:p>
        </w:tc>
        <w:tc>
          <w:tcPr>
            <w:tcW w:w="709" w:type="dxa"/>
          </w:tcPr>
          <w:p>
            <w:pPr>
              <w:pStyle w:val="TableParagraph"/>
              <w:spacing w:line="252" w:lineRule="exact"/>
              <w:ind w:left="235"/>
              <w:rPr>
                <w:sz w:val="22"/>
              </w:rPr>
            </w:pPr>
            <w:r>
              <w:rPr>
                <w:sz w:val="22"/>
              </w:rPr>
              <w:t>53</w:t>
            </w:r>
          </w:p>
        </w:tc>
      </w:tr>
    </w:tbl>
    <w:p>
      <w:pPr>
        <w:pStyle w:val="BodyText"/>
        <w:spacing w:before="8"/>
        <w:rPr>
          <w:i/>
          <w:sz w:val="6"/>
        </w:rPr>
      </w:pPr>
    </w:p>
    <w:p>
      <w:pPr>
        <w:pStyle w:val="BodyText"/>
        <w:spacing w:before="90"/>
        <w:ind w:left="7202" w:right="7657"/>
        <w:jc w:val="center"/>
      </w:pPr>
      <w:r>
        <w:rPr/>
        <w:t>113</w:t>
      </w:r>
    </w:p>
    <w:p>
      <w:pPr>
        <w:spacing w:after="0"/>
        <w:jc w:val="center"/>
        <w:sectPr>
          <w:footerReference w:type="default" r:id="rId54"/>
          <w:pgSz w:w="16840" w:h="11910" w:orient="landscape"/>
          <w:pgMar w:footer="0" w:header="0" w:top="1100" w:bottom="280" w:left="1020" w:right="560"/>
        </w:sectPr>
      </w:pPr>
    </w:p>
    <w:p>
      <w:pPr>
        <w:pStyle w:val="BodyText"/>
        <w:spacing w:before="1" w:after="1"/>
        <w:rPr>
          <w:sz w:val="27"/>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1702"/>
        <w:gridCol w:w="2269"/>
        <w:gridCol w:w="1985"/>
        <w:gridCol w:w="1395"/>
        <w:gridCol w:w="4277"/>
        <w:gridCol w:w="1558"/>
        <w:gridCol w:w="710"/>
        <w:gridCol w:w="708"/>
      </w:tblGrid>
      <w:tr>
        <w:trPr>
          <w:trHeight w:val="500" w:hRule="atLeast"/>
        </w:trPr>
        <w:tc>
          <w:tcPr>
            <w:tcW w:w="425" w:type="dxa"/>
            <w:shd w:val="clear" w:color="auto" w:fill="BCD5ED"/>
          </w:tcPr>
          <w:p>
            <w:pPr>
              <w:pStyle w:val="TableParagraph"/>
              <w:rPr>
                <w:sz w:val="20"/>
              </w:rPr>
            </w:pPr>
          </w:p>
        </w:tc>
        <w:tc>
          <w:tcPr>
            <w:tcW w:w="1702" w:type="dxa"/>
          </w:tcPr>
          <w:p>
            <w:pPr>
              <w:pStyle w:val="TableParagraph"/>
              <w:spacing w:line="246" w:lineRule="exact"/>
              <w:ind w:left="496" w:hanging="82"/>
              <w:rPr>
                <w:sz w:val="22"/>
              </w:rPr>
            </w:pPr>
            <w:r>
              <w:rPr>
                <w:sz w:val="22"/>
              </w:rPr>
              <w:t>rémission</w:t>
            </w:r>
          </w:p>
          <w:p>
            <w:pPr>
              <w:pStyle w:val="TableParagraph"/>
              <w:spacing w:line="240" w:lineRule="exact"/>
              <w:ind w:left="496"/>
              <w:rPr>
                <w:sz w:val="22"/>
              </w:rPr>
            </w:pPr>
            <w:r>
              <w:rPr>
                <w:sz w:val="22"/>
              </w:rPr>
              <w:t>obtenue</w:t>
            </w:r>
          </w:p>
        </w:tc>
        <w:tc>
          <w:tcPr>
            <w:tcW w:w="2269" w:type="dxa"/>
          </w:tcPr>
          <w:p>
            <w:pPr>
              <w:pStyle w:val="TableParagraph"/>
              <w:spacing w:line="247" w:lineRule="exact"/>
              <w:ind w:left="398"/>
              <w:rPr>
                <w:sz w:val="18"/>
              </w:rPr>
            </w:pPr>
            <w:r>
              <w:rPr>
                <w:sz w:val="22"/>
              </w:rPr>
              <w:t>OMP </w:t>
            </w:r>
            <w:r>
              <w:rPr>
                <w:sz w:val="18"/>
              </w:rPr>
              <w:t>1 mg/kg SID</w:t>
            </w:r>
          </w:p>
        </w:tc>
        <w:tc>
          <w:tcPr>
            <w:tcW w:w="1985" w:type="dxa"/>
          </w:tcPr>
          <w:p>
            <w:pPr>
              <w:pStyle w:val="TableParagraph"/>
              <w:rPr>
                <w:sz w:val="20"/>
              </w:rPr>
            </w:pPr>
          </w:p>
        </w:tc>
        <w:tc>
          <w:tcPr>
            <w:tcW w:w="1395" w:type="dxa"/>
          </w:tcPr>
          <w:p>
            <w:pPr>
              <w:pStyle w:val="TableParagraph"/>
              <w:ind w:left="335" w:right="70" w:hanging="269"/>
              <w:rPr>
                <w:sz w:val="18"/>
              </w:rPr>
            </w:pPr>
            <w:r>
              <w:rPr>
                <w:sz w:val="18"/>
              </w:rPr>
              <w:t>(poursuivie après L-CHOP)</w:t>
            </w:r>
          </w:p>
        </w:tc>
        <w:tc>
          <w:tcPr>
            <w:tcW w:w="4277" w:type="dxa"/>
          </w:tcPr>
          <w:p>
            <w:pPr>
              <w:pStyle w:val="TableParagraph"/>
              <w:spacing w:line="246" w:lineRule="exact"/>
              <w:ind w:left="51" w:right="55"/>
              <w:jc w:val="center"/>
              <w:rPr>
                <w:sz w:val="22"/>
              </w:rPr>
            </w:pPr>
            <w:r>
              <w:rPr>
                <w:i/>
                <w:sz w:val="22"/>
              </w:rPr>
              <w:t>Échographie abdominale </w:t>
            </w:r>
            <w:r>
              <w:rPr>
                <w:sz w:val="22"/>
              </w:rPr>
              <w:t>de contrôle S28 post</w:t>
            </w:r>
          </w:p>
          <w:p>
            <w:pPr>
              <w:pStyle w:val="TableParagraph"/>
              <w:spacing w:line="240" w:lineRule="exact"/>
              <w:ind w:left="51" w:right="55"/>
              <w:jc w:val="center"/>
              <w:rPr>
                <w:sz w:val="22"/>
              </w:rPr>
            </w:pPr>
            <w:r>
              <w:rPr>
                <w:sz w:val="22"/>
              </w:rPr>
              <w:t>TM : Généralisation lymphome</w:t>
            </w:r>
          </w:p>
        </w:tc>
        <w:tc>
          <w:tcPr>
            <w:tcW w:w="1558" w:type="dxa"/>
          </w:tcPr>
          <w:p>
            <w:pPr>
              <w:pStyle w:val="TableParagraph"/>
              <w:rPr>
                <w:sz w:val="20"/>
              </w:rPr>
            </w:pPr>
          </w:p>
        </w:tc>
        <w:tc>
          <w:tcPr>
            <w:tcW w:w="710" w:type="dxa"/>
          </w:tcPr>
          <w:p>
            <w:pPr>
              <w:pStyle w:val="TableParagraph"/>
              <w:rPr>
                <w:sz w:val="20"/>
              </w:rPr>
            </w:pPr>
          </w:p>
        </w:tc>
        <w:tc>
          <w:tcPr>
            <w:tcW w:w="708" w:type="dxa"/>
          </w:tcPr>
          <w:p>
            <w:pPr>
              <w:pStyle w:val="TableParagraph"/>
              <w:rPr>
                <w:sz w:val="20"/>
              </w:rPr>
            </w:pPr>
          </w:p>
        </w:tc>
      </w:tr>
      <w:tr>
        <w:trPr>
          <w:trHeight w:val="1420" w:hRule="atLeast"/>
        </w:trPr>
        <w:tc>
          <w:tcPr>
            <w:tcW w:w="425" w:type="dxa"/>
            <w:shd w:val="clear" w:color="auto" w:fill="BCD5ED"/>
          </w:tcPr>
          <w:p>
            <w:pPr>
              <w:pStyle w:val="TableParagraph"/>
              <w:rPr>
                <w:sz w:val="22"/>
              </w:rPr>
            </w:pPr>
          </w:p>
          <w:p>
            <w:pPr>
              <w:pStyle w:val="TableParagraph"/>
              <w:rPr>
                <w:sz w:val="22"/>
              </w:rPr>
            </w:pPr>
          </w:p>
          <w:p>
            <w:pPr>
              <w:pStyle w:val="TableParagraph"/>
              <w:rPr>
                <w:sz w:val="22"/>
              </w:rPr>
            </w:pPr>
          </w:p>
          <w:p>
            <w:pPr>
              <w:pStyle w:val="TableParagraph"/>
              <w:spacing w:before="3"/>
              <w:rPr>
                <w:sz w:val="17"/>
              </w:rPr>
            </w:pPr>
          </w:p>
          <w:p>
            <w:pPr>
              <w:pStyle w:val="TableParagraph"/>
              <w:spacing w:line="230" w:lineRule="atLeast"/>
              <w:ind w:left="155" w:right="48" w:hanging="87"/>
              <w:rPr>
                <w:sz w:val="20"/>
              </w:rPr>
            </w:pPr>
            <w:r>
              <w:rPr>
                <w:sz w:val="20"/>
              </w:rPr>
              <w:t>CN</w:t>
            </w:r>
            <w:r>
              <w:rPr>
                <w:w w:val="99"/>
                <w:sz w:val="20"/>
              </w:rPr>
              <w:t> </w:t>
            </w:r>
            <w:r>
              <w:rPr>
                <w:sz w:val="20"/>
              </w:rPr>
              <w:t>3</w:t>
            </w:r>
          </w:p>
        </w:tc>
        <w:tc>
          <w:tcPr>
            <w:tcW w:w="1702" w:type="dxa"/>
          </w:tcPr>
          <w:p>
            <w:pPr>
              <w:pStyle w:val="TableParagraph"/>
              <w:ind w:left="158" w:right="162"/>
              <w:jc w:val="center"/>
              <w:rPr>
                <w:sz w:val="22"/>
              </w:rPr>
            </w:pPr>
            <w:r>
              <w:rPr>
                <w:sz w:val="22"/>
              </w:rPr>
              <w:t>Après 2 ans de rémission obtenue avec le L-CHOP</w:t>
            </w:r>
          </w:p>
        </w:tc>
        <w:tc>
          <w:tcPr>
            <w:tcW w:w="2269" w:type="dxa"/>
          </w:tcPr>
          <w:p>
            <w:pPr>
              <w:pStyle w:val="TableParagraph"/>
              <w:ind w:left="290" w:right="293" w:firstLine="1"/>
              <w:jc w:val="center"/>
              <w:rPr>
                <w:sz w:val="18"/>
              </w:rPr>
            </w:pPr>
            <w:r>
              <w:rPr>
                <w:sz w:val="22"/>
              </w:rPr>
              <w:t>ALA </w:t>
            </w:r>
            <w:r>
              <w:rPr>
                <w:sz w:val="18"/>
              </w:rPr>
              <w:t>9 mg/kg TID </w:t>
            </w:r>
            <w:r>
              <w:rPr>
                <w:sz w:val="22"/>
              </w:rPr>
              <w:t>HCA </w:t>
            </w:r>
            <w:r>
              <w:rPr>
                <w:sz w:val="18"/>
              </w:rPr>
              <w:t>10 mg/kg BID </w:t>
            </w:r>
            <w:r>
              <w:rPr>
                <w:sz w:val="22"/>
              </w:rPr>
              <w:t>MET </w:t>
            </w:r>
            <w:r>
              <w:rPr>
                <w:sz w:val="18"/>
              </w:rPr>
              <w:t>27 mg/kg BID </w:t>
            </w:r>
            <w:r>
              <w:rPr>
                <w:sz w:val="22"/>
              </w:rPr>
              <w:t>LSP </w:t>
            </w:r>
            <w:r>
              <w:rPr>
                <w:sz w:val="18"/>
              </w:rPr>
              <w:t>1 mg/kg SID et 4</w:t>
            </w:r>
          </w:p>
          <w:p>
            <w:pPr>
              <w:pStyle w:val="TableParagraph"/>
              <w:spacing w:line="206" w:lineRule="exact" w:before="12"/>
              <w:ind w:left="167" w:right="170"/>
              <w:jc w:val="center"/>
              <w:rPr>
                <w:sz w:val="18"/>
              </w:rPr>
            </w:pPr>
            <w:r>
              <w:rPr>
                <w:sz w:val="18"/>
              </w:rPr>
              <w:t>mg/kg 3 jours avant chimiothérapie</w:t>
            </w:r>
          </w:p>
        </w:tc>
        <w:tc>
          <w:tcPr>
            <w:tcW w:w="1985" w:type="dxa"/>
          </w:tcPr>
          <w:p>
            <w:pPr>
              <w:pStyle w:val="TableParagraph"/>
              <w:spacing w:line="246" w:lineRule="exact"/>
              <w:ind w:left="74" w:right="75"/>
              <w:jc w:val="center"/>
              <w:rPr>
                <w:sz w:val="18"/>
              </w:rPr>
            </w:pPr>
            <w:r>
              <w:rPr>
                <w:sz w:val="22"/>
              </w:rPr>
              <w:t>Vinblastine </w:t>
            </w:r>
            <w:r>
              <w:rPr>
                <w:sz w:val="18"/>
              </w:rPr>
              <w:t>// TM</w:t>
            </w:r>
          </w:p>
          <w:p>
            <w:pPr>
              <w:pStyle w:val="TableParagraph"/>
              <w:ind w:left="412" w:right="411"/>
              <w:jc w:val="center"/>
              <w:rPr>
                <w:sz w:val="18"/>
              </w:rPr>
            </w:pPr>
            <w:r>
              <w:rPr>
                <w:sz w:val="22"/>
              </w:rPr>
              <w:t>Lomustine </w:t>
            </w:r>
            <w:r>
              <w:rPr>
                <w:sz w:val="18"/>
              </w:rPr>
              <w:t>S3 post TM </w:t>
            </w:r>
            <w:r>
              <w:rPr>
                <w:spacing w:val="-1"/>
                <w:sz w:val="22"/>
              </w:rPr>
              <w:t>Procarbazine </w:t>
            </w:r>
            <w:r>
              <w:rPr>
                <w:sz w:val="18"/>
              </w:rPr>
              <w:t>S3 post</w:t>
            </w:r>
            <w:r>
              <w:rPr>
                <w:spacing w:val="-2"/>
                <w:sz w:val="18"/>
              </w:rPr>
              <w:t> </w:t>
            </w:r>
            <w:r>
              <w:rPr>
                <w:sz w:val="18"/>
              </w:rPr>
              <w:t>TM</w:t>
            </w:r>
          </w:p>
        </w:tc>
        <w:tc>
          <w:tcPr>
            <w:tcW w:w="1395" w:type="dxa"/>
          </w:tcPr>
          <w:p>
            <w:pPr>
              <w:pStyle w:val="TableParagraph"/>
              <w:spacing w:line="247" w:lineRule="exact"/>
              <w:ind w:left="96" w:right="96"/>
              <w:jc w:val="center"/>
              <w:rPr>
                <w:sz w:val="22"/>
              </w:rPr>
            </w:pPr>
            <w:r>
              <w:rPr>
                <w:sz w:val="22"/>
              </w:rPr>
              <w:t>Non</w:t>
            </w:r>
          </w:p>
        </w:tc>
        <w:tc>
          <w:tcPr>
            <w:tcW w:w="4277" w:type="dxa"/>
          </w:tcPr>
          <w:p>
            <w:pPr>
              <w:pStyle w:val="TableParagraph"/>
              <w:ind w:left="1684" w:right="453" w:hanging="1220"/>
              <w:rPr>
                <w:sz w:val="22"/>
              </w:rPr>
            </w:pPr>
            <w:r>
              <w:rPr>
                <w:sz w:val="22"/>
              </w:rPr>
              <w:t>BEG - Rémission après l’initiation du traitement</w:t>
            </w:r>
          </w:p>
        </w:tc>
        <w:tc>
          <w:tcPr>
            <w:tcW w:w="1558" w:type="dxa"/>
          </w:tcPr>
          <w:p>
            <w:pPr>
              <w:pStyle w:val="TableParagraph"/>
              <w:spacing w:line="247" w:lineRule="exact"/>
              <w:ind w:left="146" w:right="147"/>
              <w:jc w:val="center"/>
              <w:rPr>
                <w:sz w:val="22"/>
              </w:rPr>
            </w:pPr>
            <w:r>
              <w:rPr>
                <w:sz w:val="22"/>
              </w:rPr>
              <w:t>BEG</w:t>
            </w:r>
          </w:p>
        </w:tc>
        <w:tc>
          <w:tcPr>
            <w:tcW w:w="710" w:type="dxa"/>
          </w:tcPr>
          <w:p>
            <w:pPr>
              <w:pStyle w:val="TableParagraph"/>
              <w:spacing w:line="247" w:lineRule="exact"/>
              <w:ind w:left="75" w:right="75"/>
              <w:jc w:val="center"/>
              <w:rPr>
                <w:sz w:val="22"/>
              </w:rPr>
            </w:pPr>
            <w:r>
              <w:rPr>
                <w:sz w:val="22"/>
              </w:rPr>
              <w:t>&gt; 208</w:t>
            </w:r>
          </w:p>
        </w:tc>
        <w:tc>
          <w:tcPr>
            <w:tcW w:w="708" w:type="dxa"/>
          </w:tcPr>
          <w:p>
            <w:pPr>
              <w:pStyle w:val="TableParagraph"/>
              <w:spacing w:line="247" w:lineRule="exact"/>
              <w:ind w:left="73" w:right="75"/>
              <w:jc w:val="center"/>
              <w:rPr>
                <w:sz w:val="22"/>
              </w:rPr>
            </w:pPr>
            <w:r>
              <w:rPr>
                <w:sz w:val="22"/>
              </w:rPr>
              <w:t>&gt; 120</w:t>
            </w:r>
          </w:p>
        </w:tc>
      </w:tr>
      <w:tr>
        <w:trPr>
          <w:trHeight w:val="2200" w:hRule="atLeast"/>
        </w:trPr>
        <w:tc>
          <w:tcPr>
            <w:tcW w:w="425" w:type="dxa"/>
            <w:shd w:val="clear" w:color="auto" w:fill="BCD5ED"/>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19"/>
              </w:rPr>
            </w:pPr>
          </w:p>
          <w:p>
            <w:pPr>
              <w:pStyle w:val="TableParagraph"/>
              <w:spacing w:line="228" w:lineRule="exact"/>
              <w:ind w:left="155" w:right="48" w:hanging="87"/>
              <w:rPr>
                <w:sz w:val="20"/>
              </w:rPr>
            </w:pPr>
            <w:r>
              <w:rPr>
                <w:sz w:val="20"/>
              </w:rPr>
              <w:t>CN</w:t>
            </w:r>
            <w:r>
              <w:rPr>
                <w:w w:val="99"/>
                <w:sz w:val="20"/>
              </w:rPr>
              <w:t> </w:t>
            </w:r>
            <w:r>
              <w:rPr>
                <w:sz w:val="20"/>
              </w:rPr>
              <w:t>6</w:t>
            </w:r>
          </w:p>
        </w:tc>
        <w:tc>
          <w:tcPr>
            <w:tcW w:w="1702" w:type="dxa"/>
          </w:tcPr>
          <w:p>
            <w:pPr>
              <w:pStyle w:val="TableParagraph"/>
              <w:ind w:left="120" w:right="121"/>
              <w:jc w:val="center"/>
              <w:rPr>
                <w:sz w:val="22"/>
              </w:rPr>
            </w:pPr>
            <w:r>
              <w:rPr>
                <w:sz w:val="22"/>
              </w:rPr>
              <w:t>10 jours après la première injection de L- Asparaginase</w:t>
            </w:r>
          </w:p>
        </w:tc>
        <w:tc>
          <w:tcPr>
            <w:tcW w:w="2269" w:type="dxa"/>
          </w:tcPr>
          <w:p>
            <w:pPr>
              <w:pStyle w:val="TableParagraph"/>
              <w:spacing w:line="247" w:lineRule="exact"/>
              <w:ind w:left="167" w:right="170"/>
              <w:jc w:val="center"/>
              <w:rPr>
                <w:sz w:val="18"/>
              </w:rPr>
            </w:pPr>
            <w:r>
              <w:rPr>
                <w:sz w:val="22"/>
              </w:rPr>
              <w:t>MET </w:t>
            </w:r>
            <w:r>
              <w:rPr>
                <w:sz w:val="18"/>
              </w:rPr>
              <w:t>13,5 mg/kg</w:t>
            </w:r>
          </w:p>
          <w:p>
            <w:pPr>
              <w:pStyle w:val="TableParagraph"/>
              <w:spacing w:before="1"/>
              <w:ind w:left="167" w:right="170"/>
              <w:jc w:val="center"/>
              <w:rPr>
                <w:sz w:val="22"/>
              </w:rPr>
            </w:pPr>
            <w:r>
              <w:rPr>
                <w:sz w:val="22"/>
              </w:rPr>
              <w:t>ALA – HCA</w:t>
            </w:r>
          </w:p>
        </w:tc>
        <w:tc>
          <w:tcPr>
            <w:tcW w:w="1985" w:type="dxa"/>
          </w:tcPr>
          <w:p>
            <w:pPr>
              <w:pStyle w:val="TableParagraph"/>
              <w:spacing w:line="247" w:lineRule="exact"/>
              <w:ind w:left="74" w:right="75"/>
              <w:jc w:val="center"/>
              <w:rPr>
                <w:sz w:val="22"/>
              </w:rPr>
            </w:pPr>
            <w:r>
              <w:rPr>
                <w:sz w:val="22"/>
              </w:rPr>
              <w:t>Vincristine</w:t>
            </w:r>
          </w:p>
          <w:p>
            <w:pPr>
              <w:pStyle w:val="TableParagraph"/>
              <w:spacing w:before="2"/>
              <w:ind w:left="100" w:right="102" w:hanging="1"/>
              <w:jc w:val="center"/>
              <w:rPr>
                <w:sz w:val="18"/>
              </w:rPr>
            </w:pPr>
            <w:r>
              <w:rPr>
                <w:sz w:val="18"/>
              </w:rPr>
              <w:t>0,75 mg/m² // TM puis S1, S2, S4, S8, S12, S24</w:t>
            </w:r>
          </w:p>
          <w:p>
            <w:pPr>
              <w:pStyle w:val="TableParagraph"/>
              <w:ind w:left="107" w:right="106"/>
              <w:jc w:val="center"/>
              <w:rPr>
                <w:sz w:val="22"/>
              </w:rPr>
            </w:pPr>
            <w:r>
              <w:rPr>
                <w:sz w:val="18"/>
              </w:rPr>
              <w:t>post TM </w:t>
            </w:r>
            <w:r>
              <w:rPr>
                <w:sz w:val="22"/>
              </w:rPr>
              <w:t>Cyclophosphamide </w:t>
            </w:r>
            <w:r>
              <w:rPr>
                <w:sz w:val="18"/>
              </w:rPr>
              <w:t>250 mg/m² // TM, S4, S8, S12 post TM </w:t>
            </w:r>
            <w:r>
              <w:rPr>
                <w:sz w:val="22"/>
              </w:rPr>
              <w:t>Lomustine</w:t>
            </w:r>
          </w:p>
          <w:p>
            <w:pPr>
              <w:pStyle w:val="TableParagraph"/>
              <w:spacing w:line="207" w:lineRule="exact" w:before="4"/>
              <w:ind w:left="74" w:right="75"/>
              <w:jc w:val="center"/>
              <w:rPr>
                <w:sz w:val="18"/>
              </w:rPr>
            </w:pPr>
            <w:r>
              <w:rPr>
                <w:sz w:val="18"/>
              </w:rPr>
              <w:t>80 mg/m² S6, S16, S24</w:t>
            </w:r>
          </w:p>
          <w:p>
            <w:pPr>
              <w:pStyle w:val="TableParagraph"/>
              <w:spacing w:line="191" w:lineRule="exact"/>
              <w:ind w:left="74" w:right="75"/>
              <w:jc w:val="center"/>
              <w:rPr>
                <w:sz w:val="18"/>
              </w:rPr>
            </w:pPr>
            <w:r>
              <w:rPr>
                <w:sz w:val="18"/>
              </w:rPr>
              <w:t>post TM</w:t>
            </w:r>
          </w:p>
        </w:tc>
        <w:tc>
          <w:tcPr>
            <w:tcW w:w="1395" w:type="dxa"/>
          </w:tcPr>
          <w:p>
            <w:pPr>
              <w:pStyle w:val="TableParagraph"/>
              <w:ind w:left="96" w:right="97"/>
              <w:jc w:val="center"/>
              <w:rPr>
                <w:sz w:val="18"/>
              </w:rPr>
            </w:pPr>
            <w:r>
              <w:rPr>
                <w:sz w:val="22"/>
              </w:rPr>
              <w:t>Prednisolone </w:t>
            </w:r>
            <w:r>
              <w:rPr>
                <w:sz w:val="18"/>
              </w:rPr>
              <w:t>0,5 mg/kg jusqu’à S4 post TM</w:t>
            </w:r>
          </w:p>
        </w:tc>
        <w:tc>
          <w:tcPr>
            <w:tcW w:w="4277" w:type="dxa"/>
          </w:tcPr>
          <w:p>
            <w:pPr>
              <w:pStyle w:val="TableParagraph"/>
              <w:spacing w:line="247" w:lineRule="exact"/>
              <w:ind w:left="53" w:right="54"/>
              <w:jc w:val="center"/>
              <w:rPr>
                <w:sz w:val="22"/>
              </w:rPr>
            </w:pPr>
            <w:r>
              <w:rPr>
                <w:sz w:val="22"/>
              </w:rPr>
              <w:t>BEG</w:t>
            </w:r>
          </w:p>
          <w:p>
            <w:pPr>
              <w:pStyle w:val="TableParagraph"/>
              <w:spacing w:before="1"/>
              <w:ind w:left="614" w:right="614"/>
              <w:jc w:val="center"/>
              <w:rPr>
                <w:sz w:val="22"/>
              </w:rPr>
            </w:pPr>
            <w:r>
              <w:rPr>
                <w:sz w:val="22"/>
              </w:rPr>
              <w:t>Rémission complète à S3 post TM Rechute S20 post TM</w:t>
            </w:r>
          </w:p>
        </w:tc>
        <w:tc>
          <w:tcPr>
            <w:tcW w:w="1558" w:type="dxa"/>
          </w:tcPr>
          <w:p>
            <w:pPr>
              <w:pStyle w:val="TableParagraph"/>
              <w:spacing w:line="247" w:lineRule="exact"/>
              <w:ind w:left="146" w:right="147"/>
              <w:jc w:val="center"/>
              <w:rPr>
                <w:sz w:val="22"/>
              </w:rPr>
            </w:pPr>
            <w:r>
              <w:rPr>
                <w:sz w:val="22"/>
              </w:rPr>
              <w:t>BEG</w:t>
            </w:r>
          </w:p>
        </w:tc>
        <w:tc>
          <w:tcPr>
            <w:tcW w:w="710" w:type="dxa"/>
          </w:tcPr>
          <w:p>
            <w:pPr>
              <w:pStyle w:val="TableParagraph"/>
              <w:spacing w:line="247" w:lineRule="exact"/>
              <w:ind w:left="73" w:right="75"/>
              <w:jc w:val="center"/>
              <w:rPr>
                <w:sz w:val="22"/>
              </w:rPr>
            </w:pPr>
            <w:r>
              <w:rPr>
                <w:sz w:val="22"/>
              </w:rPr>
              <w:t>28</w:t>
            </w:r>
          </w:p>
        </w:tc>
        <w:tc>
          <w:tcPr>
            <w:tcW w:w="708" w:type="dxa"/>
          </w:tcPr>
          <w:p>
            <w:pPr>
              <w:pStyle w:val="TableParagraph"/>
              <w:spacing w:line="247" w:lineRule="exact"/>
              <w:ind w:left="70" w:right="75"/>
              <w:jc w:val="center"/>
              <w:rPr>
                <w:sz w:val="22"/>
              </w:rPr>
            </w:pPr>
            <w:r>
              <w:rPr>
                <w:sz w:val="22"/>
              </w:rPr>
              <w:t>27</w:t>
            </w:r>
          </w:p>
        </w:tc>
      </w:tr>
      <w:tr>
        <w:trPr>
          <w:trHeight w:val="1760" w:hRule="atLeast"/>
        </w:trPr>
        <w:tc>
          <w:tcPr>
            <w:tcW w:w="425" w:type="dxa"/>
            <w:shd w:val="clear" w:color="auto" w:fill="BCD5ED"/>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1"/>
              <w:rPr>
                <w:sz w:val="25"/>
              </w:rPr>
            </w:pPr>
          </w:p>
          <w:p>
            <w:pPr>
              <w:pStyle w:val="TableParagraph"/>
              <w:spacing w:line="228" w:lineRule="exact"/>
              <w:ind w:left="155" w:right="48" w:hanging="87"/>
              <w:rPr>
                <w:sz w:val="20"/>
              </w:rPr>
            </w:pPr>
            <w:r>
              <w:rPr>
                <w:sz w:val="20"/>
              </w:rPr>
              <w:t>CN</w:t>
            </w:r>
            <w:r>
              <w:rPr>
                <w:w w:val="99"/>
                <w:sz w:val="20"/>
              </w:rPr>
              <w:t> </w:t>
            </w:r>
            <w:r>
              <w:rPr>
                <w:sz w:val="20"/>
              </w:rPr>
              <w:t>7</w:t>
            </w:r>
          </w:p>
        </w:tc>
        <w:tc>
          <w:tcPr>
            <w:tcW w:w="1702" w:type="dxa"/>
          </w:tcPr>
          <w:p>
            <w:pPr>
              <w:pStyle w:val="TableParagraph"/>
              <w:ind w:left="180" w:right="183" w:firstLine="3"/>
              <w:jc w:val="center"/>
              <w:rPr>
                <w:sz w:val="22"/>
              </w:rPr>
            </w:pPr>
            <w:r>
              <w:rPr>
                <w:sz w:val="22"/>
              </w:rPr>
              <w:t>Rémission clinique complète après 1</w:t>
            </w:r>
            <w:r>
              <w:rPr>
                <w:position w:val="8"/>
                <w:sz w:val="14"/>
              </w:rPr>
              <w:t>ère </w:t>
            </w:r>
            <w:r>
              <w:rPr>
                <w:sz w:val="22"/>
              </w:rPr>
              <w:t>séance L- CHOP, TM S3</w:t>
            </w:r>
          </w:p>
          <w:p>
            <w:pPr>
              <w:pStyle w:val="TableParagraph"/>
              <w:spacing w:line="254" w:lineRule="exact" w:before="7"/>
              <w:ind w:left="72" w:right="75"/>
              <w:jc w:val="center"/>
              <w:rPr>
                <w:sz w:val="22"/>
              </w:rPr>
            </w:pPr>
            <w:r>
              <w:rPr>
                <w:sz w:val="22"/>
              </w:rPr>
              <w:t>après la dernière chimiothérapie</w:t>
            </w:r>
          </w:p>
        </w:tc>
        <w:tc>
          <w:tcPr>
            <w:tcW w:w="2269" w:type="dxa"/>
          </w:tcPr>
          <w:p>
            <w:pPr>
              <w:pStyle w:val="TableParagraph"/>
              <w:ind w:left="347" w:right="351" w:firstLine="16"/>
              <w:jc w:val="both"/>
              <w:rPr>
                <w:sz w:val="18"/>
              </w:rPr>
            </w:pPr>
            <w:r>
              <w:rPr>
                <w:sz w:val="22"/>
              </w:rPr>
              <w:t>ALA </w:t>
            </w:r>
            <w:r>
              <w:rPr>
                <w:sz w:val="18"/>
              </w:rPr>
              <w:t>25 mg/kg SID </w:t>
            </w:r>
            <w:r>
              <w:rPr>
                <w:sz w:val="22"/>
              </w:rPr>
              <w:t>DCA </w:t>
            </w:r>
            <w:r>
              <w:rPr>
                <w:sz w:val="18"/>
              </w:rPr>
              <w:t>10 mg/kg BID </w:t>
            </w:r>
            <w:r>
              <w:rPr>
                <w:sz w:val="22"/>
              </w:rPr>
              <w:t>HCA </w:t>
            </w:r>
            <w:r>
              <w:rPr>
                <w:sz w:val="18"/>
              </w:rPr>
              <w:t>10 mg/kg TID</w:t>
            </w:r>
          </w:p>
        </w:tc>
        <w:tc>
          <w:tcPr>
            <w:tcW w:w="1985" w:type="dxa"/>
          </w:tcPr>
          <w:p>
            <w:pPr>
              <w:pStyle w:val="TableParagraph"/>
              <w:spacing w:line="247" w:lineRule="exact"/>
              <w:ind w:left="75" w:right="75"/>
              <w:jc w:val="center"/>
              <w:rPr>
                <w:sz w:val="22"/>
              </w:rPr>
            </w:pPr>
            <w:r>
              <w:rPr>
                <w:sz w:val="22"/>
              </w:rPr>
              <w:t>Non</w:t>
            </w:r>
          </w:p>
        </w:tc>
        <w:tc>
          <w:tcPr>
            <w:tcW w:w="1395" w:type="dxa"/>
          </w:tcPr>
          <w:p>
            <w:pPr>
              <w:pStyle w:val="TableParagraph"/>
              <w:spacing w:line="247" w:lineRule="exact"/>
              <w:ind w:left="96" w:right="96"/>
              <w:jc w:val="center"/>
              <w:rPr>
                <w:sz w:val="22"/>
              </w:rPr>
            </w:pPr>
            <w:r>
              <w:rPr>
                <w:sz w:val="22"/>
              </w:rPr>
              <w:t>Non</w:t>
            </w:r>
          </w:p>
        </w:tc>
        <w:tc>
          <w:tcPr>
            <w:tcW w:w="4277" w:type="dxa"/>
          </w:tcPr>
          <w:p>
            <w:pPr>
              <w:pStyle w:val="TableParagraph"/>
              <w:spacing w:line="247" w:lineRule="exact"/>
              <w:ind w:left="53" w:right="54"/>
              <w:jc w:val="center"/>
              <w:rPr>
                <w:sz w:val="22"/>
              </w:rPr>
            </w:pPr>
            <w:r>
              <w:rPr>
                <w:sz w:val="22"/>
              </w:rPr>
              <w:t>BEG</w:t>
            </w:r>
          </w:p>
          <w:p>
            <w:pPr>
              <w:pStyle w:val="TableParagraph"/>
              <w:spacing w:before="1"/>
              <w:ind w:left="53" w:right="55"/>
              <w:jc w:val="center"/>
              <w:rPr>
                <w:sz w:val="22"/>
              </w:rPr>
            </w:pPr>
            <w:r>
              <w:rPr>
                <w:sz w:val="22"/>
              </w:rPr>
              <w:t>Poursuite de la rémission clinique complète Rechute S10 post TM</w:t>
            </w:r>
          </w:p>
        </w:tc>
        <w:tc>
          <w:tcPr>
            <w:tcW w:w="1558" w:type="dxa"/>
          </w:tcPr>
          <w:p>
            <w:pPr>
              <w:pStyle w:val="TableParagraph"/>
              <w:ind w:left="62" w:right="66" w:hanging="2"/>
              <w:jc w:val="center"/>
              <w:rPr>
                <w:sz w:val="22"/>
              </w:rPr>
            </w:pPr>
            <w:r>
              <w:rPr>
                <w:sz w:val="22"/>
              </w:rPr>
              <w:t>BEG, bonne tolérance pas de diarrhée ni vomissements</w:t>
            </w:r>
          </w:p>
        </w:tc>
        <w:tc>
          <w:tcPr>
            <w:tcW w:w="710" w:type="dxa"/>
          </w:tcPr>
          <w:p>
            <w:pPr>
              <w:pStyle w:val="TableParagraph"/>
              <w:spacing w:line="247" w:lineRule="exact"/>
              <w:ind w:left="73" w:right="75"/>
              <w:jc w:val="center"/>
              <w:rPr>
                <w:sz w:val="22"/>
              </w:rPr>
            </w:pPr>
            <w:r>
              <w:rPr>
                <w:sz w:val="22"/>
              </w:rPr>
              <w:t>36</w:t>
            </w:r>
          </w:p>
        </w:tc>
        <w:tc>
          <w:tcPr>
            <w:tcW w:w="708" w:type="dxa"/>
          </w:tcPr>
          <w:p>
            <w:pPr>
              <w:pStyle w:val="TableParagraph"/>
              <w:spacing w:line="247" w:lineRule="exact"/>
              <w:ind w:left="70" w:right="75"/>
              <w:jc w:val="center"/>
              <w:rPr>
                <w:sz w:val="22"/>
              </w:rPr>
            </w:pPr>
            <w:r>
              <w:rPr>
                <w:sz w:val="22"/>
              </w:rPr>
              <w:t>12</w:t>
            </w:r>
          </w:p>
        </w:tc>
      </w:tr>
      <w:tr>
        <w:trPr>
          <w:trHeight w:val="1780" w:hRule="atLeast"/>
        </w:trPr>
        <w:tc>
          <w:tcPr>
            <w:tcW w:w="425" w:type="dxa"/>
            <w:shd w:val="clear" w:color="auto" w:fill="BCD5ED"/>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7"/>
              </w:rPr>
            </w:pPr>
          </w:p>
          <w:p>
            <w:pPr>
              <w:pStyle w:val="TableParagraph"/>
              <w:spacing w:line="230" w:lineRule="atLeast"/>
              <w:ind w:left="107" w:right="48" w:hanging="39"/>
              <w:rPr>
                <w:sz w:val="20"/>
              </w:rPr>
            </w:pPr>
            <w:r>
              <w:rPr>
                <w:sz w:val="20"/>
              </w:rPr>
              <w:t>CN</w:t>
            </w:r>
            <w:r>
              <w:rPr>
                <w:w w:val="99"/>
                <w:sz w:val="20"/>
              </w:rPr>
              <w:t> </w:t>
            </w:r>
            <w:r>
              <w:rPr>
                <w:sz w:val="20"/>
              </w:rPr>
              <w:t>14</w:t>
            </w:r>
          </w:p>
        </w:tc>
        <w:tc>
          <w:tcPr>
            <w:tcW w:w="1702" w:type="dxa"/>
          </w:tcPr>
          <w:p>
            <w:pPr>
              <w:pStyle w:val="TableParagraph"/>
              <w:ind w:left="89" w:right="90" w:hanging="1"/>
              <w:jc w:val="center"/>
              <w:rPr>
                <w:sz w:val="22"/>
              </w:rPr>
            </w:pPr>
            <w:r>
              <w:rPr>
                <w:sz w:val="22"/>
              </w:rPr>
              <w:t>8 mois post diagnostic, en rémission clinique complète, lors de la 9</w:t>
            </w:r>
            <w:r>
              <w:rPr>
                <w:position w:val="8"/>
                <w:sz w:val="14"/>
              </w:rPr>
              <w:t>ème </w:t>
            </w:r>
            <w:r>
              <w:rPr>
                <w:sz w:val="22"/>
              </w:rPr>
              <w:t>séance de chimiothérapie</w:t>
            </w:r>
          </w:p>
        </w:tc>
        <w:tc>
          <w:tcPr>
            <w:tcW w:w="2269" w:type="dxa"/>
          </w:tcPr>
          <w:p>
            <w:pPr>
              <w:pStyle w:val="TableParagraph"/>
              <w:ind w:left="347" w:right="351"/>
              <w:jc w:val="both"/>
              <w:rPr>
                <w:sz w:val="18"/>
              </w:rPr>
            </w:pPr>
            <w:r>
              <w:rPr>
                <w:sz w:val="22"/>
              </w:rPr>
              <w:t>MET </w:t>
            </w:r>
            <w:r>
              <w:rPr>
                <w:sz w:val="18"/>
              </w:rPr>
              <w:t>20 mg/kg BID </w:t>
            </w:r>
            <w:r>
              <w:rPr>
                <w:sz w:val="22"/>
              </w:rPr>
              <w:t>ALA </w:t>
            </w:r>
            <w:r>
              <w:rPr>
                <w:sz w:val="18"/>
              </w:rPr>
              <w:t>10 mg/kg BID </w:t>
            </w:r>
            <w:r>
              <w:rPr>
                <w:sz w:val="22"/>
              </w:rPr>
              <w:t>HCA </w:t>
            </w:r>
            <w:r>
              <w:rPr>
                <w:sz w:val="18"/>
              </w:rPr>
              <w:t>10 mg/kg BID</w:t>
            </w:r>
          </w:p>
        </w:tc>
        <w:tc>
          <w:tcPr>
            <w:tcW w:w="1985" w:type="dxa"/>
          </w:tcPr>
          <w:p>
            <w:pPr>
              <w:pStyle w:val="TableParagraph"/>
              <w:spacing w:line="247" w:lineRule="exact"/>
              <w:ind w:left="74" w:right="75"/>
              <w:jc w:val="center"/>
              <w:rPr>
                <w:sz w:val="22"/>
              </w:rPr>
            </w:pPr>
            <w:r>
              <w:rPr>
                <w:sz w:val="22"/>
              </w:rPr>
              <w:t>Vincristine</w:t>
            </w:r>
          </w:p>
          <w:p>
            <w:pPr>
              <w:pStyle w:val="TableParagraph"/>
              <w:spacing w:before="2"/>
              <w:ind w:left="102" w:right="106"/>
              <w:jc w:val="center"/>
              <w:rPr>
                <w:sz w:val="22"/>
              </w:rPr>
            </w:pPr>
            <w:r>
              <w:rPr>
                <w:sz w:val="18"/>
              </w:rPr>
              <w:t>0,7 mg/m² // TM, S2, S6 post TM </w:t>
            </w:r>
            <w:r>
              <w:rPr>
                <w:sz w:val="22"/>
              </w:rPr>
              <w:t>Cyclophosphamide </w:t>
            </w:r>
            <w:r>
              <w:rPr>
                <w:sz w:val="18"/>
              </w:rPr>
              <w:t>S2 post TM </w:t>
            </w:r>
            <w:r>
              <w:rPr>
                <w:sz w:val="22"/>
              </w:rPr>
              <w:t>Lomustine</w:t>
            </w:r>
          </w:p>
          <w:p>
            <w:pPr>
              <w:pStyle w:val="TableParagraph"/>
              <w:spacing w:line="210" w:lineRule="exact"/>
              <w:ind w:left="73" w:right="75"/>
              <w:jc w:val="center"/>
              <w:rPr>
                <w:sz w:val="18"/>
              </w:rPr>
            </w:pPr>
            <w:r>
              <w:rPr>
                <w:sz w:val="18"/>
              </w:rPr>
              <w:t>60 mg/m² // TM, S6 post TM</w:t>
            </w:r>
          </w:p>
        </w:tc>
        <w:tc>
          <w:tcPr>
            <w:tcW w:w="1395" w:type="dxa"/>
          </w:tcPr>
          <w:p>
            <w:pPr>
              <w:pStyle w:val="TableParagraph"/>
              <w:spacing w:line="247" w:lineRule="exact"/>
              <w:ind w:left="96" w:right="96"/>
              <w:jc w:val="center"/>
              <w:rPr>
                <w:sz w:val="22"/>
              </w:rPr>
            </w:pPr>
            <w:r>
              <w:rPr>
                <w:sz w:val="22"/>
              </w:rPr>
              <w:t>Non</w:t>
            </w:r>
          </w:p>
        </w:tc>
        <w:tc>
          <w:tcPr>
            <w:tcW w:w="4277" w:type="dxa"/>
          </w:tcPr>
          <w:p>
            <w:pPr>
              <w:pStyle w:val="TableParagraph"/>
              <w:spacing w:line="247" w:lineRule="exact"/>
              <w:ind w:left="53" w:right="55"/>
              <w:jc w:val="center"/>
              <w:rPr>
                <w:sz w:val="22"/>
              </w:rPr>
            </w:pPr>
            <w:r>
              <w:rPr>
                <w:sz w:val="22"/>
              </w:rPr>
              <w:t>BEG et dysorexie</w:t>
            </w:r>
          </w:p>
          <w:p>
            <w:pPr>
              <w:pStyle w:val="TableParagraph"/>
              <w:spacing w:before="1"/>
              <w:ind w:left="53" w:right="54"/>
              <w:jc w:val="center"/>
              <w:rPr>
                <w:sz w:val="22"/>
              </w:rPr>
            </w:pPr>
            <w:r>
              <w:rPr>
                <w:sz w:val="22"/>
              </w:rPr>
              <w:t>Poursuite de la rémission clinique complète</w:t>
            </w:r>
          </w:p>
        </w:tc>
        <w:tc>
          <w:tcPr>
            <w:tcW w:w="1558" w:type="dxa"/>
          </w:tcPr>
          <w:p>
            <w:pPr>
              <w:pStyle w:val="TableParagraph"/>
              <w:spacing w:line="242" w:lineRule="auto"/>
              <w:ind w:left="342" w:right="330" w:firstLine="100"/>
              <w:rPr>
                <w:sz w:val="22"/>
              </w:rPr>
            </w:pPr>
            <w:r>
              <w:rPr>
                <w:sz w:val="22"/>
              </w:rPr>
              <w:t>BEG et dysorexie</w:t>
            </w:r>
          </w:p>
        </w:tc>
        <w:tc>
          <w:tcPr>
            <w:tcW w:w="710" w:type="dxa"/>
          </w:tcPr>
          <w:p>
            <w:pPr>
              <w:pStyle w:val="TableParagraph"/>
              <w:spacing w:line="247" w:lineRule="exact"/>
              <w:ind w:left="73" w:right="75"/>
              <w:jc w:val="center"/>
              <w:rPr>
                <w:sz w:val="22"/>
              </w:rPr>
            </w:pPr>
            <w:r>
              <w:rPr>
                <w:sz w:val="22"/>
              </w:rPr>
              <w:t>52</w:t>
            </w:r>
          </w:p>
        </w:tc>
        <w:tc>
          <w:tcPr>
            <w:tcW w:w="708" w:type="dxa"/>
          </w:tcPr>
          <w:p>
            <w:pPr>
              <w:pStyle w:val="TableParagraph"/>
              <w:spacing w:line="247" w:lineRule="exact"/>
              <w:ind w:left="70" w:right="75"/>
              <w:jc w:val="center"/>
              <w:rPr>
                <w:sz w:val="22"/>
              </w:rPr>
            </w:pPr>
            <w:r>
              <w:rPr>
                <w:sz w:val="22"/>
              </w:rPr>
              <w:t>18</w:t>
            </w:r>
          </w:p>
        </w:tc>
      </w:tr>
      <w:tr>
        <w:trPr>
          <w:trHeight w:val="1260" w:hRule="atLeast"/>
        </w:trPr>
        <w:tc>
          <w:tcPr>
            <w:tcW w:w="425" w:type="dxa"/>
            <w:shd w:val="clear" w:color="auto" w:fill="BCD5ED"/>
          </w:tcPr>
          <w:p>
            <w:pPr>
              <w:pStyle w:val="TableParagraph"/>
              <w:rPr>
                <w:sz w:val="22"/>
              </w:rPr>
            </w:pPr>
          </w:p>
          <w:p>
            <w:pPr>
              <w:pStyle w:val="TableParagraph"/>
              <w:rPr>
                <w:sz w:val="22"/>
              </w:rPr>
            </w:pPr>
          </w:p>
          <w:p>
            <w:pPr>
              <w:pStyle w:val="TableParagraph"/>
              <w:spacing w:before="3"/>
              <w:rPr>
                <w:sz w:val="25"/>
              </w:rPr>
            </w:pPr>
          </w:p>
          <w:p>
            <w:pPr>
              <w:pStyle w:val="TableParagraph"/>
              <w:spacing w:line="230" w:lineRule="atLeast"/>
              <w:ind w:left="155" w:right="61" w:hanging="77"/>
              <w:rPr>
                <w:sz w:val="20"/>
              </w:rPr>
            </w:pPr>
            <w:r>
              <w:rPr>
                <w:sz w:val="20"/>
              </w:rPr>
              <w:t>CT</w:t>
            </w:r>
            <w:r>
              <w:rPr>
                <w:w w:val="99"/>
                <w:sz w:val="20"/>
              </w:rPr>
              <w:t> </w:t>
            </w:r>
            <w:r>
              <w:rPr>
                <w:sz w:val="20"/>
              </w:rPr>
              <w:t>2</w:t>
            </w:r>
          </w:p>
        </w:tc>
        <w:tc>
          <w:tcPr>
            <w:tcW w:w="1702" w:type="dxa"/>
          </w:tcPr>
          <w:p>
            <w:pPr>
              <w:pStyle w:val="TableParagraph"/>
              <w:ind w:left="158" w:right="162"/>
              <w:jc w:val="center"/>
              <w:rPr>
                <w:sz w:val="22"/>
              </w:rPr>
            </w:pPr>
            <w:r>
              <w:rPr>
                <w:sz w:val="22"/>
              </w:rPr>
              <w:t>1 an et demi après le diagnostic</w:t>
            </w:r>
          </w:p>
        </w:tc>
        <w:tc>
          <w:tcPr>
            <w:tcW w:w="2269" w:type="dxa"/>
          </w:tcPr>
          <w:p>
            <w:pPr>
              <w:pStyle w:val="TableParagraph"/>
              <w:spacing w:line="247" w:lineRule="exact"/>
              <w:ind w:left="347"/>
              <w:rPr>
                <w:sz w:val="18"/>
              </w:rPr>
            </w:pPr>
            <w:r>
              <w:rPr>
                <w:sz w:val="22"/>
              </w:rPr>
              <w:t>DCA </w:t>
            </w:r>
            <w:r>
              <w:rPr>
                <w:sz w:val="18"/>
              </w:rPr>
              <w:t>13 mg/kg BID</w:t>
            </w:r>
          </w:p>
        </w:tc>
        <w:tc>
          <w:tcPr>
            <w:tcW w:w="1985" w:type="dxa"/>
          </w:tcPr>
          <w:p>
            <w:pPr>
              <w:pStyle w:val="TableParagraph"/>
              <w:spacing w:line="247" w:lineRule="exact"/>
              <w:ind w:left="75" w:right="74"/>
              <w:jc w:val="center"/>
              <w:rPr>
                <w:sz w:val="22"/>
              </w:rPr>
            </w:pPr>
            <w:r>
              <w:rPr>
                <w:sz w:val="22"/>
              </w:rPr>
              <w:t>Chloraminophène</w:t>
            </w:r>
          </w:p>
          <w:p>
            <w:pPr>
              <w:pStyle w:val="TableParagraph"/>
              <w:ind w:left="74" w:right="75"/>
              <w:jc w:val="center"/>
              <w:rPr>
                <w:sz w:val="18"/>
              </w:rPr>
            </w:pPr>
            <w:r>
              <w:rPr>
                <w:sz w:val="18"/>
              </w:rPr>
              <w:t>S2 post TM</w:t>
            </w:r>
          </w:p>
        </w:tc>
        <w:tc>
          <w:tcPr>
            <w:tcW w:w="1395" w:type="dxa"/>
          </w:tcPr>
          <w:p>
            <w:pPr>
              <w:pStyle w:val="TableParagraph"/>
              <w:ind w:left="153" w:right="116" w:hanging="39"/>
              <w:jc w:val="both"/>
              <w:rPr>
                <w:sz w:val="18"/>
              </w:rPr>
            </w:pPr>
            <w:r>
              <w:rPr>
                <w:sz w:val="22"/>
              </w:rPr>
              <w:t>Prednisolone </w:t>
            </w:r>
            <w:r>
              <w:rPr>
                <w:sz w:val="18"/>
              </w:rPr>
              <w:t>0,5 mg/kg tous les deux jours</w:t>
            </w:r>
          </w:p>
          <w:p>
            <w:pPr>
              <w:pStyle w:val="TableParagraph"/>
              <w:spacing w:line="206" w:lineRule="exact" w:before="6"/>
              <w:ind w:left="96" w:right="97"/>
              <w:jc w:val="center"/>
              <w:rPr>
                <w:sz w:val="18"/>
              </w:rPr>
            </w:pPr>
            <w:r>
              <w:rPr>
                <w:sz w:val="18"/>
              </w:rPr>
              <w:t>//TM</w:t>
            </w:r>
          </w:p>
        </w:tc>
        <w:tc>
          <w:tcPr>
            <w:tcW w:w="4277" w:type="dxa"/>
          </w:tcPr>
          <w:p>
            <w:pPr>
              <w:pStyle w:val="TableParagraph"/>
              <w:spacing w:line="246" w:lineRule="exact"/>
              <w:ind w:left="53" w:right="54"/>
              <w:jc w:val="center"/>
              <w:rPr>
                <w:sz w:val="22"/>
              </w:rPr>
            </w:pPr>
            <w:r>
              <w:rPr>
                <w:sz w:val="22"/>
              </w:rPr>
              <w:t>BEG</w:t>
            </w:r>
          </w:p>
          <w:p>
            <w:pPr>
              <w:pStyle w:val="TableParagraph"/>
              <w:ind w:left="50" w:right="55"/>
              <w:jc w:val="center"/>
              <w:rPr>
                <w:sz w:val="22"/>
              </w:rPr>
            </w:pPr>
            <w:r>
              <w:rPr>
                <w:i/>
                <w:sz w:val="22"/>
              </w:rPr>
              <w:t>Échographie abdominale </w:t>
            </w:r>
            <w:r>
              <w:rPr>
                <w:sz w:val="22"/>
              </w:rPr>
              <w:t>de contrôle S28 post TM : rémission tumorale apparente</w:t>
            </w:r>
          </w:p>
        </w:tc>
        <w:tc>
          <w:tcPr>
            <w:tcW w:w="1558" w:type="dxa"/>
          </w:tcPr>
          <w:p>
            <w:pPr>
              <w:pStyle w:val="TableParagraph"/>
              <w:spacing w:line="246" w:lineRule="exact"/>
              <w:ind w:left="146" w:right="147"/>
              <w:jc w:val="center"/>
              <w:rPr>
                <w:sz w:val="22"/>
              </w:rPr>
            </w:pPr>
            <w:r>
              <w:rPr>
                <w:sz w:val="22"/>
              </w:rPr>
              <w:t>BEG</w:t>
            </w:r>
          </w:p>
          <w:p>
            <w:pPr>
              <w:pStyle w:val="TableParagraph"/>
              <w:ind w:left="162" w:right="165" w:hanging="1"/>
              <w:jc w:val="center"/>
              <w:rPr>
                <w:sz w:val="22"/>
              </w:rPr>
            </w:pPr>
            <w:r>
              <w:rPr>
                <w:sz w:val="22"/>
              </w:rPr>
              <w:t>Épisodes de diarrhées, vomissement,</w:t>
            </w:r>
          </w:p>
          <w:p>
            <w:pPr>
              <w:pStyle w:val="TableParagraph"/>
              <w:spacing w:line="238" w:lineRule="exact" w:before="2"/>
              <w:ind w:left="146" w:right="150"/>
              <w:jc w:val="center"/>
              <w:rPr>
                <w:sz w:val="22"/>
              </w:rPr>
            </w:pPr>
            <w:r>
              <w:rPr>
                <w:sz w:val="22"/>
              </w:rPr>
              <w:t>dysorexie</w:t>
            </w:r>
          </w:p>
        </w:tc>
        <w:tc>
          <w:tcPr>
            <w:tcW w:w="710" w:type="dxa"/>
          </w:tcPr>
          <w:p>
            <w:pPr>
              <w:pStyle w:val="TableParagraph"/>
              <w:spacing w:line="247" w:lineRule="exact"/>
              <w:ind w:left="73" w:right="75"/>
              <w:jc w:val="center"/>
              <w:rPr>
                <w:sz w:val="22"/>
              </w:rPr>
            </w:pPr>
            <w:r>
              <w:rPr>
                <w:sz w:val="22"/>
              </w:rPr>
              <w:t>165</w:t>
            </w:r>
          </w:p>
        </w:tc>
        <w:tc>
          <w:tcPr>
            <w:tcW w:w="708" w:type="dxa"/>
          </w:tcPr>
          <w:p>
            <w:pPr>
              <w:pStyle w:val="TableParagraph"/>
              <w:spacing w:line="247" w:lineRule="exact"/>
              <w:ind w:left="70" w:right="75"/>
              <w:jc w:val="center"/>
              <w:rPr>
                <w:sz w:val="22"/>
              </w:rPr>
            </w:pPr>
            <w:r>
              <w:rPr>
                <w:sz w:val="22"/>
              </w:rPr>
              <w:t>93</w:t>
            </w:r>
          </w:p>
        </w:tc>
      </w:tr>
    </w:tbl>
    <w:p>
      <w:pPr>
        <w:spacing w:after="0" w:line="247" w:lineRule="exact"/>
        <w:jc w:val="center"/>
        <w:rPr>
          <w:sz w:val="22"/>
        </w:rPr>
        <w:sectPr>
          <w:footerReference w:type="even" r:id="rId55"/>
          <w:pgSz w:w="16840" w:h="11910" w:orient="landscape"/>
          <w:pgMar w:footer="998" w:header="0" w:top="1100" w:bottom="1180" w:left="1020" w:right="560"/>
          <w:pgNumType w:start="114"/>
        </w:sectPr>
      </w:pPr>
    </w:p>
    <w:p>
      <w:pPr>
        <w:pStyle w:val="ListParagraph"/>
        <w:numPr>
          <w:ilvl w:val="0"/>
          <w:numId w:val="25"/>
        </w:numPr>
        <w:tabs>
          <w:tab w:pos="1113" w:val="left" w:leader="none"/>
        </w:tabs>
        <w:spacing w:line="240" w:lineRule="auto" w:before="74" w:after="0"/>
        <w:ind w:left="1112" w:right="0" w:hanging="360"/>
        <w:jc w:val="left"/>
        <w:rPr>
          <w:sz w:val="24"/>
        </w:rPr>
      </w:pPr>
      <w:bookmarkStart w:name="_bookmark171" w:id="292"/>
      <w:bookmarkEnd w:id="292"/>
      <w:r>
        <w:rPr/>
      </w:r>
      <w:bookmarkStart w:name="_bookmark171" w:id="293"/>
      <w:bookmarkEnd w:id="293"/>
      <w:r>
        <w:rPr>
          <w:sz w:val="24"/>
          <w:u w:val="single"/>
        </w:rPr>
        <w:t>E</w:t>
      </w:r>
      <w:r>
        <w:rPr>
          <w:sz w:val="24"/>
          <w:u w:val="single"/>
        </w:rPr>
        <w:t>xamens paracliniques suite à l’instauration du traitement</w:t>
      </w:r>
      <w:r>
        <w:rPr>
          <w:spacing w:val="-10"/>
          <w:sz w:val="24"/>
          <w:u w:val="single"/>
        </w:rPr>
        <w:t> </w:t>
      </w:r>
      <w:r>
        <w:rPr>
          <w:sz w:val="24"/>
          <w:u w:val="single"/>
        </w:rPr>
        <w:t>métabolique</w:t>
      </w:r>
    </w:p>
    <w:p>
      <w:pPr>
        <w:pStyle w:val="BodyText"/>
        <w:rPr>
          <w:sz w:val="20"/>
        </w:rPr>
      </w:pPr>
    </w:p>
    <w:p>
      <w:pPr>
        <w:pStyle w:val="BodyText"/>
        <w:spacing w:before="1"/>
        <w:rPr>
          <w:sz w:val="22"/>
        </w:rPr>
      </w:pPr>
    </w:p>
    <w:p>
      <w:pPr>
        <w:pStyle w:val="Heading5"/>
        <w:numPr>
          <w:ilvl w:val="1"/>
          <w:numId w:val="25"/>
        </w:numPr>
        <w:tabs>
          <w:tab w:pos="2103" w:val="left" w:leader="none"/>
          <w:tab w:pos="2104" w:val="left" w:leader="none"/>
        </w:tabs>
        <w:spacing w:line="240" w:lineRule="auto" w:before="0" w:after="0"/>
        <w:ind w:left="2103" w:right="0" w:hanging="566"/>
        <w:jc w:val="left"/>
        <w:rPr>
          <w:i/>
        </w:rPr>
      </w:pPr>
      <w:bookmarkStart w:name="_bookmark172" w:id="294"/>
      <w:bookmarkEnd w:id="294"/>
      <w:r>
        <w:rPr>
          <w:b w:val="0"/>
          <w:i w:val="0"/>
        </w:rPr>
      </w:r>
      <w:bookmarkStart w:name="_bookmark172" w:id="295"/>
      <w:bookmarkEnd w:id="295"/>
      <w:r>
        <w:rPr>
          <w:i/>
        </w:rPr>
        <w:t>I</w:t>
      </w:r>
      <w:r>
        <w:rPr>
          <w:i/>
        </w:rPr>
        <w:t>magerie</w:t>
      </w:r>
      <w:r>
        <w:rPr>
          <w:i/>
          <w:spacing w:val="-2"/>
        </w:rPr>
        <w:t> </w:t>
      </w:r>
      <w:r>
        <w:rPr>
          <w:i/>
        </w:rPr>
        <w:t>médicale</w:t>
      </w:r>
    </w:p>
    <w:p>
      <w:pPr>
        <w:pStyle w:val="BodyText"/>
        <w:rPr>
          <w:b/>
          <w:i/>
          <w:sz w:val="26"/>
        </w:rPr>
      </w:pPr>
    </w:p>
    <w:p>
      <w:pPr>
        <w:pStyle w:val="BodyText"/>
        <w:spacing w:line="259" w:lineRule="auto" w:before="176"/>
        <w:ind w:left="118" w:right="113" w:firstLine="707"/>
        <w:jc w:val="both"/>
      </w:pPr>
      <w:r>
        <w:rPr/>
        <w:t>Le suivi de la progression tumorale (tumeur primaire ou métastases) par imagerie (radiographie, échographie, scanner) a été réalisé de manière non systématique (4 animaux ont eu des scanners de contrôle, 3 des échographies de contrôle). Le suivi est présenté dans le tableau 7 (colonne « Évolution clinique, observation des effets secondaires,  imagerie  médicale</w:t>
      </w:r>
      <w:r>
        <w:rPr>
          <w:spacing w:val="3"/>
        </w:rPr>
        <w:t> </w:t>
      </w:r>
      <w:r>
        <w:rPr>
          <w:spacing w:val="-3"/>
        </w:rPr>
        <w:t>»).</w:t>
      </w:r>
    </w:p>
    <w:p>
      <w:pPr>
        <w:pStyle w:val="Heading5"/>
        <w:numPr>
          <w:ilvl w:val="1"/>
          <w:numId w:val="25"/>
        </w:numPr>
        <w:tabs>
          <w:tab w:pos="2103" w:val="left" w:leader="none"/>
          <w:tab w:pos="2104" w:val="left" w:leader="none"/>
        </w:tabs>
        <w:spacing w:line="240" w:lineRule="auto" w:before="168" w:after="0"/>
        <w:ind w:left="2103" w:right="0" w:hanging="566"/>
        <w:jc w:val="left"/>
        <w:rPr>
          <w:i/>
        </w:rPr>
      </w:pPr>
      <w:bookmarkStart w:name="_bookmark173" w:id="296"/>
      <w:bookmarkEnd w:id="296"/>
      <w:r>
        <w:rPr>
          <w:b w:val="0"/>
          <w:i w:val="0"/>
        </w:rPr>
      </w:r>
      <w:bookmarkStart w:name="_bookmark173" w:id="297"/>
      <w:bookmarkEnd w:id="297"/>
      <w:r>
        <w:rPr>
          <w:i/>
        </w:rPr>
        <w:t>Bil</w:t>
      </w:r>
      <w:r>
        <w:rPr>
          <w:i/>
        </w:rPr>
        <w:t>ans</w:t>
      </w:r>
      <w:r>
        <w:rPr>
          <w:i/>
          <w:spacing w:val="-5"/>
        </w:rPr>
        <w:t> </w:t>
      </w:r>
      <w:r>
        <w:rPr>
          <w:i/>
        </w:rPr>
        <w:t>sanguins</w:t>
      </w:r>
    </w:p>
    <w:p>
      <w:pPr>
        <w:pStyle w:val="BodyText"/>
        <w:rPr>
          <w:b/>
          <w:i/>
          <w:sz w:val="26"/>
        </w:rPr>
      </w:pPr>
    </w:p>
    <w:p>
      <w:pPr>
        <w:pStyle w:val="BodyText"/>
        <w:spacing w:line="259" w:lineRule="auto" w:before="176"/>
        <w:ind w:left="118" w:right="116" w:firstLine="707"/>
        <w:jc w:val="both"/>
      </w:pPr>
      <w:r>
        <w:rPr/>
        <w:t>Le suivi des numérations et formules sanguines et des analyses biochimiques de base a quant à lui été réalisé de manière beaucoup plus régulière. Le tableau suivant (tableau 8) présente 10 chiens et 3 chats dont le suivi a été régulier. Certains animaux ont été suivis chez leur vétérinaire traitant et les résultats n’ont pas toujours pu être récupérés.</w:t>
      </w:r>
    </w:p>
    <w:p>
      <w:pPr>
        <w:pStyle w:val="BodyText"/>
        <w:spacing w:line="259" w:lineRule="auto" w:before="163"/>
        <w:ind w:left="118" w:right="115" w:firstLine="707"/>
        <w:jc w:val="both"/>
      </w:pPr>
      <w:r>
        <w:rPr/>
        <w:t>Seules</w:t>
      </w:r>
      <w:r>
        <w:rPr>
          <w:spacing w:val="-9"/>
        </w:rPr>
        <w:t> </w:t>
      </w:r>
      <w:r>
        <w:rPr/>
        <w:t>les</w:t>
      </w:r>
      <w:r>
        <w:rPr>
          <w:spacing w:val="-9"/>
        </w:rPr>
        <w:t> </w:t>
      </w:r>
      <w:r>
        <w:rPr/>
        <w:t>anomalies</w:t>
      </w:r>
      <w:r>
        <w:rPr>
          <w:spacing w:val="-8"/>
        </w:rPr>
        <w:t> </w:t>
      </w:r>
      <w:r>
        <w:rPr/>
        <w:t>sont</w:t>
      </w:r>
      <w:r>
        <w:rPr>
          <w:spacing w:val="-8"/>
        </w:rPr>
        <w:t> </w:t>
      </w:r>
      <w:r>
        <w:rPr/>
        <w:t>reportées</w:t>
      </w:r>
      <w:r>
        <w:rPr>
          <w:spacing w:val="-8"/>
        </w:rPr>
        <w:t> </w:t>
      </w:r>
      <w:r>
        <w:rPr/>
        <w:t>dans</w:t>
      </w:r>
      <w:r>
        <w:rPr>
          <w:spacing w:val="-8"/>
        </w:rPr>
        <w:t> </w:t>
      </w:r>
      <w:r>
        <w:rPr/>
        <w:t>le</w:t>
      </w:r>
      <w:r>
        <w:rPr>
          <w:spacing w:val="-9"/>
        </w:rPr>
        <w:t> </w:t>
      </w:r>
      <w:r>
        <w:rPr/>
        <w:t>tableau</w:t>
      </w:r>
      <w:r>
        <w:rPr>
          <w:spacing w:val="-4"/>
        </w:rPr>
        <w:t> </w:t>
      </w:r>
      <w:r>
        <w:rPr/>
        <w:t>suivant</w:t>
      </w:r>
      <w:r>
        <w:rPr>
          <w:spacing w:val="-8"/>
        </w:rPr>
        <w:t> </w:t>
      </w:r>
      <w:r>
        <w:rPr/>
        <w:t>(les</w:t>
      </w:r>
      <w:r>
        <w:rPr>
          <w:spacing w:val="-8"/>
        </w:rPr>
        <w:t> </w:t>
      </w:r>
      <w:r>
        <w:rPr/>
        <w:t>valeurs</w:t>
      </w:r>
      <w:r>
        <w:rPr>
          <w:spacing w:val="-9"/>
        </w:rPr>
        <w:t> </w:t>
      </w:r>
      <w:r>
        <w:rPr/>
        <w:t>usuelles</w:t>
      </w:r>
      <w:r>
        <w:rPr>
          <w:spacing w:val="-8"/>
        </w:rPr>
        <w:t> </w:t>
      </w:r>
      <w:r>
        <w:rPr/>
        <w:t>peuvent être retrouvées en annexe 4). Lorsqu’elles sont disponibles, les valeurs des paramètres biochimiques et de numération formule du jour de l’instauration de la TM sont reportées (S0). Les différents contrôles (à 2 semaines S2, 4 semaines S4…) sont présentés. L’absence d’anomalie dans les valeurs est représentée par « RAS </w:t>
      </w:r>
      <w:r>
        <w:rPr>
          <w:spacing w:val="-4"/>
        </w:rPr>
        <w:t>». </w:t>
      </w:r>
      <w:r>
        <w:rPr/>
        <w:t>Les cases grisées sont celles où les données ne sont pas</w:t>
      </w:r>
      <w:r>
        <w:rPr>
          <w:spacing w:val="-4"/>
        </w:rPr>
        <w:t> </w:t>
      </w:r>
      <w:r>
        <w:rPr/>
        <w:t>disponibles.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6"/>
        <w:ind w:left="1479" w:right="1479"/>
        <w:jc w:val="center"/>
      </w:pPr>
      <w:r>
        <w:rPr/>
        <w:t>115</w:t>
      </w:r>
    </w:p>
    <w:p>
      <w:pPr>
        <w:spacing w:after="0"/>
        <w:jc w:val="center"/>
        <w:sectPr>
          <w:footerReference w:type="default" r:id="rId56"/>
          <w:pgSz w:w="11910" w:h="16840"/>
          <w:pgMar w:footer="0" w:header="0" w:top="1320" w:bottom="280" w:left="1300" w:right="1300"/>
        </w:sectPr>
      </w:pPr>
    </w:p>
    <w:p>
      <w:pPr>
        <w:pStyle w:val="BodyText"/>
        <w:spacing w:before="8"/>
        <w:rPr>
          <w:sz w:val="18"/>
        </w:rPr>
      </w:pPr>
    </w:p>
    <w:p>
      <w:pPr>
        <w:spacing w:before="92"/>
        <w:ind w:left="838" w:right="0" w:firstLine="0"/>
        <w:jc w:val="left"/>
        <w:rPr>
          <w:i/>
          <w:sz w:val="18"/>
        </w:rPr>
      </w:pPr>
      <w:bookmarkStart w:name="_bookmark174" w:id="298"/>
      <w:bookmarkEnd w:id="298"/>
      <w:r>
        <w:rPr/>
      </w:r>
      <w:r>
        <w:rPr>
          <w:i/>
          <w:color w:val="44536A"/>
          <w:sz w:val="18"/>
        </w:rPr>
        <w:t>Tableau 8 : Suivi des numérations et  formules sanguines et des examens biochimiques.</w:t>
      </w:r>
    </w:p>
    <w:p>
      <w:pPr>
        <w:spacing w:line="242" w:lineRule="auto" w:before="13"/>
        <w:ind w:left="838" w:right="755" w:firstLine="0"/>
        <w:jc w:val="left"/>
        <w:rPr>
          <w:i/>
          <w:sz w:val="20"/>
        </w:rPr>
      </w:pPr>
      <w:r>
        <w:rPr>
          <w:i/>
          <w:color w:val="44536A"/>
          <w:sz w:val="20"/>
        </w:rPr>
        <w:t>Seules les anomalies sont reportées. RAS = pas d’anomalies ; Hb = Hémoglobine ; Ht = Hématocrite ; BUN = Blood Urea Nitrogen ; ALAT = AlanineAminoTransférase ; </w:t>
      </w:r>
      <w:r>
        <w:rPr>
          <w:i/>
          <w:color w:val="44536A"/>
          <w:sz w:val="20"/>
        </w:rPr>
        <w:t>PAL = Phosphatase Alcaline ; Créa = Créatinine</w:t>
      </w:r>
    </w:p>
    <w:p>
      <w:pPr>
        <w:pStyle w:val="BodyText"/>
        <w:spacing w:before="5"/>
        <w:rPr>
          <w:i/>
          <w:sz w:val="17"/>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1839"/>
        <w:gridCol w:w="1990"/>
        <w:gridCol w:w="1843"/>
        <w:gridCol w:w="1839"/>
        <w:gridCol w:w="1702"/>
        <w:gridCol w:w="1846"/>
        <w:gridCol w:w="1702"/>
        <w:gridCol w:w="1985"/>
      </w:tblGrid>
      <w:tr>
        <w:trPr>
          <w:trHeight w:val="700" w:hRule="atLeast"/>
        </w:trPr>
        <w:tc>
          <w:tcPr>
            <w:tcW w:w="708" w:type="dxa"/>
          </w:tcPr>
          <w:p>
            <w:pPr>
              <w:pStyle w:val="TableParagraph"/>
              <w:rPr>
                <w:sz w:val="20"/>
              </w:rPr>
            </w:pPr>
          </w:p>
        </w:tc>
        <w:tc>
          <w:tcPr>
            <w:tcW w:w="1839" w:type="dxa"/>
          </w:tcPr>
          <w:p>
            <w:pPr>
              <w:pStyle w:val="TableParagraph"/>
              <w:spacing w:line="251" w:lineRule="exact"/>
              <w:ind w:left="129" w:right="129"/>
              <w:jc w:val="center"/>
              <w:rPr>
                <w:b/>
                <w:sz w:val="22"/>
              </w:rPr>
            </w:pPr>
            <w:r>
              <w:rPr>
                <w:b/>
                <w:sz w:val="22"/>
              </w:rPr>
              <w:t>S0</w:t>
            </w:r>
          </w:p>
        </w:tc>
        <w:tc>
          <w:tcPr>
            <w:tcW w:w="1990" w:type="dxa"/>
          </w:tcPr>
          <w:p>
            <w:pPr>
              <w:pStyle w:val="TableParagraph"/>
              <w:spacing w:line="251" w:lineRule="exact"/>
              <w:ind w:left="174" w:right="174"/>
              <w:jc w:val="center"/>
              <w:rPr>
                <w:b/>
                <w:sz w:val="22"/>
              </w:rPr>
            </w:pPr>
            <w:r>
              <w:rPr>
                <w:b/>
                <w:sz w:val="22"/>
              </w:rPr>
              <w:t>S2</w:t>
            </w:r>
          </w:p>
        </w:tc>
        <w:tc>
          <w:tcPr>
            <w:tcW w:w="1843" w:type="dxa"/>
          </w:tcPr>
          <w:p>
            <w:pPr>
              <w:pStyle w:val="TableParagraph"/>
              <w:spacing w:line="251" w:lineRule="exact"/>
              <w:ind w:left="115" w:right="115"/>
              <w:jc w:val="center"/>
              <w:rPr>
                <w:b/>
                <w:sz w:val="22"/>
              </w:rPr>
            </w:pPr>
            <w:r>
              <w:rPr>
                <w:b/>
                <w:sz w:val="22"/>
              </w:rPr>
              <w:t>S4</w:t>
            </w:r>
          </w:p>
        </w:tc>
        <w:tc>
          <w:tcPr>
            <w:tcW w:w="1839" w:type="dxa"/>
          </w:tcPr>
          <w:p>
            <w:pPr>
              <w:pStyle w:val="TableParagraph"/>
              <w:spacing w:line="251" w:lineRule="exact"/>
              <w:ind w:left="128" w:right="129"/>
              <w:jc w:val="center"/>
              <w:rPr>
                <w:b/>
                <w:sz w:val="22"/>
              </w:rPr>
            </w:pPr>
            <w:r>
              <w:rPr>
                <w:b/>
                <w:sz w:val="22"/>
              </w:rPr>
              <w:t>S6</w:t>
            </w:r>
          </w:p>
        </w:tc>
        <w:tc>
          <w:tcPr>
            <w:tcW w:w="1702" w:type="dxa"/>
          </w:tcPr>
          <w:p>
            <w:pPr>
              <w:pStyle w:val="TableParagraph"/>
              <w:spacing w:line="251" w:lineRule="exact"/>
              <w:ind w:left="103" w:right="103"/>
              <w:jc w:val="center"/>
              <w:rPr>
                <w:b/>
                <w:sz w:val="22"/>
              </w:rPr>
            </w:pPr>
            <w:r>
              <w:rPr>
                <w:b/>
                <w:sz w:val="22"/>
              </w:rPr>
              <w:t>S8</w:t>
            </w:r>
          </w:p>
        </w:tc>
        <w:tc>
          <w:tcPr>
            <w:tcW w:w="1846" w:type="dxa"/>
          </w:tcPr>
          <w:p>
            <w:pPr>
              <w:pStyle w:val="TableParagraph"/>
              <w:spacing w:line="251" w:lineRule="exact"/>
              <w:ind w:left="287" w:right="287"/>
              <w:jc w:val="center"/>
              <w:rPr>
                <w:b/>
                <w:sz w:val="22"/>
              </w:rPr>
            </w:pPr>
            <w:r>
              <w:rPr>
                <w:b/>
                <w:sz w:val="22"/>
              </w:rPr>
              <w:t>S12</w:t>
            </w:r>
          </w:p>
        </w:tc>
        <w:tc>
          <w:tcPr>
            <w:tcW w:w="1702" w:type="dxa"/>
          </w:tcPr>
          <w:p>
            <w:pPr>
              <w:pStyle w:val="TableParagraph"/>
              <w:spacing w:line="251" w:lineRule="exact"/>
              <w:ind w:left="103" w:right="103"/>
              <w:jc w:val="center"/>
              <w:rPr>
                <w:b/>
                <w:sz w:val="22"/>
              </w:rPr>
            </w:pPr>
            <w:r>
              <w:rPr>
                <w:b/>
                <w:sz w:val="22"/>
              </w:rPr>
              <w:t>S16</w:t>
            </w:r>
          </w:p>
        </w:tc>
        <w:tc>
          <w:tcPr>
            <w:tcW w:w="1985" w:type="dxa"/>
          </w:tcPr>
          <w:p>
            <w:pPr>
              <w:pStyle w:val="TableParagraph"/>
              <w:spacing w:line="251" w:lineRule="exact"/>
              <w:ind w:left="172" w:right="172"/>
              <w:jc w:val="center"/>
              <w:rPr>
                <w:b/>
                <w:sz w:val="22"/>
              </w:rPr>
            </w:pPr>
            <w:r>
              <w:rPr>
                <w:b/>
                <w:sz w:val="22"/>
              </w:rPr>
              <w:t>S24</w:t>
            </w:r>
          </w:p>
        </w:tc>
      </w:tr>
      <w:tr>
        <w:trPr>
          <w:trHeight w:val="1000" w:hRule="atLeast"/>
        </w:trPr>
        <w:tc>
          <w:tcPr>
            <w:tcW w:w="708" w:type="dxa"/>
            <w:shd w:val="clear" w:color="auto" w:fill="C5DFB3"/>
          </w:tcPr>
          <w:p>
            <w:pPr>
              <w:pStyle w:val="TableParagraph"/>
              <w:spacing w:line="247" w:lineRule="exact"/>
              <w:ind w:left="112"/>
              <w:rPr>
                <w:sz w:val="22"/>
              </w:rPr>
            </w:pPr>
            <w:r>
              <w:rPr>
                <w:sz w:val="22"/>
              </w:rPr>
              <w:t>CN 1</w:t>
            </w:r>
          </w:p>
        </w:tc>
        <w:tc>
          <w:tcPr>
            <w:tcW w:w="1839" w:type="dxa"/>
            <w:shd w:val="clear" w:color="auto" w:fill="D9D9D9"/>
          </w:tcPr>
          <w:p>
            <w:pPr>
              <w:pStyle w:val="TableParagraph"/>
              <w:rPr>
                <w:sz w:val="20"/>
              </w:rPr>
            </w:pPr>
          </w:p>
        </w:tc>
        <w:tc>
          <w:tcPr>
            <w:tcW w:w="1990" w:type="dxa"/>
            <w:shd w:val="clear" w:color="auto" w:fill="D9D9D9"/>
          </w:tcPr>
          <w:p>
            <w:pPr>
              <w:pStyle w:val="TableParagraph"/>
              <w:rPr>
                <w:sz w:val="20"/>
              </w:rPr>
            </w:pPr>
          </w:p>
        </w:tc>
        <w:tc>
          <w:tcPr>
            <w:tcW w:w="1843" w:type="dxa"/>
            <w:shd w:val="clear" w:color="auto" w:fill="D9D9D9"/>
          </w:tcPr>
          <w:p>
            <w:pPr>
              <w:pStyle w:val="TableParagraph"/>
              <w:rPr>
                <w:sz w:val="20"/>
              </w:rPr>
            </w:pPr>
          </w:p>
        </w:tc>
        <w:tc>
          <w:tcPr>
            <w:tcW w:w="1839" w:type="dxa"/>
          </w:tcPr>
          <w:p>
            <w:pPr>
              <w:pStyle w:val="TableParagraph"/>
              <w:ind w:left="134" w:right="114" w:firstLine="57"/>
              <w:rPr>
                <w:sz w:val="22"/>
              </w:rPr>
            </w:pPr>
            <w:r>
              <w:rPr>
                <w:sz w:val="22"/>
              </w:rPr>
              <w:t>BUN = 0,35 g/L ALAT = 675 U/L</w:t>
            </w:r>
          </w:p>
        </w:tc>
        <w:tc>
          <w:tcPr>
            <w:tcW w:w="1702" w:type="dxa"/>
            <w:shd w:val="clear" w:color="auto" w:fill="D9D9D9"/>
          </w:tcPr>
          <w:p>
            <w:pPr>
              <w:pStyle w:val="TableParagraph"/>
              <w:rPr>
                <w:sz w:val="20"/>
              </w:rPr>
            </w:pPr>
          </w:p>
        </w:tc>
        <w:tc>
          <w:tcPr>
            <w:tcW w:w="1846" w:type="dxa"/>
          </w:tcPr>
          <w:p>
            <w:pPr>
              <w:pStyle w:val="TableParagraph"/>
              <w:ind w:left="294" w:right="287"/>
              <w:jc w:val="center"/>
              <w:rPr>
                <w:sz w:val="22"/>
              </w:rPr>
            </w:pPr>
            <w:r>
              <w:rPr>
                <w:sz w:val="22"/>
              </w:rPr>
              <w:t>Hb = 8,6 g/dL Ht = 25,1 %</w:t>
            </w:r>
          </w:p>
          <w:p>
            <w:pPr>
              <w:pStyle w:val="TableParagraph"/>
              <w:spacing w:line="252" w:lineRule="exact" w:before="11"/>
              <w:ind w:left="138" w:right="131"/>
              <w:jc w:val="center"/>
              <w:rPr>
                <w:sz w:val="22"/>
              </w:rPr>
            </w:pPr>
            <w:r>
              <w:rPr>
                <w:sz w:val="22"/>
              </w:rPr>
              <w:t>ALAT = 675 U/L PAL = 974 U/L</w:t>
            </w:r>
          </w:p>
        </w:tc>
        <w:tc>
          <w:tcPr>
            <w:tcW w:w="1702" w:type="dxa"/>
            <w:shd w:val="clear" w:color="auto" w:fill="D9D9D9"/>
          </w:tcPr>
          <w:p>
            <w:pPr>
              <w:pStyle w:val="TableParagraph"/>
              <w:rPr>
                <w:sz w:val="20"/>
              </w:rPr>
            </w:pPr>
          </w:p>
        </w:tc>
        <w:tc>
          <w:tcPr>
            <w:tcW w:w="1985" w:type="dxa"/>
            <w:shd w:val="clear" w:color="auto" w:fill="D9D9D9"/>
          </w:tcPr>
          <w:p>
            <w:pPr>
              <w:pStyle w:val="TableParagraph"/>
              <w:rPr>
                <w:sz w:val="20"/>
              </w:rPr>
            </w:pPr>
          </w:p>
        </w:tc>
      </w:tr>
      <w:tr>
        <w:trPr>
          <w:trHeight w:val="760" w:hRule="atLeast"/>
        </w:trPr>
        <w:tc>
          <w:tcPr>
            <w:tcW w:w="708" w:type="dxa"/>
            <w:shd w:val="clear" w:color="auto" w:fill="C5DFB3"/>
          </w:tcPr>
          <w:p>
            <w:pPr>
              <w:pStyle w:val="TableParagraph"/>
              <w:spacing w:line="249" w:lineRule="exact"/>
              <w:ind w:left="112"/>
              <w:rPr>
                <w:sz w:val="22"/>
              </w:rPr>
            </w:pPr>
            <w:r>
              <w:rPr>
                <w:sz w:val="22"/>
              </w:rPr>
              <w:t>CN 4</w:t>
            </w:r>
          </w:p>
        </w:tc>
        <w:tc>
          <w:tcPr>
            <w:tcW w:w="1839" w:type="dxa"/>
          </w:tcPr>
          <w:p>
            <w:pPr>
              <w:pStyle w:val="TableParagraph"/>
              <w:ind w:left="134" w:right="114" w:firstLine="77"/>
              <w:rPr>
                <w:sz w:val="22"/>
              </w:rPr>
            </w:pPr>
            <w:r>
              <w:rPr>
                <w:sz w:val="22"/>
              </w:rPr>
              <w:t>Urée = 0,63 g/L ALAT = 155 U/L</w:t>
            </w:r>
          </w:p>
        </w:tc>
        <w:tc>
          <w:tcPr>
            <w:tcW w:w="1990" w:type="dxa"/>
            <w:shd w:val="clear" w:color="auto" w:fill="D9D9D9"/>
          </w:tcPr>
          <w:p>
            <w:pPr>
              <w:pStyle w:val="TableParagraph"/>
              <w:rPr>
                <w:sz w:val="20"/>
              </w:rPr>
            </w:pPr>
          </w:p>
        </w:tc>
        <w:tc>
          <w:tcPr>
            <w:tcW w:w="1843" w:type="dxa"/>
          </w:tcPr>
          <w:p>
            <w:pPr>
              <w:pStyle w:val="TableParagraph"/>
              <w:ind w:left="136" w:right="117" w:firstLine="132"/>
              <w:rPr>
                <w:sz w:val="22"/>
              </w:rPr>
            </w:pPr>
            <w:r>
              <w:rPr>
                <w:sz w:val="22"/>
              </w:rPr>
              <w:t>Urée = 0,6 g/L ALAT = 159 U/L</w:t>
            </w:r>
          </w:p>
        </w:tc>
        <w:tc>
          <w:tcPr>
            <w:tcW w:w="1839" w:type="dxa"/>
            <w:shd w:val="clear" w:color="auto" w:fill="D9D9D9"/>
          </w:tcPr>
          <w:p>
            <w:pPr>
              <w:pStyle w:val="TableParagraph"/>
              <w:rPr>
                <w:sz w:val="20"/>
              </w:rPr>
            </w:pPr>
          </w:p>
        </w:tc>
        <w:tc>
          <w:tcPr>
            <w:tcW w:w="1702" w:type="dxa"/>
          </w:tcPr>
          <w:p>
            <w:pPr>
              <w:pStyle w:val="TableParagraph"/>
              <w:ind w:left="103" w:right="101"/>
              <w:jc w:val="center"/>
              <w:rPr>
                <w:sz w:val="22"/>
              </w:rPr>
            </w:pPr>
            <w:r>
              <w:rPr>
                <w:sz w:val="22"/>
              </w:rPr>
              <w:t>Urée = 0,9 g/L ALAT = 220</w:t>
            </w:r>
          </w:p>
          <w:p>
            <w:pPr>
              <w:pStyle w:val="TableParagraph"/>
              <w:spacing w:line="239" w:lineRule="exact" w:before="4"/>
              <w:ind w:left="103" w:right="103"/>
              <w:jc w:val="center"/>
              <w:rPr>
                <w:sz w:val="22"/>
              </w:rPr>
            </w:pPr>
            <w:r>
              <w:rPr>
                <w:sz w:val="22"/>
              </w:rPr>
              <w:t>U/L</w:t>
            </w:r>
          </w:p>
        </w:tc>
        <w:tc>
          <w:tcPr>
            <w:tcW w:w="1846" w:type="dxa"/>
            <w:shd w:val="clear" w:color="auto" w:fill="D9D9D9"/>
          </w:tcPr>
          <w:p>
            <w:pPr>
              <w:pStyle w:val="TableParagraph"/>
              <w:rPr>
                <w:sz w:val="20"/>
              </w:rPr>
            </w:pPr>
          </w:p>
        </w:tc>
        <w:tc>
          <w:tcPr>
            <w:tcW w:w="1702" w:type="dxa"/>
            <w:shd w:val="clear" w:color="auto" w:fill="D9D9D9"/>
          </w:tcPr>
          <w:p>
            <w:pPr>
              <w:pStyle w:val="TableParagraph"/>
              <w:rPr>
                <w:sz w:val="20"/>
              </w:rPr>
            </w:pPr>
          </w:p>
        </w:tc>
        <w:tc>
          <w:tcPr>
            <w:tcW w:w="1985" w:type="dxa"/>
            <w:shd w:val="clear" w:color="auto" w:fill="D9D9D9"/>
          </w:tcPr>
          <w:p>
            <w:pPr>
              <w:pStyle w:val="TableParagraph"/>
              <w:rPr>
                <w:sz w:val="20"/>
              </w:rPr>
            </w:pPr>
          </w:p>
        </w:tc>
      </w:tr>
      <w:tr>
        <w:trPr>
          <w:trHeight w:val="500" w:hRule="atLeast"/>
        </w:trPr>
        <w:tc>
          <w:tcPr>
            <w:tcW w:w="708" w:type="dxa"/>
            <w:shd w:val="clear" w:color="auto" w:fill="C5DFB3"/>
          </w:tcPr>
          <w:p>
            <w:pPr>
              <w:pStyle w:val="TableParagraph"/>
              <w:spacing w:line="247" w:lineRule="exact"/>
              <w:ind w:left="112"/>
              <w:rPr>
                <w:sz w:val="22"/>
              </w:rPr>
            </w:pPr>
            <w:r>
              <w:rPr>
                <w:sz w:val="22"/>
              </w:rPr>
              <w:t>CN 5</w:t>
            </w:r>
          </w:p>
        </w:tc>
        <w:tc>
          <w:tcPr>
            <w:tcW w:w="1839" w:type="dxa"/>
          </w:tcPr>
          <w:p>
            <w:pPr>
              <w:pStyle w:val="TableParagraph"/>
              <w:spacing w:line="246" w:lineRule="exact"/>
              <w:ind w:left="218" w:hanging="85"/>
              <w:rPr>
                <w:sz w:val="22"/>
              </w:rPr>
            </w:pPr>
            <w:r>
              <w:rPr>
                <w:sz w:val="22"/>
              </w:rPr>
              <w:t>ALAT = 279 U/L</w:t>
            </w:r>
          </w:p>
          <w:p>
            <w:pPr>
              <w:pStyle w:val="TableParagraph"/>
              <w:spacing w:line="240" w:lineRule="exact"/>
              <w:ind w:left="218"/>
              <w:rPr>
                <w:sz w:val="22"/>
              </w:rPr>
            </w:pPr>
            <w:r>
              <w:rPr>
                <w:sz w:val="22"/>
              </w:rPr>
              <w:t>PAL = 248 U/L</w:t>
            </w:r>
          </w:p>
        </w:tc>
        <w:tc>
          <w:tcPr>
            <w:tcW w:w="1990" w:type="dxa"/>
            <w:shd w:val="clear" w:color="auto" w:fill="D9D9D9"/>
          </w:tcPr>
          <w:p>
            <w:pPr>
              <w:pStyle w:val="TableParagraph"/>
              <w:rPr>
                <w:sz w:val="20"/>
              </w:rPr>
            </w:pPr>
          </w:p>
        </w:tc>
        <w:tc>
          <w:tcPr>
            <w:tcW w:w="1843" w:type="dxa"/>
          </w:tcPr>
          <w:p>
            <w:pPr>
              <w:pStyle w:val="TableParagraph"/>
              <w:spacing w:line="247" w:lineRule="exact"/>
              <w:ind w:left="115" w:right="115"/>
              <w:jc w:val="center"/>
              <w:rPr>
                <w:sz w:val="22"/>
              </w:rPr>
            </w:pPr>
            <w:r>
              <w:rPr>
                <w:sz w:val="22"/>
              </w:rPr>
              <w:t>RAS</w:t>
            </w:r>
          </w:p>
        </w:tc>
        <w:tc>
          <w:tcPr>
            <w:tcW w:w="1839" w:type="dxa"/>
            <w:shd w:val="clear" w:color="auto" w:fill="D9D9D9"/>
          </w:tcPr>
          <w:p>
            <w:pPr>
              <w:pStyle w:val="TableParagraph"/>
              <w:rPr>
                <w:sz w:val="20"/>
              </w:rPr>
            </w:pPr>
          </w:p>
        </w:tc>
        <w:tc>
          <w:tcPr>
            <w:tcW w:w="1702" w:type="dxa"/>
          </w:tcPr>
          <w:p>
            <w:pPr>
              <w:pStyle w:val="TableParagraph"/>
              <w:spacing w:line="247" w:lineRule="exact"/>
              <w:ind w:left="103" w:right="103"/>
              <w:jc w:val="center"/>
              <w:rPr>
                <w:sz w:val="22"/>
              </w:rPr>
            </w:pPr>
            <w:r>
              <w:rPr>
                <w:sz w:val="22"/>
              </w:rPr>
              <w:t>RAS</w:t>
            </w:r>
          </w:p>
        </w:tc>
        <w:tc>
          <w:tcPr>
            <w:tcW w:w="1846" w:type="dxa"/>
          </w:tcPr>
          <w:p>
            <w:pPr>
              <w:pStyle w:val="TableParagraph"/>
              <w:spacing w:line="247" w:lineRule="exact"/>
              <w:ind w:left="289" w:right="287"/>
              <w:jc w:val="center"/>
              <w:rPr>
                <w:b/>
                <w:sz w:val="22"/>
              </w:rPr>
            </w:pPr>
            <w:r>
              <w:rPr>
                <w:sz w:val="22"/>
              </w:rPr>
              <w:t>RAS à </w:t>
            </w:r>
            <w:r>
              <w:rPr>
                <w:b/>
                <w:sz w:val="22"/>
              </w:rPr>
              <w:t>S10</w:t>
            </w:r>
          </w:p>
        </w:tc>
        <w:tc>
          <w:tcPr>
            <w:tcW w:w="1702" w:type="dxa"/>
            <w:shd w:val="clear" w:color="auto" w:fill="D9D9D9"/>
          </w:tcPr>
          <w:p>
            <w:pPr>
              <w:pStyle w:val="TableParagraph"/>
              <w:rPr>
                <w:sz w:val="20"/>
              </w:rPr>
            </w:pPr>
          </w:p>
        </w:tc>
        <w:tc>
          <w:tcPr>
            <w:tcW w:w="1985" w:type="dxa"/>
            <w:shd w:val="clear" w:color="auto" w:fill="D9D9D9"/>
          </w:tcPr>
          <w:p>
            <w:pPr>
              <w:pStyle w:val="TableParagraph"/>
              <w:rPr>
                <w:sz w:val="20"/>
              </w:rPr>
            </w:pPr>
          </w:p>
        </w:tc>
      </w:tr>
      <w:tr>
        <w:trPr>
          <w:trHeight w:val="2260" w:hRule="atLeast"/>
        </w:trPr>
        <w:tc>
          <w:tcPr>
            <w:tcW w:w="708" w:type="dxa"/>
            <w:shd w:val="clear" w:color="auto" w:fill="B4C5E7"/>
          </w:tcPr>
          <w:p>
            <w:pPr>
              <w:pStyle w:val="TableParagraph"/>
              <w:spacing w:line="247" w:lineRule="exact"/>
              <w:ind w:left="112"/>
              <w:rPr>
                <w:sz w:val="22"/>
              </w:rPr>
            </w:pPr>
            <w:r>
              <w:rPr>
                <w:sz w:val="22"/>
              </w:rPr>
              <w:t>CN 6</w:t>
            </w:r>
          </w:p>
        </w:tc>
        <w:tc>
          <w:tcPr>
            <w:tcW w:w="1839" w:type="dxa"/>
          </w:tcPr>
          <w:p>
            <w:pPr>
              <w:pStyle w:val="TableParagraph"/>
              <w:spacing w:line="246" w:lineRule="exact"/>
              <w:ind w:left="129" w:right="129"/>
              <w:jc w:val="center"/>
              <w:rPr>
                <w:sz w:val="22"/>
              </w:rPr>
            </w:pPr>
            <w:r>
              <w:rPr>
                <w:sz w:val="22"/>
              </w:rPr>
              <w:t>Ht = 33,9 %</w:t>
            </w:r>
          </w:p>
          <w:p>
            <w:pPr>
              <w:pStyle w:val="TableParagraph"/>
              <w:ind w:left="194" w:right="195" w:firstLine="6"/>
              <w:jc w:val="center"/>
              <w:rPr>
                <w:sz w:val="22"/>
              </w:rPr>
            </w:pPr>
            <w:r>
              <w:rPr>
                <w:sz w:val="22"/>
              </w:rPr>
              <w:t>Hb = 11,7 g/dL Neutrophilie (20,71 x10^9/L)</w:t>
            </w:r>
          </w:p>
          <w:p>
            <w:pPr>
              <w:pStyle w:val="TableParagraph"/>
              <w:spacing w:before="2"/>
              <w:ind w:left="132" w:right="129"/>
              <w:jc w:val="center"/>
              <w:rPr>
                <w:sz w:val="22"/>
              </w:rPr>
            </w:pPr>
            <w:r>
              <w:rPr>
                <w:sz w:val="22"/>
              </w:rPr>
              <w:t>avec leucocytose (23,52 x10^9/L)</w:t>
            </w:r>
          </w:p>
          <w:p>
            <w:pPr>
              <w:pStyle w:val="TableParagraph"/>
              <w:spacing w:line="252" w:lineRule="exact"/>
              <w:ind w:left="547"/>
              <w:rPr>
                <w:sz w:val="22"/>
              </w:rPr>
            </w:pPr>
            <w:r>
              <w:rPr>
                <w:sz w:val="22"/>
              </w:rPr>
              <w:t>associée</w:t>
            </w:r>
          </w:p>
          <w:p>
            <w:pPr>
              <w:pStyle w:val="TableParagraph"/>
              <w:spacing w:line="252" w:lineRule="exact" w:before="5"/>
              <w:ind w:left="134" w:right="129"/>
              <w:jc w:val="center"/>
              <w:rPr>
                <w:sz w:val="22"/>
              </w:rPr>
            </w:pPr>
            <w:r>
              <w:rPr>
                <w:sz w:val="22"/>
              </w:rPr>
              <w:t>ALAT = 671 U/L PAL = 771 U/L</w:t>
            </w:r>
          </w:p>
        </w:tc>
        <w:tc>
          <w:tcPr>
            <w:tcW w:w="1990" w:type="dxa"/>
          </w:tcPr>
          <w:p>
            <w:pPr>
              <w:pStyle w:val="TableParagraph"/>
              <w:ind w:left="294" w:right="193" w:hanging="87"/>
              <w:rPr>
                <w:sz w:val="22"/>
              </w:rPr>
            </w:pPr>
            <w:r>
              <w:rPr>
                <w:sz w:val="22"/>
              </w:rPr>
              <w:t>ALAT = 233 U/L PAL = 526 U/L</w:t>
            </w:r>
          </w:p>
        </w:tc>
        <w:tc>
          <w:tcPr>
            <w:tcW w:w="1843" w:type="dxa"/>
          </w:tcPr>
          <w:p>
            <w:pPr>
              <w:pStyle w:val="TableParagraph"/>
              <w:spacing w:line="247" w:lineRule="exact"/>
              <w:ind w:left="115" w:right="115"/>
              <w:jc w:val="center"/>
              <w:rPr>
                <w:sz w:val="22"/>
              </w:rPr>
            </w:pPr>
            <w:r>
              <w:rPr>
                <w:sz w:val="22"/>
              </w:rPr>
              <w:t>RAS</w:t>
            </w:r>
          </w:p>
        </w:tc>
        <w:tc>
          <w:tcPr>
            <w:tcW w:w="1839" w:type="dxa"/>
          </w:tcPr>
          <w:p>
            <w:pPr>
              <w:pStyle w:val="TableParagraph"/>
              <w:spacing w:line="247" w:lineRule="exact"/>
              <w:ind w:left="129" w:right="129"/>
              <w:jc w:val="center"/>
              <w:rPr>
                <w:sz w:val="22"/>
              </w:rPr>
            </w:pPr>
            <w:r>
              <w:rPr>
                <w:sz w:val="22"/>
              </w:rPr>
              <w:t>RAS</w:t>
            </w:r>
          </w:p>
        </w:tc>
        <w:tc>
          <w:tcPr>
            <w:tcW w:w="1702" w:type="dxa"/>
          </w:tcPr>
          <w:p>
            <w:pPr>
              <w:pStyle w:val="TableParagraph"/>
              <w:ind w:left="182" w:right="181" w:hanging="2"/>
              <w:jc w:val="center"/>
              <w:rPr>
                <w:sz w:val="22"/>
              </w:rPr>
            </w:pPr>
            <w:r>
              <w:rPr>
                <w:sz w:val="22"/>
              </w:rPr>
              <w:t>Lymphopénie (0,37 x10^9/L)</w:t>
            </w:r>
          </w:p>
          <w:p>
            <w:pPr>
              <w:pStyle w:val="TableParagraph"/>
              <w:spacing w:before="8"/>
              <w:ind w:left="103" w:right="103"/>
              <w:jc w:val="center"/>
              <w:rPr>
                <w:sz w:val="22"/>
              </w:rPr>
            </w:pPr>
            <w:r>
              <w:rPr>
                <w:sz w:val="22"/>
              </w:rPr>
              <w:t>avec leucopénie (4,86 x10^9/L)</w:t>
            </w:r>
          </w:p>
          <w:p>
            <w:pPr>
              <w:pStyle w:val="TableParagraph"/>
              <w:spacing w:before="2"/>
              <w:ind w:left="103" w:right="102"/>
              <w:jc w:val="center"/>
              <w:rPr>
                <w:sz w:val="22"/>
              </w:rPr>
            </w:pPr>
            <w:r>
              <w:rPr>
                <w:sz w:val="22"/>
              </w:rPr>
              <w:t>associée</w:t>
            </w:r>
          </w:p>
        </w:tc>
        <w:tc>
          <w:tcPr>
            <w:tcW w:w="1846" w:type="dxa"/>
          </w:tcPr>
          <w:p>
            <w:pPr>
              <w:pStyle w:val="TableParagraph"/>
              <w:spacing w:line="247" w:lineRule="exact"/>
              <w:ind w:left="289" w:right="287"/>
              <w:jc w:val="center"/>
              <w:rPr>
                <w:sz w:val="22"/>
              </w:rPr>
            </w:pPr>
            <w:r>
              <w:rPr>
                <w:sz w:val="22"/>
              </w:rPr>
              <w:t>RAS</w:t>
            </w:r>
          </w:p>
        </w:tc>
        <w:tc>
          <w:tcPr>
            <w:tcW w:w="1702" w:type="dxa"/>
          </w:tcPr>
          <w:p>
            <w:pPr>
              <w:pStyle w:val="TableParagraph"/>
              <w:ind w:left="182" w:right="181" w:hanging="2"/>
              <w:jc w:val="center"/>
              <w:rPr>
                <w:sz w:val="22"/>
              </w:rPr>
            </w:pPr>
            <w:r>
              <w:rPr>
                <w:sz w:val="22"/>
              </w:rPr>
              <w:t>Lymphopénie (0,29 x10^9/L)</w:t>
            </w:r>
          </w:p>
          <w:p>
            <w:pPr>
              <w:pStyle w:val="TableParagraph"/>
              <w:spacing w:before="8"/>
              <w:ind w:left="103" w:right="102"/>
              <w:jc w:val="center"/>
              <w:rPr>
                <w:sz w:val="22"/>
              </w:rPr>
            </w:pPr>
            <w:r>
              <w:rPr>
                <w:sz w:val="22"/>
              </w:rPr>
              <w:t>avec leucopénie (4,08 x10^9/L)</w:t>
            </w:r>
          </w:p>
          <w:p>
            <w:pPr>
              <w:pStyle w:val="TableParagraph"/>
              <w:spacing w:before="2"/>
              <w:ind w:left="103" w:right="102"/>
              <w:jc w:val="center"/>
              <w:rPr>
                <w:sz w:val="22"/>
              </w:rPr>
            </w:pPr>
            <w:r>
              <w:rPr>
                <w:sz w:val="22"/>
              </w:rPr>
              <w:t>associée</w:t>
            </w:r>
          </w:p>
        </w:tc>
        <w:tc>
          <w:tcPr>
            <w:tcW w:w="1985" w:type="dxa"/>
          </w:tcPr>
          <w:p>
            <w:pPr>
              <w:pStyle w:val="TableParagraph"/>
              <w:spacing w:line="247" w:lineRule="exact"/>
              <w:ind w:left="172" w:right="172"/>
              <w:jc w:val="center"/>
              <w:rPr>
                <w:sz w:val="22"/>
              </w:rPr>
            </w:pPr>
            <w:r>
              <w:rPr>
                <w:sz w:val="22"/>
              </w:rPr>
              <w:t>RAS</w:t>
            </w:r>
          </w:p>
        </w:tc>
      </w:tr>
      <w:tr>
        <w:trPr>
          <w:trHeight w:val="740" w:hRule="atLeast"/>
        </w:trPr>
        <w:tc>
          <w:tcPr>
            <w:tcW w:w="708" w:type="dxa"/>
            <w:shd w:val="clear" w:color="auto" w:fill="C5DFB3"/>
          </w:tcPr>
          <w:p>
            <w:pPr>
              <w:pStyle w:val="TableParagraph"/>
              <w:spacing w:line="247" w:lineRule="exact"/>
              <w:ind w:left="112"/>
              <w:rPr>
                <w:sz w:val="22"/>
              </w:rPr>
            </w:pPr>
            <w:r>
              <w:rPr>
                <w:sz w:val="22"/>
              </w:rPr>
              <w:t>CN 9</w:t>
            </w:r>
          </w:p>
        </w:tc>
        <w:tc>
          <w:tcPr>
            <w:tcW w:w="1839" w:type="dxa"/>
          </w:tcPr>
          <w:p>
            <w:pPr>
              <w:pStyle w:val="TableParagraph"/>
              <w:spacing w:line="246" w:lineRule="exact"/>
              <w:ind w:left="130" w:right="129"/>
              <w:jc w:val="center"/>
              <w:rPr>
                <w:sz w:val="22"/>
              </w:rPr>
            </w:pPr>
            <w:r>
              <w:rPr>
                <w:sz w:val="22"/>
              </w:rPr>
              <w:t>Ht = 33,2%</w:t>
            </w:r>
          </w:p>
          <w:p>
            <w:pPr>
              <w:pStyle w:val="TableParagraph"/>
              <w:spacing w:line="254" w:lineRule="exact" w:before="1"/>
              <w:ind w:left="134" w:right="129"/>
              <w:jc w:val="center"/>
              <w:rPr>
                <w:sz w:val="22"/>
              </w:rPr>
            </w:pPr>
            <w:r>
              <w:rPr>
                <w:sz w:val="22"/>
              </w:rPr>
              <w:t>Hb = 11,8 g/dL ALAT = 223 U/L</w:t>
            </w:r>
          </w:p>
        </w:tc>
        <w:tc>
          <w:tcPr>
            <w:tcW w:w="1990" w:type="dxa"/>
          </w:tcPr>
          <w:p>
            <w:pPr>
              <w:pStyle w:val="TableParagraph"/>
              <w:spacing w:line="246" w:lineRule="exact"/>
              <w:ind w:left="174" w:right="175"/>
              <w:jc w:val="center"/>
              <w:rPr>
                <w:sz w:val="22"/>
              </w:rPr>
            </w:pPr>
            <w:r>
              <w:rPr>
                <w:sz w:val="22"/>
              </w:rPr>
              <w:t>Ht = 29,8%</w:t>
            </w:r>
          </w:p>
          <w:p>
            <w:pPr>
              <w:pStyle w:val="TableParagraph"/>
              <w:spacing w:line="252" w:lineRule="exact"/>
              <w:ind w:left="174" w:right="174"/>
              <w:jc w:val="center"/>
              <w:rPr>
                <w:sz w:val="22"/>
              </w:rPr>
            </w:pPr>
            <w:r>
              <w:rPr>
                <w:sz w:val="22"/>
              </w:rPr>
              <w:t>Hb = 11,0 g/dL</w:t>
            </w:r>
          </w:p>
        </w:tc>
        <w:tc>
          <w:tcPr>
            <w:tcW w:w="1843" w:type="dxa"/>
          </w:tcPr>
          <w:p>
            <w:pPr>
              <w:pStyle w:val="TableParagraph"/>
              <w:spacing w:line="246" w:lineRule="exact"/>
              <w:ind w:left="116" w:right="115"/>
              <w:jc w:val="center"/>
              <w:rPr>
                <w:sz w:val="22"/>
              </w:rPr>
            </w:pPr>
            <w:r>
              <w:rPr>
                <w:sz w:val="22"/>
              </w:rPr>
              <w:t>Ht = 32,1%</w:t>
            </w:r>
          </w:p>
          <w:p>
            <w:pPr>
              <w:pStyle w:val="TableParagraph"/>
              <w:spacing w:line="254" w:lineRule="exact" w:before="1"/>
              <w:ind w:left="117" w:right="112"/>
              <w:jc w:val="center"/>
              <w:rPr>
                <w:sz w:val="22"/>
              </w:rPr>
            </w:pPr>
            <w:r>
              <w:rPr>
                <w:sz w:val="22"/>
              </w:rPr>
              <w:t>Hb = 11,3 g/dL ALAT = 210 U/L</w:t>
            </w:r>
          </w:p>
        </w:tc>
        <w:tc>
          <w:tcPr>
            <w:tcW w:w="1839" w:type="dxa"/>
            <w:shd w:val="clear" w:color="auto" w:fill="D9D9D9"/>
          </w:tcPr>
          <w:p>
            <w:pPr>
              <w:pStyle w:val="TableParagraph"/>
              <w:rPr>
                <w:sz w:val="20"/>
              </w:rPr>
            </w:pPr>
          </w:p>
        </w:tc>
        <w:tc>
          <w:tcPr>
            <w:tcW w:w="1702" w:type="dxa"/>
            <w:shd w:val="clear" w:color="auto" w:fill="D9D9D9"/>
          </w:tcPr>
          <w:p>
            <w:pPr>
              <w:pStyle w:val="TableParagraph"/>
              <w:rPr>
                <w:sz w:val="20"/>
              </w:rPr>
            </w:pPr>
          </w:p>
        </w:tc>
        <w:tc>
          <w:tcPr>
            <w:tcW w:w="1846" w:type="dxa"/>
            <w:shd w:val="clear" w:color="auto" w:fill="D9D9D9"/>
          </w:tcPr>
          <w:p>
            <w:pPr>
              <w:pStyle w:val="TableParagraph"/>
              <w:rPr>
                <w:sz w:val="20"/>
              </w:rPr>
            </w:pPr>
          </w:p>
        </w:tc>
        <w:tc>
          <w:tcPr>
            <w:tcW w:w="1702" w:type="dxa"/>
            <w:shd w:val="clear" w:color="auto" w:fill="D9D9D9"/>
          </w:tcPr>
          <w:p>
            <w:pPr>
              <w:pStyle w:val="TableParagraph"/>
              <w:rPr>
                <w:sz w:val="20"/>
              </w:rPr>
            </w:pPr>
          </w:p>
        </w:tc>
        <w:tc>
          <w:tcPr>
            <w:tcW w:w="1985" w:type="dxa"/>
            <w:shd w:val="clear" w:color="auto" w:fill="D9D9D9"/>
          </w:tcPr>
          <w:p>
            <w:pPr>
              <w:pStyle w:val="TableParagraph"/>
              <w:rPr>
                <w:sz w:val="20"/>
              </w:rPr>
            </w:pPr>
          </w:p>
        </w:tc>
      </w:tr>
      <w:tr>
        <w:trPr>
          <w:trHeight w:val="1760" w:hRule="atLeast"/>
        </w:trPr>
        <w:tc>
          <w:tcPr>
            <w:tcW w:w="708" w:type="dxa"/>
            <w:shd w:val="clear" w:color="auto" w:fill="C5DFB3"/>
          </w:tcPr>
          <w:p>
            <w:pPr>
              <w:pStyle w:val="TableParagraph"/>
              <w:spacing w:line="242" w:lineRule="auto"/>
              <w:ind w:left="237" w:right="176" w:hanging="41"/>
              <w:rPr>
                <w:sz w:val="22"/>
              </w:rPr>
            </w:pPr>
            <w:r>
              <w:rPr>
                <w:sz w:val="22"/>
              </w:rPr>
              <w:t>CN 10</w:t>
            </w:r>
          </w:p>
        </w:tc>
        <w:tc>
          <w:tcPr>
            <w:tcW w:w="1839" w:type="dxa"/>
          </w:tcPr>
          <w:p>
            <w:pPr>
              <w:pStyle w:val="TableParagraph"/>
              <w:spacing w:line="247" w:lineRule="exact"/>
              <w:ind w:left="129" w:right="129"/>
              <w:jc w:val="center"/>
              <w:rPr>
                <w:sz w:val="22"/>
              </w:rPr>
            </w:pPr>
            <w:r>
              <w:rPr>
                <w:sz w:val="22"/>
              </w:rPr>
              <w:t>RAS</w:t>
            </w:r>
          </w:p>
        </w:tc>
        <w:tc>
          <w:tcPr>
            <w:tcW w:w="1990" w:type="dxa"/>
          </w:tcPr>
          <w:p>
            <w:pPr>
              <w:pStyle w:val="TableParagraph"/>
              <w:spacing w:line="247" w:lineRule="exact"/>
              <w:ind w:left="174" w:right="175"/>
              <w:jc w:val="center"/>
              <w:rPr>
                <w:sz w:val="22"/>
              </w:rPr>
            </w:pPr>
            <w:r>
              <w:rPr>
                <w:sz w:val="22"/>
              </w:rPr>
              <w:t>RAS</w:t>
            </w:r>
          </w:p>
        </w:tc>
        <w:tc>
          <w:tcPr>
            <w:tcW w:w="1843" w:type="dxa"/>
          </w:tcPr>
          <w:p>
            <w:pPr>
              <w:pStyle w:val="TableParagraph"/>
              <w:spacing w:line="247" w:lineRule="exact"/>
              <w:ind w:left="115" w:right="115"/>
              <w:jc w:val="center"/>
              <w:rPr>
                <w:sz w:val="22"/>
              </w:rPr>
            </w:pPr>
            <w:r>
              <w:rPr>
                <w:sz w:val="22"/>
              </w:rPr>
              <w:t>RAS</w:t>
            </w:r>
          </w:p>
        </w:tc>
        <w:tc>
          <w:tcPr>
            <w:tcW w:w="1839" w:type="dxa"/>
            <w:shd w:val="clear" w:color="auto" w:fill="D9D9D9"/>
          </w:tcPr>
          <w:p>
            <w:pPr>
              <w:pStyle w:val="TableParagraph"/>
              <w:rPr>
                <w:sz w:val="20"/>
              </w:rPr>
            </w:pPr>
          </w:p>
        </w:tc>
        <w:tc>
          <w:tcPr>
            <w:tcW w:w="1702" w:type="dxa"/>
          </w:tcPr>
          <w:p>
            <w:pPr>
              <w:pStyle w:val="TableParagraph"/>
              <w:spacing w:line="247" w:lineRule="exact"/>
              <w:ind w:left="103" w:right="102"/>
              <w:jc w:val="center"/>
              <w:rPr>
                <w:sz w:val="22"/>
              </w:rPr>
            </w:pPr>
            <w:r>
              <w:rPr>
                <w:sz w:val="22"/>
              </w:rPr>
              <w:t>Ht = 33,5 %</w:t>
            </w:r>
          </w:p>
          <w:p>
            <w:pPr>
              <w:pStyle w:val="TableParagraph"/>
              <w:spacing w:before="1"/>
              <w:ind w:left="103" w:right="101"/>
              <w:jc w:val="center"/>
              <w:rPr>
                <w:sz w:val="22"/>
              </w:rPr>
            </w:pPr>
            <w:r>
              <w:rPr>
                <w:sz w:val="22"/>
              </w:rPr>
              <w:t>Hb = 12,3 g/dL Neutropénie (2,08 x10^9/L)</w:t>
            </w:r>
          </w:p>
          <w:p>
            <w:pPr>
              <w:pStyle w:val="TableParagraph"/>
              <w:spacing w:before="1"/>
              <w:ind w:left="103" w:right="103"/>
              <w:jc w:val="center"/>
              <w:rPr>
                <w:sz w:val="22"/>
              </w:rPr>
            </w:pPr>
            <w:r>
              <w:rPr>
                <w:sz w:val="22"/>
              </w:rPr>
              <w:t>avec leucopénie (4,16 x10^9/L)</w:t>
            </w:r>
          </w:p>
          <w:p>
            <w:pPr>
              <w:pStyle w:val="TableParagraph"/>
              <w:spacing w:line="238" w:lineRule="exact" w:before="1"/>
              <w:ind w:left="103" w:right="102"/>
              <w:jc w:val="center"/>
              <w:rPr>
                <w:sz w:val="22"/>
              </w:rPr>
            </w:pPr>
            <w:r>
              <w:rPr>
                <w:sz w:val="22"/>
              </w:rPr>
              <w:t>associée</w:t>
            </w:r>
          </w:p>
        </w:tc>
        <w:tc>
          <w:tcPr>
            <w:tcW w:w="1846" w:type="dxa"/>
          </w:tcPr>
          <w:p>
            <w:pPr>
              <w:pStyle w:val="TableParagraph"/>
              <w:spacing w:line="247" w:lineRule="exact"/>
              <w:ind w:left="288" w:right="287"/>
              <w:jc w:val="center"/>
              <w:rPr>
                <w:sz w:val="22"/>
              </w:rPr>
            </w:pPr>
            <w:r>
              <w:rPr>
                <w:sz w:val="22"/>
              </w:rPr>
              <w:t>Ht = 31,4 %</w:t>
            </w:r>
          </w:p>
          <w:p>
            <w:pPr>
              <w:pStyle w:val="TableParagraph"/>
              <w:spacing w:before="1"/>
              <w:ind w:left="138" w:right="131"/>
              <w:jc w:val="center"/>
              <w:rPr>
                <w:sz w:val="22"/>
              </w:rPr>
            </w:pPr>
            <w:r>
              <w:rPr>
                <w:sz w:val="22"/>
              </w:rPr>
              <w:t>Hb = 11,2 g/dL ALAT = 134 U/L</w:t>
            </w:r>
          </w:p>
        </w:tc>
        <w:tc>
          <w:tcPr>
            <w:tcW w:w="1702" w:type="dxa"/>
          </w:tcPr>
          <w:p>
            <w:pPr>
              <w:pStyle w:val="TableParagraph"/>
              <w:spacing w:line="247" w:lineRule="exact"/>
              <w:ind w:left="103" w:right="102"/>
              <w:jc w:val="center"/>
              <w:rPr>
                <w:sz w:val="22"/>
              </w:rPr>
            </w:pPr>
            <w:r>
              <w:rPr>
                <w:sz w:val="22"/>
              </w:rPr>
              <w:t>Ht = 34,9 %</w:t>
            </w:r>
          </w:p>
          <w:p>
            <w:pPr>
              <w:pStyle w:val="TableParagraph"/>
              <w:spacing w:before="1"/>
              <w:ind w:left="103" w:right="103"/>
              <w:jc w:val="center"/>
              <w:rPr>
                <w:sz w:val="22"/>
              </w:rPr>
            </w:pPr>
            <w:r>
              <w:rPr>
                <w:sz w:val="22"/>
              </w:rPr>
              <w:t>Hb = 13,0 g/dL</w:t>
            </w:r>
          </w:p>
        </w:tc>
        <w:tc>
          <w:tcPr>
            <w:tcW w:w="1985" w:type="dxa"/>
            <w:shd w:val="clear" w:color="auto" w:fill="D9D9D9"/>
          </w:tcPr>
          <w:p>
            <w:pPr>
              <w:pStyle w:val="TableParagraph"/>
              <w:rPr>
                <w:sz w:val="20"/>
              </w:rPr>
            </w:pPr>
          </w:p>
        </w:tc>
      </w:tr>
    </w:tbl>
    <w:p>
      <w:pPr>
        <w:spacing w:after="0"/>
        <w:rPr>
          <w:sz w:val="20"/>
        </w:rPr>
        <w:sectPr>
          <w:footerReference w:type="even" r:id="rId57"/>
          <w:pgSz w:w="16840" w:h="11910" w:orient="landscape"/>
          <w:pgMar w:footer="998" w:header="0" w:top="1100" w:bottom="1180" w:left="580" w:right="580"/>
          <w:pgNumType w:start="116"/>
        </w:sectPr>
      </w:pPr>
    </w:p>
    <w:p>
      <w:pPr>
        <w:pStyle w:val="BodyText"/>
        <w:spacing w:before="1" w:after="1"/>
        <w:rPr>
          <w:i/>
          <w:sz w:val="27"/>
        </w:rPr>
      </w:pPr>
    </w:p>
    <w:tbl>
      <w:tblPr>
        <w:tblW w:w="0" w:type="auto"/>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1839"/>
        <w:gridCol w:w="1990"/>
        <w:gridCol w:w="1843"/>
        <w:gridCol w:w="1839"/>
        <w:gridCol w:w="1702"/>
        <w:gridCol w:w="1846"/>
        <w:gridCol w:w="1702"/>
        <w:gridCol w:w="1985"/>
      </w:tblGrid>
      <w:tr>
        <w:trPr>
          <w:trHeight w:val="500" w:hRule="atLeast"/>
        </w:trPr>
        <w:tc>
          <w:tcPr>
            <w:tcW w:w="708" w:type="dxa"/>
            <w:shd w:val="clear" w:color="auto" w:fill="C5DFB3"/>
          </w:tcPr>
          <w:p>
            <w:pPr>
              <w:pStyle w:val="TableParagraph"/>
              <w:rPr>
                <w:sz w:val="22"/>
              </w:rPr>
            </w:pPr>
          </w:p>
        </w:tc>
        <w:tc>
          <w:tcPr>
            <w:tcW w:w="1839" w:type="dxa"/>
          </w:tcPr>
          <w:p>
            <w:pPr>
              <w:pStyle w:val="TableParagraph"/>
              <w:rPr>
                <w:sz w:val="22"/>
              </w:rPr>
            </w:pPr>
          </w:p>
        </w:tc>
        <w:tc>
          <w:tcPr>
            <w:tcW w:w="1990" w:type="dxa"/>
          </w:tcPr>
          <w:p>
            <w:pPr>
              <w:pStyle w:val="TableParagraph"/>
              <w:rPr>
                <w:sz w:val="22"/>
              </w:rPr>
            </w:pPr>
          </w:p>
        </w:tc>
        <w:tc>
          <w:tcPr>
            <w:tcW w:w="1843" w:type="dxa"/>
          </w:tcPr>
          <w:p>
            <w:pPr>
              <w:pStyle w:val="TableParagraph"/>
              <w:rPr>
                <w:sz w:val="22"/>
              </w:rPr>
            </w:pPr>
          </w:p>
        </w:tc>
        <w:tc>
          <w:tcPr>
            <w:tcW w:w="1839" w:type="dxa"/>
            <w:shd w:val="clear" w:color="auto" w:fill="D9D9D9"/>
          </w:tcPr>
          <w:p>
            <w:pPr>
              <w:pStyle w:val="TableParagraph"/>
              <w:rPr>
                <w:sz w:val="22"/>
              </w:rPr>
            </w:pPr>
          </w:p>
        </w:tc>
        <w:tc>
          <w:tcPr>
            <w:tcW w:w="1702" w:type="dxa"/>
          </w:tcPr>
          <w:p>
            <w:pPr>
              <w:pStyle w:val="TableParagraph"/>
              <w:spacing w:line="246" w:lineRule="exact"/>
              <w:ind w:left="103" w:right="103"/>
              <w:jc w:val="center"/>
              <w:rPr>
                <w:sz w:val="22"/>
              </w:rPr>
            </w:pPr>
            <w:r>
              <w:rPr>
                <w:sz w:val="22"/>
              </w:rPr>
              <w:t>ALAT = 183</w:t>
            </w:r>
          </w:p>
          <w:p>
            <w:pPr>
              <w:pStyle w:val="TableParagraph"/>
              <w:spacing w:line="240" w:lineRule="exact"/>
              <w:ind w:left="103" w:right="103"/>
              <w:jc w:val="center"/>
              <w:rPr>
                <w:sz w:val="22"/>
              </w:rPr>
            </w:pPr>
            <w:r>
              <w:rPr>
                <w:sz w:val="22"/>
              </w:rPr>
              <w:t>U/L</w:t>
            </w:r>
          </w:p>
        </w:tc>
        <w:tc>
          <w:tcPr>
            <w:tcW w:w="1846" w:type="dxa"/>
          </w:tcPr>
          <w:p>
            <w:pPr>
              <w:pStyle w:val="TableParagraph"/>
              <w:rPr>
                <w:sz w:val="22"/>
              </w:rPr>
            </w:pPr>
          </w:p>
        </w:tc>
        <w:tc>
          <w:tcPr>
            <w:tcW w:w="1702" w:type="dxa"/>
          </w:tcPr>
          <w:p>
            <w:pPr>
              <w:pStyle w:val="TableParagraph"/>
              <w:rPr>
                <w:sz w:val="22"/>
              </w:rPr>
            </w:pPr>
          </w:p>
        </w:tc>
        <w:tc>
          <w:tcPr>
            <w:tcW w:w="1985" w:type="dxa"/>
            <w:shd w:val="clear" w:color="auto" w:fill="D9D9D9"/>
          </w:tcPr>
          <w:p>
            <w:pPr>
              <w:pStyle w:val="TableParagraph"/>
              <w:rPr>
                <w:sz w:val="22"/>
              </w:rPr>
            </w:pPr>
          </w:p>
        </w:tc>
      </w:tr>
      <w:tr>
        <w:trPr>
          <w:trHeight w:val="500" w:hRule="atLeast"/>
        </w:trPr>
        <w:tc>
          <w:tcPr>
            <w:tcW w:w="708" w:type="dxa"/>
            <w:shd w:val="clear" w:color="auto" w:fill="C5DFB3"/>
          </w:tcPr>
          <w:p>
            <w:pPr>
              <w:pStyle w:val="TableParagraph"/>
              <w:spacing w:line="246" w:lineRule="exact"/>
              <w:ind w:left="73" w:right="73"/>
              <w:jc w:val="center"/>
              <w:rPr>
                <w:sz w:val="22"/>
              </w:rPr>
            </w:pPr>
            <w:r>
              <w:rPr>
                <w:sz w:val="22"/>
              </w:rPr>
              <w:t>CN</w:t>
            </w:r>
          </w:p>
          <w:p>
            <w:pPr>
              <w:pStyle w:val="TableParagraph"/>
              <w:spacing w:line="240" w:lineRule="exact"/>
              <w:ind w:left="73" w:right="73"/>
              <w:jc w:val="center"/>
              <w:rPr>
                <w:sz w:val="22"/>
              </w:rPr>
            </w:pPr>
            <w:r>
              <w:rPr>
                <w:sz w:val="22"/>
              </w:rPr>
              <w:t>11</w:t>
            </w:r>
          </w:p>
        </w:tc>
        <w:tc>
          <w:tcPr>
            <w:tcW w:w="1839" w:type="dxa"/>
          </w:tcPr>
          <w:p>
            <w:pPr>
              <w:pStyle w:val="TableParagraph"/>
              <w:spacing w:line="247" w:lineRule="exact"/>
              <w:ind w:left="129" w:right="129"/>
              <w:jc w:val="center"/>
              <w:rPr>
                <w:sz w:val="22"/>
              </w:rPr>
            </w:pPr>
            <w:r>
              <w:rPr>
                <w:sz w:val="22"/>
              </w:rPr>
              <w:t>RAS</w:t>
            </w:r>
          </w:p>
        </w:tc>
        <w:tc>
          <w:tcPr>
            <w:tcW w:w="1990" w:type="dxa"/>
          </w:tcPr>
          <w:p>
            <w:pPr>
              <w:pStyle w:val="TableParagraph"/>
              <w:spacing w:line="247" w:lineRule="exact"/>
              <w:ind w:left="174" w:right="175"/>
              <w:jc w:val="center"/>
              <w:rPr>
                <w:sz w:val="22"/>
              </w:rPr>
            </w:pPr>
            <w:r>
              <w:rPr>
                <w:sz w:val="22"/>
              </w:rPr>
              <w:t>RAS</w:t>
            </w:r>
          </w:p>
        </w:tc>
        <w:tc>
          <w:tcPr>
            <w:tcW w:w="1843" w:type="dxa"/>
            <w:shd w:val="clear" w:color="auto" w:fill="D9D9D9"/>
          </w:tcPr>
          <w:p>
            <w:pPr>
              <w:pStyle w:val="TableParagraph"/>
              <w:rPr>
                <w:sz w:val="22"/>
              </w:rPr>
            </w:pPr>
          </w:p>
        </w:tc>
        <w:tc>
          <w:tcPr>
            <w:tcW w:w="1839" w:type="dxa"/>
          </w:tcPr>
          <w:p>
            <w:pPr>
              <w:pStyle w:val="TableParagraph"/>
              <w:spacing w:line="247" w:lineRule="exact"/>
              <w:ind w:left="129" w:right="129"/>
              <w:jc w:val="center"/>
              <w:rPr>
                <w:sz w:val="22"/>
              </w:rPr>
            </w:pPr>
            <w:r>
              <w:rPr>
                <w:sz w:val="22"/>
              </w:rPr>
              <w:t>RAS</w:t>
            </w:r>
          </w:p>
        </w:tc>
        <w:tc>
          <w:tcPr>
            <w:tcW w:w="1702" w:type="dxa"/>
          </w:tcPr>
          <w:p>
            <w:pPr>
              <w:pStyle w:val="TableParagraph"/>
              <w:spacing w:line="247" w:lineRule="exact"/>
              <w:ind w:left="103" w:right="103"/>
              <w:jc w:val="center"/>
              <w:rPr>
                <w:sz w:val="22"/>
              </w:rPr>
            </w:pPr>
            <w:r>
              <w:rPr>
                <w:sz w:val="22"/>
              </w:rPr>
              <w:t>RAS</w:t>
            </w:r>
          </w:p>
        </w:tc>
        <w:tc>
          <w:tcPr>
            <w:tcW w:w="1846" w:type="dxa"/>
          </w:tcPr>
          <w:p>
            <w:pPr>
              <w:pStyle w:val="TableParagraph"/>
              <w:spacing w:line="247" w:lineRule="exact"/>
              <w:ind w:left="289" w:right="287"/>
              <w:jc w:val="center"/>
              <w:rPr>
                <w:sz w:val="22"/>
              </w:rPr>
            </w:pPr>
            <w:r>
              <w:rPr>
                <w:sz w:val="22"/>
              </w:rPr>
              <w:t>RAS</w:t>
            </w:r>
          </w:p>
        </w:tc>
        <w:tc>
          <w:tcPr>
            <w:tcW w:w="1702" w:type="dxa"/>
          </w:tcPr>
          <w:p>
            <w:pPr>
              <w:pStyle w:val="TableParagraph"/>
              <w:spacing w:line="246" w:lineRule="exact"/>
              <w:ind w:left="102" w:right="103"/>
              <w:jc w:val="center"/>
              <w:rPr>
                <w:sz w:val="22"/>
              </w:rPr>
            </w:pPr>
            <w:r>
              <w:rPr>
                <w:sz w:val="22"/>
              </w:rPr>
              <w:t>RAS à S16 et</w:t>
            </w:r>
          </w:p>
          <w:p>
            <w:pPr>
              <w:pStyle w:val="TableParagraph"/>
              <w:spacing w:line="240" w:lineRule="exact"/>
              <w:ind w:left="103" w:right="103"/>
              <w:jc w:val="center"/>
              <w:rPr>
                <w:sz w:val="22"/>
              </w:rPr>
            </w:pPr>
            <w:r>
              <w:rPr>
                <w:sz w:val="22"/>
              </w:rPr>
              <w:t>S20</w:t>
            </w:r>
          </w:p>
        </w:tc>
        <w:tc>
          <w:tcPr>
            <w:tcW w:w="1985" w:type="dxa"/>
          </w:tcPr>
          <w:p>
            <w:pPr>
              <w:pStyle w:val="TableParagraph"/>
              <w:spacing w:line="247" w:lineRule="exact"/>
              <w:ind w:left="172" w:right="172"/>
              <w:jc w:val="center"/>
              <w:rPr>
                <w:sz w:val="22"/>
              </w:rPr>
            </w:pPr>
            <w:r>
              <w:rPr>
                <w:sz w:val="22"/>
              </w:rPr>
              <w:t>RAS à S24 et S28</w:t>
            </w:r>
          </w:p>
        </w:tc>
      </w:tr>
      <w:tr>
        <w:trPr>
          <w:trHeight w:val="2020" w:hRule="atLeast"/>
        </w:trPr>
        <w:tc>
          <w:tcPr>
            <w:tcW w:w="708" w:type="dxa"/>
            <w:shd w:val="clear" w:color="auto" w:fill="C5DFB3"/>
          </w:tcPr>
          <w:p>
            <w:pPr>
              <w:pStyle w:val="TableParagraph"/>
              <w:ind w:left="237" w:right="176" w:hanging="41"/>
              <w:rPr>
                <w:sz w:val="22"/>
              </w:rPr>
            </w:pPr>
            <w:r>
              <w:rPr>
                <w:sz w:val="22"/>
              </w:rPr>
              <w:t>CN 12</w:t>
            </w:r>
          </w:p>
        </w:tc>
        <w:tc>
          <w:tcPr>
            <w:tcW w:w="1839" w:type="dxa"/>
            <w:shd w:val="clear" w:color="auto" w:fill="D9D9D9"/>
          </w:tcPr>
          <w:p>
            <w:pPr>
              <w:pStyle w:val="TableParagraph"/>
              <w:rPr>
                <w:sz w:val="22"/>
              </w:rPr>
            </w:pPr>
          </w:p>
        </w:tc>
        <w:tc>
          <w:tcPr>
            <w:tcW w:w="1990" w:type="dxa"/>
          </w:tcPr>
          <w:p>
            <w:pPr>
              <w:pStyle w:val="TableParagraph"/>
              <w:spacing w:line="246" w:lineRule="exact"/>
              <w:ind w:left="174" w:right="172"/>
              <w:jc w:val="center"/>
              <w:rPr>
                <w:sz w:val="22"/>
              </w:rPr>
            </w:pPr>
            <w:r>
              <w:rPr>
                <w:sz w:val="22"/>
              </w:rPr>
              <w:t>PAL = 482 U/L</w:t>
            </w:r>
          </w:p>
          <w:p>
            <w:pPr>
              <w:pStyle w:val="TableParagraph"/>
              <w:ind w:left="174" w:right="176"/>
              <w:jc w:val="center"/>
              <w:rPr>
                <w:sz w:val="22"/>
              </w:rPr>
            </w:pPr>
            <w:r>
              <w:rPr>
                <w:sz w:val="22"/>
              </w:rPr>
              <w:t>Neutrophilie (23,5 x10^9/L) et monocytose (3 x10^9/L)</w:t>
            </w:r>
          </w:p>
          <w:p>
            <w:pPr>
              <w:pStyle w:val="TableParagraph"/>
              <w:ind w:left="174" w:right="174"/>
              <w:jc w:val="center"/>
              <w:rPr>
                <w:sz w:val="22"/>
              </w:rPr>
            </w:pPr>
            <w:r>
              <w:rPr>
                <w:sz w:val="22"/>
              </w:rPr>
              <w:t>avec leucocytose (28,98 x10^9/L)</w:t>
            </w:r>
          </w:p>
          <w:p>
            <w:pPr>
              <w:pStyle w:val="TableParagraph"/>
              <w:spacing w:line="238" w:lineRule="exact" w:before="1"/>
              <w:ind w:left="174" w:right="173"/>
              <w:jc w:val="center"/>
              <w:rPr>
                <w:sz w:val="22"/>
              </w:rPr>
            </w:pPr>
            <w:r>
              <w:rPr>
                <w:sz w:val="22"/>
              </w:rPr>
              <w:t>associée</w:t>
            </w:r>
          </w:p>
        </w:tc>
        <w:tc>
          <w:tcPr>
            <w:tcW w:w="1843" w:type="dxa"/>
            <w:shd w:val="clear" w:color="auto" w:fill="D9D9D9"/>
          </w:tcPr>
          <w:p>
            <w:pPr>
              <w:pStyle w:val="TableParagraph"/>
              <w:rPr>
                <w:sz w:val="22"/>
              </w:rPr>
            </w:pPr>
          </w:p>
        </w:tc>
        <w:tc>
          <w:tcPr>
            <w:tcW w:w="1839" w:type="dxa"/>
          </w:tcPr>
          <w:p>
            <w:pPr>
              <w:pStyle w:val="TableParagraph"/>
              <w:spacing w:line="246" w:lineRule="exact"/>
              <w:ind w:left="129" w:right="129"/>
              <w:jc w:val="center"/>
              <w:rPr>
                <w:sz w:val="22"/>
              </w:rPr>
            </w:pPr>
            <w:r>
              <w:rPr>
                <w:sz w:val="22"/>
              </w:rPr>
              <w:t>PAL = 301 U/L</w:t>
            </w:r>
          </w:p>
          <w:p>
            <w:pPr>
              <w:pStyle w:val="TableParagraph"/>
              <w:ind w:left="251" w:right="248" w:hanging="3"/>
              <w:jc w:val="center"/>
              <w:rPr>
                <w:sz w:val="22"/>
              </w:rPr>
            </w:pPr>
            <w:r>
              <w:rPr>
                <w:sz w:val="22"/>
              </w:rPr>
              <w:t>Neutrophilie (21,8 x10^9/L)</w:t>
            </w:r>
          </w:p>
          <w:p>
            <w:pPr>
              <w:pStyle w:val="TableParagraph"/>
              <w:ind w:left="131" w:right="129"/>
              <w:jc w:val="center"/>
              <w:rPr>
                <w:sz w:val="22"/>
              </w:rPr>
            </w:pPr>
            <w:r>
              <w:rPr>
                <w:sz w:val="22"/>
              </w:rPr>
              <w:t>avec leucocytose (21,83 x10^9/L)</w:t>
            </w:r>
          </w:p>
          <w:p>
            <w:pPr>
              <w:pStyle w:val="TableParagraph"/>
              <w:spacing w:line="253" w:lineRule="exact"/>
              <w:ind w:left="128" w:right="129"/>
              <w:jc w:val="center"/>
              <w:rPr>
                <w:sz w:val="22"/>
              </w:rPr>
            </w:pPr>
            <w:r>
              <w:rPr>
                <w:sz w:val="22"/>
              </w:rPr>
              <w:t>associée</w:t>
            </w:r>
          </w:p>
        </w:tc>
        <w:tc>
          <w:tcPr>
            <w:tcW w:w="1702" w:type="dxa"/>
            <w:shd w:val="clear" w:color="auto" w:fill="D9D9D9"/>
          </w:tcPr>
          <w:p>
            <w:pPr>
              <w:pStyle w:val="TableParagraph"/>
              <w:rPr>
                <w:sz w:val="22"/>
              </w:rPr>
            </w:pPr>
          </w:p>
        </w:tc>
        <w:tc>
          <w:tcPr>
            <w:tcW w:w="1846" w:type="dxa"/>
            <w:shd w:val="clear" w:color="auto" w:fill="D9D9D9"/>
          </w:tcPr>
          <w:p>
            <w:pPr>
              <w:pStyle w:val="TableParagraph"/>
              <w:rPr>
                <w:sz w:val="22"/>
              </w:rPr>
            </w:pPr>
          </w:p>
        </w:tc>
        <w:tc>
          <w:tcPr>
            <w:tcW w:w="1702" w:type="dxa"/>
            <w:shd w:val="clear" w:color="auto" w:fill="D9D9D9"/>
          </w:tcPr>
          <w:p>
            <w:pPr>
              <w:pStyle w:val="TableParagraph"/>
              <w:rPr>
                <w:sz w:val="22"/>
              </w:rPr>
            </w:pPr>
          </w:p>
        </w:tc>
        <w:tc>
          <w:tcPr>
            <w:tcW w:w="1985" w:type="dxa"/>
            <w:shd w:val="clear" w:color="auto" w:fill="D9D9D9"/>
          </w:tcPr>
          <w:p>
            <w:pPr>
              <w:pStyle w:val="TableParagraph"/>
              <w:rPr>
                <w:sz w:val="22"/>
              </w:rPr>
            </w:pPr>
          </w:p>
        </w:tc>
      </w:tr>
      <w:tr>
        <w:trPr>
          <w:trHeight w:val="1500" w:hRule="atLeast"/>
        </w:trPr>
        <w:tc>
          <w:tcPr>
            <w:tcW w:w="708" w:type="dxa"/>
            <w:shd w:val="clear" w:color="auto" w:fill="C5DFB3"/>
          </w:tcPr>
          <w:p>
            <w:pPr>
              <w:pStyle w:val="TableParagraph"/>
              <w:spacing w:line="242" w:lineRule="auto"/>
              <w:ind w:left="237" w:right="176" w:hanging="41"/>
              <w:rPr>
                <w:sz w:val="22"/>
              </w:rPr>
            </w:pPr>
            <w:r>
              <w:rPr>
                <w:sz w:val="22"/>
              </w:rPr>
              <w:t>CN 13</w:t>
            </w:r>
          </w:p>
        </w:tc>
        <w:tc>
          <w:tcPr>
            <w:tcW w:w="1839" w:type="dxa"/>
          </w:tcPr>
          <w:p>
            <w:pPr>
              <w:pStyle w:val="TableParagraph"/>
              <w:spacing w:line="247" w:lineRule="exact"/>
              <w:ind w:left="129" w:right="129"/>
              <w:jc w:val="center"/>
              <w:rPr>
                <w:sz w:val="22"/>
              </w:rPr>
            </w:pPr>
            <w:r>
              <w:rPr>
                <w:sz w:val="22"/>
              </w:rPr>
              <w:t>RAS</w:t>
            </w:r>
          </w:p>
        </w:tc>
        <w:tc>
          <w:tcPr>
            <w:tcW w:w="1990" w:type="dxa"/>
            <w:shd w:val="clear" w:color="auto" w:fill="D9D9D9"/>
          </w:tcPr>
          <w:p>
            <w:pPr>
              <w:pStyle w:val="TableParagraph"/>
              <w:rPr>
                <w:sz w:val="22"/>
              </w:rPr>
            </w:pPr>
          </w:p>
        </w:tc>
        <w:tc>
          <w:tcPr>
            <w:tcW w:w="1843" w:type="dxa"/>
            <w:shd w:val="clear" w:color="auto" w:fill="D9D9D9"/>
          </w:tcPr>
          <w:p>
            <w:pPr>
              <w:pStyle w:val="TableParagraph"/>
              <w:rPr>
                <w:sz w:val="22"/>
              </w:rPr>
            </w:pPr>
          </w:p>
        </w:tc>
        <w:tc>
          <w:tcPr>
            <w:tcW w:w="1839" w:type="dxa"/>
            <w:shd w:val="clear" w:color="auto" w:fill="D9D9D9"/>
          </w:tcPr>
          <w:p>
            <w:pPr>
              <w:pStyle w:val="TableParagraph"/>
              <w:rPr>
                <w:sz w:val="22"/>
              </w:rPr>
            </w:pPr>
          </w:p>
        </w:tc>
        <w:tc>
          <w:tcPr>
            <w:tcW w:w="1702" w:type="dxa"/>
          </w:tcPr>
          <w:p>
            <w:pPr>
              <w:pStyle w:val="TableParagraph"/>
              <w:spacing w:line="247" w:lineRule="exact"/>
              <w:ind w:left="103" w:right="103"/>
              <w:jc w:val="center"/>
              <w:rPr>
                <w:sz w:val="22"/>
              </w:rPr>
            </w:pPr>
            <w:r>
              <w:rPr>
                <w:sz w:val="22"/>
              </w:rPr>
              <w:t>RAS</w:t>
            </w:r>
          </w:p>
        </w:tc>
        <w:tc>
          <w:tcPr>
            <w:tcW w:w="1846" w:type="dxa"/>
            <w:shd w:val="clear" w:color="auto" w:fill="D9D9D9"/>
          </w:tcPr>
          <w:p>
            <w:pPr>
              <w:pStyle w:val="TableParagraph"/>
              <w:rPr>
                <w:sz w:val="22"/>
              </w:rPr>
            </w:pPr>
          </w:p>
        </w:tc>
        <w:tc>
          <w:tcPr>
            <w:tcW w:w="1702" w:type="dxa"/>
            <w:shd w:val="clear" w:color="auto" w:fill="D9D9D9"/>
          </w:tcPr>
          <w:p>
            <w:pPr>
              <w:pStyle w:val="TableParagraph"/>
              <w:rPr>
                <w:sz w:val="22"/>
              </w:rPr>
            </w:pPr>
          </w:p>
        </w:tc>
        <w:tc>
          <w:tcPr>
            <w:tcW w:w="1985" w:type="dxa"/>
          </w:tcPr>
          <w:p>
            <w:pPr>
              <w:pStyle w:val="TableParagraph"/>
              <w:spacing w:line="247" w:lineRule="exact"/>
              <w:ind w:left="172" w:right="172"/>
              <w:jc w:val="center"/>
              <w:rPr>
                <w:sz w:val="22"/>
              </w:rPr>
            </w:pPr>
            <w:r>
              <w:rPr>
                <w:sz w:val="22"/>
              </w:rPr>
              <w:t>RAS</w:t>
            </w:r>
          </w:p>
          <w:p>
            <w:pPr>
              <w:pStyle w:val="TableParagraph"/>
              <w:spacing w:before="1"/>
              <w:ind w:left="171" w:right="173"/>
              <w:jc w:val="center"/>
              <w:rPr>
                <w:sz w:val="22"/>
              </w:rPr>
            </w:pPr>
            <w:r>
              <w:rPr>
                <w:b/>
                <w:sz w:val="22"/>
              </w:rPr>
              <w:t>S40 </w:t>
            </w:r>
            <w:r>
              <w:rPr>
                <w:sz w:val="22"/>
              </w:rPr>
              <w:t>: Neutrophilie (17,08 x10^9/L)</w:t>
            </w:r>
          </w:p>
          <w:p>
            <w:pPr>
              <w:pStyle w:val="TableParagraph"/>
              <w:spacing w:before="1"/>
              <w:ind w:left="172" w:right="172"/>
              <w:jc w:val="center"/>
              <w:rPr>
                <w:sz w:val="22"/>
              </w:rPr>
            </w:pPr>
            <w:r>
              <w:rPr>
                <w:sz w:val="22"/>
              </w:rPr>
              <w:t>avec leucocytose (21,44 x10^9/L)</w:t>
            </w:r>
          </w:p>
          <w:p>
            <w:pPr>
              <w:pStyle w:val="TableParagraph"/>
              <w:spacing w:line="239" w:lineRule="exact"/>
              <w:ind w:left="172" w:right="170"/>
              <w:jc w:val="center"/>
              <w:rPr>
                <w:sz w:val="22"/>
              </w:rPr>
            </w:pPr>
            <w:r>
              <w:rPr>
                <w:sz w:val="22"/>
              </w:rPr>
              <w:t>associée</w:t>
            </w:r>
          </w:p>
        </w:tc>
      </w:tr>
      <w:tr>
        <w:trPr>
          <w:trHeight w:val="740" w:hRule="atLeast"/>
        </w:trPr>
        <w:tc>
          <w:tcPr>
            <w:tcW w:w="708" w:type="dxa"/>
            <w:shd w:val="clear" w:color="auto" w:fill="B4C5E7"/>
          </w:tcPr>
          <w:p>
            <w:pPr>
              <w:pStyle w:val="TableParagraph"/>
              <w:ind w:left="237" w:right="176" w:hanging="41"/>
              <w:rPr>
                <w:sz w:val="22"/>
              </w:rPr>
            </w:pPr>
            <w:r>
              <w:rPr>
                <w:sz w:val="22"/>
              </w:rPr>
              <w:t>CN 14</w:t>
            </w:r>
          </w:p>
        </w:tc>
        <w:tc>
          <w:tcPr>
            <w:tcW w:w="1839" w:type="dxa"/>
          </w:tcPr>
          <w:p>
            <w:pPr>
              <w:pStyle w:val="TableParagraph"/>
              <w:spacing w:line="247" w:lineRule="exact"/>
              <w:ind w:left="132" w:right="129"/>
              <w:jc w:val="center"/>
              <w:rPr>
                <w:sz w:val="22"/>
              </w:rPr>
            </w:pPr>
            <w:r>
              <w:rPr>
                <w:sz w:val="22"/>
              </w:rPr>
              <w:t>Hb = 13,0 g/dL</w:t>
            </w:r>
          </w:p>
        </w:tc>
        <w:tc>
          <w:tcPr>
            <w:tcW w:w="1990" w:type="dxa"/>
            <w:shd w:val="clear" w:color="auto" w:fill="D9D9D9"/>
          </w:tcPr>
          <w:p>
            <w:pPr>
              <w:pStyle w:val="TableParagraph"/>
              <w:rPr>
                <w:sz w:val="22"/>
              </w:rPr>
            </w:pPr>
          </w:p>
        </w:tc>
        <w:tc>
          <w:tcPr>
            <w:tcW w:w="1843" w:type="dxa"/>
          </w:tcPr>
          <w:p>
            <w:pPr>
              <w:pStyle w:val="TableParagraph"/>
              <w:ind w:left="131" w:right="131" w:firstLine="4"/>
              <w:jc w:val="center"/>
              <w:rPr>
                <w:sz w:val="22"/>
              </w:rPr>
            </w:pPr>
            <w:r>
              <w:rPr>
                <w:sz w:val="22"/>
              </w:rPr>
              <w:t>Hb = 12,6 g/dL Créa = 19,6 mg/L</w:t>
            </w:r>
          </w:p>
          <w:p>
            <w:pPr>
              <w:pStyle w:val="TableParagraph"/>
              <w:spacing w:line="238" w:lineRule="exact" w:before="8"/>
              <w:ind w:left="117" w:right="115"/>
              <w:jc w:val="center"/>
              <w:rPr>
                <w:sz w:val="22"/>
              </w:rPr>
            </w:pPr>
            <w:r>
              <w:rPr>
                <w:sz w:val="22"/>
              </w:rPr>
              <w:t>ALAT = 505 U/L</w:t>
            </w:r>
          </w:p>
        </w:tc>
        <w:tc>
          <w:tcPr>
            <w:tcW w:w="1839" w:type="dxa"/>
          </w:tcPr>
          <w:p>
            <w:pPr>
              <w:pStyle w:val="TableParagraph"/>
              <w:ind w:left="134" w:right="113" w:hanging="5"/>
              <w:rPr>
                <w:sz w:val="22"/>
              </w:rPr>
            </w:pPr>
            <w:r>
              <w:rPr>
                <w:sz w:val="22"/>
              </w:rPr>
              <w:t>Créa = 18,5 mg/L ALAT = 262 U/L</w:t>
            </w:r>
          </w:p>
        </w:tc>
        <w:tc>
          <w:tcPr>
            <w:tcW w:w="1702" w:type="dxa"/>
          </w:tcPr>
          <w:p>
            <w:pPr>
              <w:pStyle w:val="TableParagraph"/>
              <w:spacing w:line="247" w:lineRule="exact"/>
              <w:ind w:left="103" w:right="103"/>
              <w:jc w:val="center"/>
              <w:rPr>
                <w:b/>
                <w:sz w:val="22"/>
              </w:rPr>
            </w:pPr>
            <w:r>
              <w:rPr>
                <w:sz w:val="22"/>
              </w:rPr>
              <w:t>RAS à </w:t>
            </w:r>
            <w:r>
              <w:rPr>
                <w:b/>
                <w:sz w:val="22"/>
              </w:rPr>
              <w:t>S10</w:t>
            </w:r>
          </w:p>
        </w:tc>
        <w:tc>
          <w:tcPr>
            <w:tcW w:w="1846" w:type="dxa"/>
            <w:shd w:val="clear" w:color="auto" w:fill="D9D9D9"/>
          </w:tcPr>
          <w:p>
            <w:pPr>
              <w:pStyle w:val="TableParagraph"/>
              <w:rPr>
                <w:sz w:val="22"/>
              </w:rPr>
            </w:pPr>
          </w:p>
        </w:tc>
        <w:tc>
          <w:tcPr>
            <w:tcW w:w="1702" w:type="dxa"/>
            <w:shd w:val="clear" w:color="auto" w:fill="D9D9D9"/>
          </w:tcPr>
          <w:p>
            <w:pPr>
              <w:pStyle w:val="TableParagraph"/>
              <w:rPr>
                <w:sz w:val="22"/>
              </w:rPr>
            </w:pPr>
          </w:p>
        </w:tc>
        <w:tc>
          <w:tcPr>
            <w:tcW w:w="1985" w:type="dxa"/>
            <w:shd w:val="clear" w:color="auto" w:fill="D9D9D9"/>
          </w:tcPr>
          <w:p>
            <w:pPr>
              <w:pStyle w:val="TableParagraph"/>
              <w:rPr>
                <w:sz w:val="22"/>
              </w:rPr>
            </w:pPr>
          </w:p>
        </w:tc>
      </w:tr>
      <w:tr>
        <w:trPr>
          <w:trHeight w:val="1000" w:hRule="atLeast"/>
        </w:trPr>
        <w:tc>
          <w:tcPr>
            <w:tcW w:w="708" w:type="dxa"/>
            <w:shd w:val="clear" w:color="auto" w:fill="C5DFB3"/>
          </w:tcPr>
          <w:p>
            <w:pPr>
              <w:pStyle w:val="TableParagraph"/>
              <w:spacing w:line="247" w:lineRule="exact"/>
              <w:ind w:left="124"/>
              <w:rPr>
                <w:sz w:val="22"/>
              </w:rPr>
            </w:pPr>
            <w:r>
              <w:rPr>
                <w:sz w:val="22"/>
              </w:rPr>
              <w:t>CT 1</w:t>
            </w:r>
          </w:p>
        </w:tc>
        <w:tc>
          <w:tcPr>
            <w:tcW w:w="1839" w:type="dxa"/>
            <w:shd w:val="clear" w:color="auto" w:fill="D9D9D9"/>
          </w:tcPr>
          <w:p>
            <w:pPr>
              <w:pStyle w:val="TableParagraph"/>
              <w:rPr>
                <w:sz w:val="22"/>
              </w:rPr>
            </w:pPr>
          </w:p>
        </w:tc>
        <w:tc>
          <w:tcPr>
            <w:tcW w:w="1990" w:type="dxa"/>
            <w:shd w:val="clear" w:color="auto" w:fill="D9D9D9"/>
          </w:tcPr>
          <w:p>
            <w:pPr>
              <w:pStyle w:val="TableParagraph"/>
              <w:rPr>
                <w:sz w:val="22"/>
              </w:rPr>
            </w:pPr>
          </w:p>
        </w:tc>
        <w:tc>
          <w:tcPr>
            <w:tcW w:w="1843" w:type="dxa"/>
          </w:tcPr>
          <w:p>
            <w:pPr>
              <w:pStyle w:val="TableParagraph"/>
              <w:spacing w:line="242" w:lineRule="auto"/>
              <w:ind w:left="107" w:right="93" w:firstLine="264"/>
              <w:rPr>
                <w:sz w:val="22"/>
              </w:rPr>
            </w:pPr>
            <w:r>
              <w:rPr>
                <w:sz w:val="22"/>
              </w:rPr>
              <w:t>Neutropénie 1,84 x10^9/L sans</w:t>
            </w:r>
          </w:p>
          <w:p>
            <w:pPr>
              <w:pStyle w:val="TableParagraph"/>
              <w:spacing w:line="250" w:lineRule="exact" w:before="6"/>
              <w:ind w:left="549" w:hanging="111"/>
              <w:rPr>
                <w:sz w:val="22"/>
              </w:rPr>
            </w:pPr>
            <w:r>
              <w:rPr>
                <w:sz w:val="22"/>
              </w:rPr>
              <w:t>leucopénie</w:t>
            </w:r>
          </w:p>
          <w:p>
            <w:pPr>
              <w:pStyle w:val="TableParagraph"/>
              <w:spacing w:line="238" w:lineRule="exact" w:before="1"/>
              <w:ind w:left="115" w:right="115"/>
              <w:jc w:val="center"/>
              <w:rPr>
                <w:sz w:val="22"/>
              </w:rPr>
            </w:pPr>
            <w:r>
              <w:rPr>
                <w:sz w:val="22"/>
              </w:rPr>
              <w:t>associée</w:t>
            </w:r>
          </w:p>
        </w:tc>
        <w:tc>
          <w:tcPr>
            <w:tcW w:w="1839" w:type="dxa"/>
            <w:shd w:val="clear" w:color="auto" w:fill="D9D9D9"/>
          </w:tcPr>
          <w:p>
            <w:pPr>
              <w:pStyle w:val="TableParagraph"/>
              <w:rPr>
                <w:sz w:val="22"/>
              </w:rPr>
            </w:pPr>
          </w:p>
        </w:tc>
        <w:tc>
          <w:tcPr>
            <w:tcW w:w="1702" w:type="dxa"/>
            <w:shd w:val="clear" w:color="auto" w:fill="D9D9D9"/>
          </w:tcPr>
          <w:p>
            <w:pPr>
              <w:pStyle w:val="TableParagraph"/>
              <w:rPr>
                <w:sz w:val="22"/>
              </w:rPr>
            </w:pPr>
          </w:p>
        </w:tc>
        <w:tc>
          <w:tcPr>
            <w:tcW w:w="1846" w:type="dxa"/>
          </w:tcPr>
          <w:p>
            <w:pPr>
              <w:pStyle w:val="TableParagraph"/>
              <w:spacing w:line="242" w:lineRule="auto"/>
              <w:ind w:left="110" w:right="93" w:firstLine="264"/>
              <w:rPr>
                <w:sz w:val="22"/>
              </w:rPr>
            </w:pPr>
            <w:r>
              <w:rPr>
                <w:sz w:val="22"/>
              </w:rPr>
              <w:t>Neutropénie 1,31 x10^9/L sans</w:t>
            </w:r>
          </w:p>
          <w:p>
            <w:pPr>
              <w:pStyle w:val="TableParagraph"/>
              <w:spacing w:line="250" w:lineRule="exact" w:before="6"/>
              <w:ind w:left="551" w:hanging="111"/>
              <w:rPr>
                <w:sz w:val="22"/>
              </w:rPr>
            </w:pPr>
            <w:r>
              <w:rPr>
                <w:sz w:val="22"/>
              </w:rPr>
              <w:t>leucopénie</w:t>
            </w:r>
          </w:p>
          <w:p>
            <w:pPr>
              <w:pStyle w:val="TableParagraph"/>
              <w:spacing w:line="238" w:lineRule="exact" w:before="1"/>
              <w:ind w:left="288" w:right="287"/>
              <w:jc w:val="center"/>
              <w:rPr>
                <w:sz w:val="22"/>
              </w:rPr>
            </w:pPr>
            <w:r>
              <w:rPr>
                <w:sz w:val="22"/>
              </w:rPr>
              <w:t>associée</w:t>
            </w:r>
          </w:p>
        </w:tc>
        <w:tc>
          <w:tcPr>
            <w:tcW w:w="1702" w:type="dxa"/>
          </w:tcPr>
          <w:p>
            <w:pPr>
              <w:pStyle w:val="TableParagraph"/>
              <w:spacing w:line="247" w:lineRule="exact"/>
              <w:ind w:left="103" w:right="103"/>
              <w:jc w:val="center"/>
              <w:rPr>
                <w:sz w:val="22"/>
              </w:rPr>
            </w:pPr>
            <w:r>
              <w:rPr>
                <w:sz w:val="22"/>
              </w:rPr>
              <w:t>RAS</w:t>
            </w:r>
          </w:p>
        </w:tc>
        <w:tc>
          <w:tcPr>
            <w:tcW w:w="1985" w:type="dxa"/>
            <w:shd w:val="clear" w:color="auto" w:fill="D9D9D9"/>
          </w:tcPr>
          <w:p>
            <w:pPr>
              <w:pStyle w:val="TableParagraph"/>
              <w:rPr>
                <w:sz w:val="22"/>
              </w:rPr>
            </w:pPr>
          </w:p>
        </w:tc>
      </w:tr>
      <w:tr>
        <w:trPr>
          <w:trHeight w:val="500" w:hRule="atLeast"/>
        </w:trPr>
        <w:tc>
          <w:tcPr>
            <w:tcW w:w="708" w:type="dxa"/>
            <w:shd w:val="clear" w:color="auto" w:fill="B4C5E7"/>
          </w:tcPr>
          <w:p>
            <w:pPr>
              <w:pStyle w:val="TableParagraph"/>
              <w:spacing w:line="247" w:lineRule="exact"/>
              <w:ind w:left="124"/>
              <w:rPr>
                <w:sz w:val="22"/>
              </w:rPr>
            </w:pPr>
            <w:r>
              <w:rPr>
                <w:sz w:val="22"/>
              </w:rPr>
              <w:t>CT 2</w:t>
            </w:r>
          </w:p>
        </w:tc>
        <w:tc>
          <w:tcPr>
            <w:tcW w:w="1839" w:type="dxa"/>
          </w:tcPr>
          <w:p>
            <w:pPr>
              <w:pStyle w:val="TableParagraph"/>
              <w:spacing w:line="247" w:lineRule="exact"/>
              <w:ind w:left="129" w:right="129"/>
              <w:jc w:val="center"/>
              <w:rPr>
                <w:sz w:val="22"/>
              </w:rPr>
            </w:pPr>
            <w:r>
              <w:rPr>
                <w:sz w:val="22"/>
              </w:rPr>
              <w:t>BUN = 0,48 g/L</w:t>
            </w:r>
          </w:p>
        </w:tc>
        <w:tc>
          <w:tcPr>
            <w:tcW w:w="1990" w:type="dxa"/>
          </w:tcPr>
          <w:p>
            <w:pPr>
              <w:pStyle w:val="TableParagraph"/>
              <w:spacing w:line="247" w:lineRule="exact"/>
              <w:ind w:left="174" w:right="174"/>
              <w:jc w:val="center"/>
              <w:rPr>
                <w:sz w:val="22"/>
              </w:rPr>
            </w:pPr>
            <w:r>
              <w:rPr>
                <w:sz w:val="22"/>
              </w:rPr>
              <w:t>BUN = 0,42 g/L</w:t>
            </w:r>
          </w:p>
        </w:tc>
        <w:tc>
          <w:tcPr>
            <w:tcW w:w="1843" w:type="dxa"/>
          </w:tcPr>
          <w:p>
            <w:pPr>
              <w:pStyle w:val="TableParagraph"/>
              <w:spacing w:line="247" w:lineRule="exact"/>
              <w:ind w:left="115" w:right="115"/>
              <w:jc w:val="center"/>
              <w:rPr>
                <w:sz w:val="22"/>
              </w:rPr>
            </w:pPr>
            <w:r>
              <w:rPr>
                <w:sz w:val="22"/>
              </w:rPr>
              <w:t>BUN = 0,4 g/L</w:t>
            </w:r>
          </w:p>
        </w:tc>
        <w:tc>
          <w:tcPr>
            <w:tcW w:w="1839" w:type="dxa"/>
            <w:shd w:val="clear" w:color="auto" w:fill="D9D9D9"/>
          </w:tcPr>
          <w:p>
            <w:pPr>
              <w:pStyle w:val="TableParagraph"/>
              <w:rPr>
                <w:sz w:val="22"/>
              </w:rPr>
            </w:pPr>
          </w:p>
        </w:tc>
        <w:tc>
          <w:tcPr>
            <w:tcW w:w="1702" w:type="dxa"/>
          </w:tcPr>
          <w:p>
            <w:pPr>
              <w:pStyle w:val="TableParagraph"/>
              <w:spacing w:line="247" w:lineRule="exact"/>
              <w:ind w:left="103" w:right="103"/>
              <w:jc w:val="center"/>
              <w:rPr>
                <w:sz w:val="22"/>
              </w:rPr>
            </w:pPr>
            <w:r>
              <w:rPr>
                <w:sz w:val="22"/>
              </w:rPr>
              <w:t>BUN = 0,42 g/L</w:t>
            </w:r>
          </w:p>
        </w:tc>
        <w:tc>
          <w:tcPr>
            <w:tcW w:w="1846" w:type="dxa"/>
            <w:shd w:val="clear" w:color="auto" w:fill="D9D9D9"/>
          </w:tcPr>
          <w:p>
            <w:pPr>
              <w:pStyle w:val="TableParagraph"/>
              <w:rPr>
                <w:sz w:val="22"/>
              </w:rPr>
            </w:pPr>
          </w:p>
        </w:tc>
        <w:tc>
          <w:tcPr>
            <w:tcW w:w="1702" w:type="dxa"/>
          </w:tcPr>
          <w:p>
            <w:pPr>
              <w:pStyle w:val="TableParagraph"/>
              <w:spacing w:line="247" w:lineRule="exact"/>
              <w:ind w:left="103" w:right="103"/>
              <w:jc w:val="center"/>
              <w:rPr>
                <w:sz w:val="22"/>
              </w:rPr>
            </w:pPr>
            <w:r>
              <w:rPr>
                <w:sz w:val="22"/>
              </w:rPr>
              <w:t>BUN = 0,38 g/L</w:t>
            </w:r>
          </w:p>
        </w:tc>
        <w:tc>
          <w:tcPr>
            <w:tcW w:w="1985" w:type="dxa"/>
          </w:tcPr>
          <w:p>
            <w:pPr>
              <w:pStyle w:val="TableParagraph"/>
              <w:spacing w:line="247" w:lineRule="exact"/>
              <w:ind w:left="172" w:right="172"/>
              <w:jc w:val="center"/>
              <w:rPr>
                <w:sz w:val="22"/>
              </w:rPr>
            </w:pPr>
            <w:r>
              <w:rPr>
                <w:sz w:val="22"/>
              </w:rPr>
              <w:t>RAS à S24, S28,</w:t>
            </w:r>
          </w:p>
          <w:p>
            <w:pPr>
              <w:pStyle w:val="TableParagraph"/>
              <w:spacing w:line="238" w:lineRule="exact" w:before="1"/>
              <w:ind w:left="172" w:right="172"/>
              <w:jc w:val="center"/>
              <w:rPr>
                <w:sz w:val="22"/>
              </w:rPr>
            </w:pPr>
            <w:r>
              <w:rPr>
                <w:sz w:val="22"/>
              </w:rPr>
              <w:t>S32</w:t>
            </w:r>
          </w:p>
        </w:tc>
      </w:tr>
      <w:tr>
        <w:trPr>
          <w:trHeight w:val="240" w:hRule="atLeast"/>
        </w:trPr>
        <w:tc>
          <w:tcPr>
            <w:tcW w:w="708" w:type="dxa"/>
            <w:shd w:val="clear" w:color="auto" w:fill="C5DFB3"/>
          </w:tcPr>
          <w:p>
            <w:pPr>
              <w:pStyle w:val="TableParagraph"/>
              <w:spacing w:line="234" w:lineRule="exact"/>
              <w:ind w:left="124"/>
              <w:rPr>
                <w:sz w:val="22"/>
              </w:rPr>
            </w:pPr>
            <w:r>
              <w:rPr>
                <w:sz w:val="22"/>
              </w:rPr>
              <w:t>CT 4</w:t>
            </w:r>
          </w:p>
        </w:tc>
        <w:tc>
          <w:tcPr>
            <w:tcW w:w="1839" w:type="dxa"/>
          </w:tcPr>
          <w:p>
            <w:pPr>
              <w:pStyle w:val="TableParagraph"/>
              <w:spacing w:line="234" w:lineRule="exact"/>
              <w:ind w:left="128" w:right="129"/>
              <w:jc w:val="center"/>
              <w:rPr>
                <w:sz w:val="22"/>
              </w:rPr>
            </w:pPr>
            <w:r>
              <w:rPr>
                <w:sz w:val="22"/>
              </w:rPr>
              <w:t>Créa = 31 mg/L</w:t>
            </w:r>
          </w:p>
        </w:tc>
        <w:tc>
          <w:tcPr>
            <w:tcW w:w="1990" w:type="dxa"/>
          </w:tcPr>
          <w:p>
            <w:pPr>
              <w:pStyle w:val="TableParagraph"/>
              <w:spacing w:line="234" w:lineRule="exact"/>
              <w:ind w:left="173" w:right="176"/>
              <w:jc w:val="center"/>
              <w:rPr>
                <w:sz w:val="22"/>
              </w:rPr>
            </w:pPr>
            <w:r>
              <w:rPr>
                <w:sz w:val="22"/>
              </w:rPr>
              <w:t>Créa = 29 mg/L</w:t>
            </w:r>
          </w:p>
        </w:tc>
        <w:tc>
          <w:tcPr>
            <w:tcW w:w="1843" w:type="dxa"/>
          </w:tcPr>
          <w:p>
            <w:pPr>
              <w:pStyle w:val="TableParagraph"/>
              <w:spacing w:line="234" w:lineRule="exact"/>
              <w:ind w:left="115" w:right="115"/>
              <w:jc w:val="center"/>
              <w:rPr>
                <w:sz w:val="22"/>
              </w:rPr>
            </w:pPr>
            <w:r>
              <w:rPr>
                <w:sz w:val="22"/>
              </w:rPr>
              <w:t>Créa = 29 mg/L</w:t>
            </w:r>
          </w:p>
        </w:tc>
        <w:tc>
          <w:tcPr>
            <w:tcW w:w="1839" w:type="dxa"/>
            <w:shd w:val="clear" w:color="auto" w:fill="D9D9D9"/>
          </w:tcPr>
          <w:p>
            <w:pPr>
              <w:pStyle w:val="TableParagraph"/>
              <w:rPr>
                <w:sz w:val="18"/>
              </w:rPr>
            </w:pPr>
          </w:p>
        </w:tc>
        <w:tc>
          <w:tcPr>
            <w:tcW w:w="1702" w:type="dxa"/>
          </w:tcPr>
          <w:p>
            <w:pPr>
              <w:pStyle w:val="TableParagraph"/>
              <w:spacing w:line="234" w:lineRule="exact"/>
              <w:ind w:left="101" w:right="103"/>
              <w:jc w:val="center"/>
              <w:rPr>
                <w:sz w:val="22"/>
              </w:rPr>
            </w:pPr>
            <w:r>
              <w:rPr>
                <w:sz w:val="22"/>
              </w:rPr>
              <w:t>Créa = 33 mg/L</w:t>
            </w:r>
          </w:p>
        </w:tc>
        <w:tc>
          <w:tcPr>
            <w:tcW w:w="1846" w:type="dxa"/>
          </w:tcPr>
          <w:p>
            <w:pPr>
              <w:pStyle w:val="TableParagraph"/>
              <w:spacing w:line="234" w:lineRule="exact"/>
              <w:ind w:left="131" w:right="131"/>
              <w:jc w:val="center"/>
              <w:rPr>
                <w:sz w:val="22"/>
              </w:rPr>
            </w:pPr>
            <w:r>
              <w:rPr>
                <w:sz w:val="22"/>
              </w:rPr>
              <w:t>Créa = 36 mg/L</w:t>
            </w:r>
          </w:p>
        </w:tc>
        <w:tc>
          <w:tcPr>
            <w:tcW w:w="1702" w:type="dxa"/>
          </w:tcPr>
          <w:p>
            <w:pPr>
              <w:pStyle w:val="TableParagraph"/>
              <w:spacing w:line="234" w:lineRule="exact"/>
              <w:ind w:left="101" w:right="103"/>
              <w:jc w:val="center"/>
              <w:rPr>
                <w:sz w:val="22"/>
              </w:rPr>
            </w:pPr>
            <w:r>
              <w:rPr>
                <w:sz w:val="22"/>
              </w:rPr>
              <w:t>Créa = 37 mg/L</w:t>
            </w:r>
          </w:p>
        </w:tc>
        <w:tc>
          <w:tcPr>
            <w:tcW w:w="1985" w:type="dxa"/>
          </w:tcPr>
          <w:p>
            <w:pPr>
              <w:pStyle w:val="TableParagraph"/>
              <w:spacing w:line="234" w:lineRule="exact"/>
              <w:ind w:left="171" w:right="173"/>
              <w:jc w:val="center"/>
              <w:rPr>
                <w:sz w:val="22"/>
              </w:rPr>
            </w:pPr>
            <w:r>
              <w:rPr>
                <w:sz w:val="22"/>
              </w:rPr>
              <w:t>Créa = 34 mg/L</w:t>
            </w:r>
          </w:p>
        </w:tc>
      </w:tr>
    </w:tbl>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9"/>
        </w:rPr>
      </w:pPr>
    </w:p>
    <w:p>
      <w:pPr>
        <w:pStyle w:val="BodyText"/>
        <w:spacing w:before="90"/>
        <w:ind w:left="7641" w:right="7639"/>
        <w:jc w:val="center"/>
      </w:pPr>
      <w:r>
        <w:rPr/>
        <w:t>117</w:t>
      </w:r>
    </w:p>
    <w:p>
      <w:pPr>
        <w:spacing w:after="0"/>
        <w:jc w:val="center"/>
        <w:sectPr>
          <w:footerReference w:type="default" r:id="rId58"/>
          <w:pgSz w:w="16840" w:h="11910" w:orient="landscape"/>
          <w:pgMar w:footer="0" w:header="0" w:top="1100" w:bottom="280" w:left="580" w:right="580"/>
        </w:sectPr>
      </w:pPr>
    </w:p>
    <w:p>
      <w:pPr>
        <w:pStyle w:val="BodyText"/>
        <w:spacing w:line="259" w:lineRule="auto" w:before="72"/>
        <w:ind w:left="116" w:right="110"/>
      </w:pPr>
      <w:r>
        <w:rPr/>
        <w:t>En comparant les différences des examens biochimiques et de la numération formule sanguine entre le contrôle sanguin à S0 et les contrôles suivants, il ressort que :</w:t>
      </w:r>
    </w:p>
    <w:p>
      <w:pPr>
        <w:pStyle w:val="ListParagraph"/>
        <w:numPr>
          <w:ilvl w:val="1"/>
          <w:numId w:val="6"/>
        </w:numPr>
        <w:tabs>
          <w:tab w:pos="825" w:val="left" w:leader="none"/>
        </w:tabs>
        <w:spacing w:line="259" w:lineRule="auto" w:before="161" w:after="0"/>
        <w:ind w:left="824" w:right="112" w:hanging="348"/>
        <w:jc w:val="both"/>
        <w:rPr>
          <w:sz w:val="24"/>
        </w:rPr>
      </w:pPr>
      <w:r>
        <w:rPr>
          <w:sz w:val="24"/>
        </w:rPr>
        <w:t>Aucun</w:t>
      </w:r>
      <w:r>
        <w:rPr>
          <w:spacing w:val="-11"/>
          <w:sz w:val="24"/>
        </w:rPr>
        <w:t> </w:t>
      </w:r>
      <w:r>
        <w:rPr>
          <w:sz w:val="24"/>
        </w:rPr>
        <w:t>bilan</w:t>
      </w:r>
      <w:r>
        <w:rPr>
          <w:spacing w:val="-11"/>
          <w:sz w:val="24"/>
        </w:rPr>
        <w:t> </w:t>
      </w:r>
      <w:r>
        <w:rPr>
          <w:sz w:val="24"/>
        </w:rPr>
        <w:t>sanguin</w:t>
      </w:r>
      <w:r>
        <w:rPr>
          <w:spacing w:val="-11"/>
          <w:sz w:val="24"/>
        </w:rPr>
        <w:t> </w:t>
      </w:r>
      <w:r>
        <w:rPr>
          <w:sz w:val="24"/>
        </w:rPr>
        <w:t>n’a</w:t>
      </w:r>
      <w:r>
        <w:rPr>
          <w:spacing w:val="-9"/>
          <w:sz w:val="24"/>
        </w:rPr>
        <w:t> </w:t>
      </w:r>
      <w:r>
        <w:rPr>
          <w:sz w:val="24"/>
        </w:rPr>
        <w:t>été</w:t>
      </w:r>
      <w:r>
        <w:rPr>
          <w:spacing w:val="-12"/>
          <w:sz w:val="24"/>
        </w:rPr>
        <w:t> </w:t>
      </w:r>
      <w:r>
        <w:rPr>
          <w:sz w:val="24"/>
        </w:rPr>
        <w:t>effectué</w:t>
      </w:r>
      <w:r>
        <w:rPr>
          <w:spacing w:val="-12"/>
          <w:sz w:val="24"/>
        </w:rPr>
        <w:t> </w:t>
      </w:r>
      <w:r>
        <w:rPr>
          <w:sz w:val="24"/>
        </w:rPr>
        <w:t>à</w:t>
      </w:r>
      <w:r>
        <w:rPr>
          <w:spacing w:val="-10"/>
          <w:sz w:val="24"/>
        </w:rPr>
        <w:t> </w:t>
      </w:r>
      <w:r>
        <w:rPr>
          <w:sz w:val="24"/>
        </w:rPr>
        <w:t>S0</w:t>
      </w:r>
      <w:r>
        <w:rPr>
          <w:spacing w:val="-11"/>
          <w:sz w:val="24"/>
        </w:rPr>
        <w:t> </w:t>
      </w:r>
      <w:r>
        <w:rPr>
          <w:sz w:val="24"/>
        </w:rPr>
        <w:t>chez</w:t>
      </w:r>
      <w:r>
        <w:rPr>
          <w:spacing w:val="-8"/>
          <w:sz w:val="24"/>
        </w:rPr>
        <w:t> </w:t>
      </w:r>
      <w:r>
        <w:rPr>
          <w:sz w:val="24"/>
        </w:rPr>
        <w:t>le</w:t>
      </w:r>
      <w:r>
        <w:rPr>
          <w:spacing w:val="-9"/>
          <w:sz w:val="24"/>
        </w:rPr>
        <w:t> </w:t>
      </w:r>
      <w:r>
        <w:rPr>
          <w:sz w:val="24"/>
          <w:u w:val="single"/>
        </w:rPr>
        <w:t>CN</w:t>
      </w:r>
      <w:r>
        <w:rPr>
          <w:spacing w:val="-12"/>
          <w:sz w:val="24"/>
          <w:u w:val="single"/>
        </w:rPr>
        <w:t> </w:t>
      </w:r>
      <w:r>
        <w:rPr>
          <w:sz w:val="24"/>
          <w:u w:val="single"/>
        </w:rPr>
        <w:t>1</w:t>
      </w:r>
      <w:r>
        <w:rPr>
          <w:sz w:val="24"/>
        </w:rPr>
        <w:t>,</w:t>
      </w:r>
      <w:r>
        <w:rPr>
          <w:spacing w:val="-11"/>
          <w:sz w:val="24"/>
        </w:rPr>
        <w:t> </w:t>
      </w:r>
      <w:r>
        <w:rPr>
          <w:sz w:val="24"/>
        </w:rPr>
        <w:t>ce</w:t>
      </w:r>
      <w:r>
        <w:rPr>
          <w:spacing w:val="-10"/>
          <w:sz w:val="24"/>
        </w:rPr>
        <w:t> </w:t>
      </w:r>
      <w:r>
        <w:rPr>
          <w:sz w:val="24"/>
        </w:rPr>
        <w:t>qui</w:t>
      </w:r>
      <w:r>
        <w:rPr>
          <w:spacing w:val="-11"/>
          <w:sz w:val="24"/>
        </w:rPr>
        <w:t> </w:t>
      </w:r>
      <w:r>
        <w:rPr>
          <w:sz w:val="24"/>
        </w:rPr>
        <w:t>rend</w:t>
      </w:r>
      <w:r>
        <w:rPr>
          <w:spacing w:val="-9"/>
          <w:sz w:val="24"/>
        </w:rPr>
        <w:t> </w:t>
      </w:r>
      <w:r>
        <w:rPr>
          <w:sz w:val="24"/>
        </w:rPr>
        <w:t>la</w:t>
      </w:r>
      <w:r>
        <w:rPr>
          <w:spacing w:val="-12"/>
          <w:sz w:val="24"/>
        </w:rPr>
        <w:t> </w:t>
      </w:r>
      <w:r>
        <w:rPr>
          <w:sz w:val="24"/>
        </w:rPr>
        <w:t>comparaison</w:t>
      </w:r>
      <w:r>
        <w:rPr>
          <w:spacing w:val="-10"/>
          <w:sz w:val="24"/>
        </w:rPr>
        <w:t> </w:t>
      </w:r>
      <w:r>
        <w:rPr>
          <w:sz w:val="24"/>
        </w:rPr>
        <w:t>avec les contrôles impossible. Néanmoins, on peut penser que les ALAT augmentées à S6 sont dues au syndrome de Cushing diagnostiqué chez ce patient. Les paramètres hépatiques (PAL, ALAT) extrêmement augmentés peu avant l’euthanasie de l’animal peuvent être mis en relation avec les nombreuses métastases hépatiques visualisées au scanner.</w:t>
      </w:r>
      <w:r>
        <w:rPr>
          <w:spacing w:val="-8"/>
          <w:sz w:val="24"/>
        </w:rPr>
        <w:t> </w:t>
      </w:r>
      <w:r>
        <w:rPr>
          <w:sz w:val="24"/>
        </w:rPr>
        <w:t>L’anémie</w:t>
      </w:r>
      <w:r>
        <w:rPr>
          <w:spacing w:val="-10"/>
          <w:sz w:val="24"/>
        </w:rPr>
        <w:t> </w:t>
      </w:r>
      <w:r>
        <w:rPr>
          <w:sz w:val="24"/>
        </w:rPr>
        <w:t>concomitante</w:t>
      </w:r>
      <w:r>
        <w:rPr>
          <w:spacing w:val="-12"/>
          <w:sz w:val="24"/>
        </w:rPr>
        <w:t> </w:t>
      </w:r>
      <w:r>
        <w:rPr>
          <w:sz w:val="24"/>
        </w:rPr>
        <w:t>est</w:t>
      </w:r>
      <w:r>
        <w:rPr>
          <w:spacing w:val="-10"/>
          <w:sz w:val="24"/>
        </w:rPr>
        <w:t> </w:t>
      </w:r>
      <w:r>
        <w:rPr>
          <w:sz w:val="24"/>
        </w:rPr>
        <w:t>le</w:t>
      </w:r>
      <w:r>
        <w:rPr>
          <w:spacing w:val="-11"/>
          <w:sz w:val="24"/>
        </w:rPr>
        <w:t> </w:t>
      </w:r>
      <w:r>
        <w:rPr>
          <w:sz w:val="24"/>
        </w:rPr>
        <w:t>plus</w:t>
      </w:r>
      <w:r>
        <w:rPr>
          <w:spacing w:val="-10"/>
          <w:sz w:val="24"/>
        </w:rPr>
        <w:t> </w:t>
      </w:r>
      <w:r>
        <w:rPr>
          <w:sz w:val="24"/>
        </w:rPr>
        <w:t>probablement</w:t>
      </w:r>
      <w:r>
        <w:rPr>
          <w:spacing w:val="-11"/>
          <w:sz w:val="24"/>
        </w:rPr>
        <w:t> </w:t>
      </w:r>
      <w:r>
        <w:rPr>
          <w:sz w:val="24"/>
        </w:rPr>
        <w:t>due</w:t>
      </w:r>
      <w:r>
        <w:rPr>
          <w:spacing w:val="-10"/>
          <w:sz w:val="24"/>
        </w:rPr>
        <w:t> </w:t>
      </w:r>
      <w:r>
        <w:rPr>
          <w:sz w:val="24"/>
        </w:rPr>
        <w:t>à</w:t>
      </w:r>
      <w:r>
        <w:rPr>
          <w:spacing w:val="-12"/>
          <w:sz w:val="24"/>
        </w:rPr>
        <w:t> </w:t>
      </w:r>
      <w:r>
        <w:rPr>
          <w:sz w:val="24"/>
        </w:rPr>
        <w:t>l’évolution</w:t>
      </w:r>
      <w:r>
        <w:rPr>
          <w:spacing w:val="-8"/>
          <w:sz w:val="24"/>
        </w:rPr>
        <w:t> </w:t>
      </w:r>
      <w:r>
        <w:rPr>
          <w:sz w:val="24"/>
        </w:rPr>
        <w:t>de</w:t>
      </w:r>
      <w:r>
        <w:rPr>
          <w:spacing w:val="-12"/>
          <w:sz w:val="24"/>
        </w:rPr>
        <w:t> </w:t>
      </w:r>
      <w:r>
        <w:rPr>
          <w:sz w:val="24"/>
        </w:rPr>
        <w:t>la</w:t>
      </w:r>
      <w:r>
        <w:rPr>
          <w:spacing w:val="-11"/>
          <w:sz w:val="24"/>
        </w:rPr>
        <w:t> </w:t>
      </w:r>
      <w:r>
        <w:rPr>
          <w:sz w:val="24"/>
        </w:rPr>
        <w:t>tumeur et non à la TM qui n’avait pas été modifiée depuis</w:t>
      </w:r>
      <w:r>
        <w:rPr>
          <w:spacing w:val="-9"/>
          <w:sz w:val="24"/>
        </w:rPr>
        <w:t> </w:t>
      </w:r>
      <w:r>
        <w:rPr>
          <w:sz w:val="24"/>
        </w:rPr>
        <w:t>S0.</w:t>
      </w:r>
    </w:p>
    <w:p>
      <w:pPr>
        <w:pStyle w:val="ListParagraph"/>
        <w:numPr>
          <w:ilvl w:val="1"/>
          <w:numId w:val="6"/>
        </w:numPr>
        <w:tabs>
          <w:tab w:pos="837" w:val="left" w:leader="none"/>
        </w:tabs>
        <w:spacing w:line="259" w:lineRule="auto" w:before="0" w:after="0"/>
        <w:ind w:left="836" w:right="114" w:hanging="360"/>
        <w:jc w:val="both"/>
        <w:rPr>
          <w:sz w:val="24"/>
        </w:rPr>
      </w:pPr>
      <w:r>
        <w:rPr>
          <w:sz w:val="24"/>
        </w:rPr>
        <w:t>L’augmentation des paramètres hépatiques (ALAT) du </w:t>
      </w:r>
      <w:r>
        <w:rPr>
          <w:sz w:val="24"/>
          <w:u w:val="single"/>
        </w:rPr>
        <w:t>CN 4</w:t>
      </w:r>
      <w:r>
        <w:rPr>
          <w:sz w:val="24"/>
        </w:rPr>
        <w:t> est déjà présente à S0 et ne semble donc pas en lien avec la TM. La modification de ce paramètre n’étant pas retrouvée chez les autres animaux, on peut penser qu’il s’agit d’une évolution propre à l’animal, sans lien avec la thérapie</w:t>
      </w:r>
      <w:r>
        <w:rPr>
          <w:spacing w:val="-14"/>
          <w:sz w:val="24"/>
        </w:rPr>
        <w:t> </w:t>
      </w:r>
      <w:r>
        <w:rPr>
          <w:sz w:val="24"/>
        </w:rPr>
        <w:t>instaurée.</w:t>
      </w:r>
    </w:p>
    <w:p>
      <w:pPr>
        <w:pStyle w:val="ListParagraph"/>
        <w:numPr>
          <w:ilvl w:val="1"/>
          <w:numId w:val="6"/>
        </w:numPr>
        <w:tabs>
          <w:tab w:pos="836" w:val="left" w:leader="none"/>
          <w:tab w:pos="837" w:val="left" w:leader="none"/>
        </w:tabs>
        <w:spacing w:line="240" w:lineRule="auto" w:before="0" w:after="0"/>
        <w:ind w:left="836" w:right="0" w:hanging="360"/>
        <w:jc w:val="left"/>
        <w:rPr>
          <w:sz w:val="24"/>
        </w:rPr>
      </w:pPr>
      <w:r>
        <w:rPr>
          <w:sz w:val="24"/>
        </w:rPr>
        <w:t>Les modifications à S0 du </w:t>
      </w:r>
      <w:r>
        <w:rPr>
          <w:sz w:val="24"/>
          <w:u w:val="single"/>
        </w:rPr>
        <w:t>CN 5</w:t>
      </w:r>
      <w:r>
        <w:rPr>
          <w:sz w:val="24"/>
        </w:rPr>
        <w:t> ne se retrouvent pas aux contrôles à S4 et</w:t>
      </w:r>
      <w:r>
        <w:rPr>
          <w:spacing w:val="-11"/>
          <w:sz w:val="24"/>
        </w:rPr>
        <w:t> </w:t>
      </w:r>
      <w:r>
        <w:rPr>
          <w:sz w:val="24"/>
        </w:rPr>
        <w:t>S8.</w:t>
      </w:r>
    </w:p>
    <w:p>
      <w:pPr>
        <w:pStyle w:val="ListParagraph"/>
        <w:numPr>
          <w:ilvl w:val="1"/>
          <w:numId w:val="6"/>
        </w:numPr>
        <w:tabs>
          <w:tab w:pos="837" w:val="left" w:leader="none"/>
        </w:tabs>
        <w:spacing w:line="259" w:lineRule="auto" w:before="22" w:after="0"/>
        <w:ind w:left="836" w:right="116" w:hanging="360"/>
        <w:jc w:val="both"/>
        <w:rPr>
          <w:sz w:val="24"/>
        </w:rPr>
      </w:pPr>
      <w:r>
        <w:rPr>
          <w:sz w:val="24"/>
        </w:rPr>
        <w:t>Les valeurs des paramètres hépatiques du </w:t>
      </w:r>
      <w:r>
        <w:rPr>
          <w:sz w:val="24"/>
          <w:u w:val="single"/>
        </w:rPr>
        <w:t>CN 6</w:t>
      </w:r>
      <w:r>
        <w:rPr>
          <w:sz w:val="24"/>
        </w:rPr>
        <w:t> se stabilisent à l’arrêt de la corticothérapie. Les épisodes de lymphopénie se retrouvent par vagues après certaines séances de</w:t>
      </w:r>
      <w:r>
        <w:rPr>
          <w:spacing w:val="-7"/>
          <w:sz w:val="24"/>
        </w:rPr>
        <w:t> </w:t>
      </w:r>
      <w:r>
        <w:rPr>
          <w:sz w:val="24"/>
        </w:rPr>
        <w:t>chimiothérapie.</w:t>
      </w:r>
    </w:p>
    <w:p>
      <w:pPr>
        <w:pStyle w:val="ListParagraph"/>
        <w:numPr>
          <w:ilvl w:val="1"/>
          <w:numId w:val="6"/>
        </w:numPr>
        <w:tabs>
          <w:tab w:pos="837" w:val="left" w:leader="none"/>
        </w:tabs>
        <w:spacing w:line="259" w:lineRule="auto" w:before="0" w:after="0"/>
        <w:ind w:left="836" w:right="118" w:hanging="360"/>
        <w:jc w:val="both"/>
        <w:rPr>
          <w:sz w:val="24"/>
        </w:rPr>
      </w:pPr>
      <w:r>
        <w:rPr>
          <w:sz w:val="24"/>
        </w:rPr>
        <w:t>Le </w:t>
      </w:r>
      <w:r>
        <w:rPr>
          <w:sz w:val="24"/>
          <w:u w:val="single"/>
        </w:rPr>
        <w:t>CN 9</w:t>
      </w:r>
      <w:r>
        <w:rPr>
          <w:sz w:val="24"/>
        </w:rPr>
        <w:t> présente des modifications similaires à S0 et aux contrôles suivants. Qu’ils soient</w:t>
      </w:r>
      <w:r>
        <w:rPr>
          <w:spacing w:val="-7"/>
          <w:sz w:val="24"/>
        </w:rPr>
        <w:t> </w:t>
      </w:r>
      <w:r>
        <w:rPr>
          <w:sz w:val="24"/>
        </w:rPr>
        <w:t>dus</w:t>
      </w:r>
      <w:r>
        <w:rPr>
          <w:spacing w:val="-7"/>
          <w:sz w:val="24"/>
        </w:rPr>
        <w:t> </w:t>
      </w:r>
      <w:r>
        <w:rPr>
          <w:sz w:val="24"/>
        </w:rPr>
        <w:t>à</w:t>
      </w:r>
      <w:r>
        <w:rPr>
          <w:spacing w:val="-8"/>
          <w:sz w:val="24"/>
        </w:rPr>
        <w:t> </w:t>
      </w:r>
      <w:r>
        <w:rPr>
          <w:sz w:val="24"/>
        </w:rPr>
        <w:t>l’évolution</w:t>
      </w:r>
      <w:r>
        <w:rPr>
          <w:spacing w:val="-7"/>
          <w:sz w:val="24"/>
        </w:rPr>
        <w:t> </w:t>
      </w:r>
      <w:r>
        <w:rPr>
          <w:sz w:val="24"/>
        </w:rPr>
        <w:t>de</w:t>
      </w:r>
      <w:r>
        <w:rPr>
          <w:spacing w:val="-8"/>
          <w:sz w:val="24"/>
        </w:rPr>
        <w:t> </w:t>
      </w:r>
      <w:r>
        <w:rPr>
          <w:sz w:val="24"/>
        </w:rPr>
        <w:t>la</w:t>
      </w:r>
      <w:r>
        <w:rPr>
          <w:spacing w:val="-8"/>
          <w:sz w:val="24"/>
        </w:rPr>
        <w:t> </w:t>
      </w:r>
      <w:r>
        <w:rPr>
          <w:sz w:val="24"/>
        </w:rPr>
        <w:t>maladie</w:t>
      </w:r>
      <w:r>
        <w:rPr>
          <w:spacing w:val="-8"/>
          <w:sz w:val="24"/>
        </w:rPr>
        <w:t> </w:t>
      </w:r>
      <w:r>
        <w:rPr>
          <w:sz w:val="24"/>
        </w:rPr>
        <w:t>de</w:t>
      </w:r>
      <w:r>
        <w:rPr>
          <w:spacing w:val="-8"/>
          <w:sz w:val="24"/>
        </w:rPr>
        <w:t> </w:t>
      </w:r>
      <w:r>
        <w:rPr>
          <w:sz w:val="24"/>
        </w:rPr>
        <w:t>l’animal</w:t>
      </w:r>
      <w:r>
        <w:rPr>
          <w:spacing w:val="-4"/>
          <w:sz w:val="24"/>
        </w:rPr>
        <w:t> </w:t>
      </w:r>
      <w:r>
        <w:rPr>
          <w:sz w:val="24"/>
        </w:rPr>
        <w:t>ou</w:t>
      </w:r>
      <w:r>
        <w:rPr>
          <w:spacing w:val="-7"/>
          <w:sz w:val="24"/>
        </w:rPr>
        <w:t> </w:t>
      </w:r>
      <w:r>
        <w:rPr>
          <w:sz w:val="24"/>
        </w:rPr>
        <w:t>à</w:t>
      </w:r>
      <w:r>
        <w:rPr>
          <w:spacing w:val="-8"/>
          <w:sz w:val="24"/>
        </w:rPr>
        <w:t> </w:t>
      </w:r>
      <w:r>
        <w:rPr>
          <w:sz w:val="24"/>
        </w:rPr>
        <w:t>la</w:t>
      </w:r>
      <w:r>
        <w:rPr>
          <w:spacing w:val="-8"/>
          <w:sz w:val="24"/>
        </w:rPr>
        <w:t> </w:t>
      </w:r>
      <w:r>
        <w:rPr>
          <w:sz w:val="24"/>
        </w:rPr>
        <w:t>chimiothérapie</w:t>
      </w:r>
      <w:r>
        <w:rPr>
          <w:spacing w:val="-8"/>
          <w:sz w:val="24"/>
        </w:rPr>
        <w:t> </w:t>
      </w:r>
      <w:r>
        <w:rPr>
          <w:sz w:val="24"/>
        </w:rPr>
        <w:t>instaurée,</w:t>
      </w:r>
      <w:r>
        <w:rPr>
          <w:spacing w:val="-5"/>
          <w:sz w:val="24"/>
        </w:rPr>
        <w:t> </w:t>
      </w:r>
      <w:r>
        <w:rPr>
          <w:sz w:val="24"/>
        </w:rPr>
        <w:t>elles n’ont en tout cas pas évolué lors de la mise en place de la</w:t>
      </w:r>
      <w:r>
        <w:rPr>
          <w:spacing w:val="-10"/>
          <w:sz w:val="24"/>
        </w:rPr>
        <w:t> </w:t>
      </w:r>
      <w:r>
        <w:rPr>
          <w:sz w:val="24"/>
        </w:rPr>
        <w:t>TM.</w:t>
      </w:r>
    </w:p>
    <w:p>
      <w:pPr>
        <w:pStyle w:val="ListParagraph"/>
        <w:numPr>
          <w:ilvl w:val="1"/>
          <w:numId w:val="6"/>
        </w:numPr>
        <w:tabs>
          <w:tab w:pos="837" w:val="left" w:leader="none"/>
        </w:tabs>
        <w:spacing w:line="259" w:lineRule="auto" w:before="0" w:after="0"/>
        <w:ind w:left="836" w:right="117" w:hanging="360"/>
        <w:jc w:val="both"/>
        <w:rPr>
          <w:sz w:val="24"/>
        </w:rPr>
      </w:pPr>
      <w:r>
        <w:rPr>
          <w:sz w:val="24"/>
        </w:rPr>
        <w:t>L’anémie modérée du </w:t>
      </w:r>
      <w:r>
        <w:rPr>
          <w:sz w:val="24"/>
          <w:u w:val="single"/>
        </w:rPr>
        <w:t>CN 10</w:t>
      </w:r>
      <w:r>
        <w:rPr>
          <w:sz w:val="24"/>
        </w:rPr>
        <w:t> à partir du contrôle à S8 peut s’expliquer par la chimiothérapie comme par la TM ou l’évolution de la maladie. Elle tend à s’améliorer au contrôle à S16 alors que la TM a été maintenue. L’épisode de neutropénie à S8 est résolu au contrôle à S10 sans modification de la</w:t>
      </w:r>
      <w:r>
        <w:rPr>
          <w:spacing w:val="-7"/>
          <w:sz w:val="24"/>
        </w:rPr>
        <w:t> </w:t>
      </w:r>
      <w:r>
        <w:rPr>
          <w:sz w:val="24"/>
        </w:rPr>
        <w:t>TM.</w:t>
      </w:r>
    </w:p>
    <w:p>
      <w:pPr>
        <w:pStyle w:val="ListParagraph"/>
        <w:numPr>
          <w:ilvl w:val="1"/>
          <w:numId w:val="6"/>
        </w:numPr>
        <w:tabs>
          <w:tab w:pos="836" w:val="left" w:leader="none"/>
          <w:tab w:pos="837" w:val="left" w:leader="none"/>
        </w:tabs>
        <w:spacing w:line="240" w:lineRule="auto" w:before="0" w:after="0"/>
        <w:ind w:left="836" w:right="0" w:hanging="360"/>
        <w:jc w:val="left"/>
        <w:rPr>
          <w:sz w:val="24"/>
        </w:rPr>
      </w:pPr>
      <w:r>
        <w:rPr>
          <w:sz w:val="24"/>
        </w:rPr>
        <w:t>Les bilans sanguins du </w:t>
      </w:r>
      <w:r>
        <w:rPr>
          <w:sz w:val="24"/>
          <w:u w:val="single"/>
        </w:rPr>
        <w:t>CN 11</w:t>
      </w:r>
      <w:r>
        <w:rPr>
          <w:sz w:val="24"/>
        </w:rPr>
        <w:t> ne présentent pas</w:t>
      </w:r>
      <w:r>
        <w:rPr>
          <w:spacing w:val="-9"/>
          <w:sz w:val="24"/>
        </w:rPr>
        <w:t> </w:t>
      </w:r>
      <w:r>
        <w:rPr>
          <w:sz w:val="24"/>
        </w:rPr>
        <w:t>d’anomalies.</w:t>
      </w:r>
    </w:p>
    <w:p>
      <w:pPr>
        <w:pStyle w:val="ListParagraph"/>
        <w:numPr>
          <w:ilvl w:val="1"/>
          <w:numId w:val="6"/>
        </w:numPr>
        <w:tabs>
          <w:tab w:pos="837" w:val="left" w:leader="none"/>
        </w:tabs>
        <w:spacing w:line="261" w:lineRule="auto" w:before="21" w:after="0"/>
        <w:ind w:left="836" w:right="117" w:hanging="360"/>
        <w:jc w:val="both"/>
        <w:rPr>
          <w:sz w:val="24"/>
        </w:rPr>
      </w:pPr>
      <w:r>
        <w:rPr>
          <w:sz w:val="24"/>
        </w:rPr>
        <w:t>L’absence de bilan sanguin avant le début du traitement du </w:t>
      </w:r>
      <w:r>
        <w:rPr>
          <w:sz w:val="24"/>
          <w:u w:val="single"/>
        </w:rPr>
        <w:t>CN 12</w:t>
      </w:r>
      <w:r>
        <w:rPr>
          <w:sz w:val="24"/>
        </w:rPr>
        <w:t> ne permet pas d’interpréter la</w:t>
      </w:r>
      <w:r>
        <w:rPr>
          <w:spacing w:val="-7"/>
          <w:sz w:val="24"/>
        </w:rPr>
        <w:t> </w:t>
      </w:r>
      <w:r>
        <w:rPr>
          <w:sz w:val="24"/>
        </w:rPr>
        <w:t>leucocytose.</w:t>
      </w:r>
    </w:p>
    <w:p>
      <w:pPr>
        <w:pStyle w:val="ListParagraph"/>
        <w:numPr>
          <w:ilvl w:val="1"/>
          <w:numId w:val="6"/>
        </w:numPr>
        <w:tabs>
          <w:tab w:pos="837" w:val="left" w:leader="none"/>
        </w:tabs>
        <w:spacing w:line="259" w:lineRule="auto" w:before="0" w:after="0"/>
        <w:ind w:left="836" w:right="110" w:hanging="360"/>
        <w:jc w:val="both"/>
        <w:rPr>
          <w:sz w:val="24"/>
        </w:rPr>
      </w:pPr>
      <w:r>
        <w:rPr>
          <w:sz w:val="24"/>
        </w:rPr>
        <w:t>L’épisode de neutrophilie du </w:t>
      </w:r>
      <w:r>
        <w:rPr>
          <w:sz w:val="24"/>
          <w:u w:val="single"/>
        </w:rPr>
        <w:t>CN 13</w:t>
      </w:r>
      <w:r>
        <w:rPr>
          <w:sz w:val="24"/>
        </w:rPr>
        <w:t> est associé à un début de nécrose de la tumeur accompagné d’une infection. </w:t>
      </w:r>
      <w:r>
        <w:rPr>
          <w:spacing w:val="-3"/>
          <w:sz w:val="24"/>
        </w:rPr>
        <w:t>Il </w:t>
      </w:r>
      <w:r>
        <w:rPr>
          <w:sz w:val="24"/>
        </w:rPr>
        <w:t>ne semble donc pas en lien avec la TM, maintenue pendant 40 semaines auparavant. Le DCA a été remplacé par </w:t>
      </w:r>
      <w:r>
        <w:rPr>
          <w:spacing w:val="1"/>
          <w:sz w:val="24"/>
        </w:rPr>
        <w:t>la </w:t>
      </w:r>
      <w:r>
        <w:rPr>
          <w:sz w:val="24"/>
        </w:rPr>
        <w:t>MET en fin de traitement car il semblait fatiguer l’animal d’après la propriétaire. Aucun bilan sanguin n’est disponible après ce</w:t>
      </w:r>
      <w:r>
        <w:rPr>
          <w:spacing w:val="-15"/>
          <w:sz w:val="24"/>
        </w:rPr>
        <w:t> </w:t>
      </w:r>
      <w:r>
        <w:rPr>
          <w:sz w:val="24"/>
        </w:rPr>
        <w:t>changement.</w:t>
      </w:r>
    </w:p>
    <w:p>
      <w:pPr>
        <w:pStyle w:val="ListParagraph"/>
        <w:numPr>
          <w:ilvl w:val="1"/>
          <w:numId w:val="6"/>
        </w:numPr>
        <w:tabs>
          <w:tab w:pos="837" w:val="left" w:leader="none"/>
        </w:tabs>
        <w:spacing w:line="259" w:lineRule="auto" w:before="3" w:after="0"/>
        <w:ind w:left="836" w:right="118" w:hanging="360"/>
        <w:jc w:val="both"/>
        <w:rPr>
          <w:sz w:val="24"/>
        </w:rPr>
      </w:pPr>
      <w:r>
        <w:rPr>
          <w:sz w:val="24"/>
        </w:rPr>
        <w:t>Les modifications observées chez le </w:t>
      </w:r>
      <w:r>
        <w:rPr>
          <w:sz w:val="24"/>
          <w:u w:val="single"/>
        </w:rPr>
        <w:t>CN 14</w:t>
      </w:r>
      <w:r>
        <w:rPr>
          <w:sz w:val="24"/>
        </w:rPr>
        <w:t> ne sont pas reliées à une atteinte de l’état général de l’animal et les paramètres sanguins se normalisent à</w:t>
      </w:r>
      <w:r>
        <w:rPr>
          <w:spacing w:val="-21"/>
          <w:sz w:val="24"/>
        </w:rPr>
        <w:t> </w:t>
      </w:r>
      <w:r>
        <w:rPr>
          <w:sz w:val="24"/>
        </w:rPr>
        <w:t>S10.</w:t>
      </w:r>
    </w:p>
    <w:p>
      <w:pPr>
        <w:pStyle w:val="ListParagraph"/>
        <w:numPr>
          <w:ilvl w:val="1"/>
          <w:numId w:val="6"/>
        </w:numPr>
        <w:tabs>
          <w:tab w:pos="837" w:val="left" w:leader="none"/>
        </w:tabs>
        <w:spacing w:line="259" w:lineRule="auto" w:before="0" w:after="0"/>
        <w:ind w:left="836" w:right="114" w:hanging="360"/>
        <w:jc w:val="both"/>
        <w:rPr>
          <w:sz w:val="24"/>
        </w:rPr>
      </w:pPr>
      <w:r>
        <w:rPr>
          <w:sz w:val="24"/>
        </w:rPr>
        <w:t>Pour le </w:t>
      </w:r>
      <w:r>
        <w:rPr>
          <w:sz w:val="24"/>
          <w:u w:val="single"/>
        </w:rPr>
        <w:t>CT 1</w:t>
      </w:r>
      <w:r>
        <w:rPr>
          <w:sz w:val="24"/>
        </w:rPr>
        <w:t>, les épisodes de neutropénie à S4 et S12 ne sont pas associés à des répercussions sur l’état général de l’animal. La valeur des leucocytes reste dans les valeurs usuelles. 5 mois avant le début du traitement, une numération formule révélait également une neutropénie à 2,23x10^9/L, non expliquée. Ce paramètre se normalise à S16 sans modification du protocole</w:t>
      </w:r>
      <w:r>
        <w:rPr>
          <w:spacing w:val="-8"/>
          <w:sz w:val="24"/>
        </w:rPr>
        <w:t> </w:t>
      </w:r>
      <w:r>
        <w:rPr>
          <w:sz w:val="24"/>
        </w:rPr>
        <w:t>métabolique.</w:t>
      </w:r>
    </w:p>
    <w:p>
      <w:pPr>
        <w:pStyle w:val="ListParagraph"/>
        <w:numPr>
          <w:ilvl w:val="1"/>
          <w:numId w:val="6"/>
        </w:numPr>
        <w:tabs>
          <w:tab w:pos="837" w:val="left" w:leader="none"/>
        </w:tabs>
        <w:spacing w:line="256" w:lineRule="auto" w:before="0" w:after="0"/>
        <w:ind w:left="836" w:right="113" w:hanging="360"/>
        <w:jc w:val="both"/>
        <w:rPr>
          <w:sz w:val="24"/>
        </w:rPr>
      </w:pPr>
      <w:r>
        <w:rPr>
          <w:sz w:val="24"/>
        </w:rPr>
        <w:t>La mise en place du traitement chez les </w:t>
      </w:r>
      <w:r>
        <w:rPr>
          <w:sz w:val="24"/>
          <w:u w:val="single"/>
        </w:rPr>
        <w:t>CT 2</w:t>
      </w:r>
      <w:r>
        <w:rPr>
          <w:sz w:val="24"/>
        </w:rPr>
        <w:t> et </w:t>
      </w:r>
      <w:r>
        <w:rPr>
          <w:sz w:val="24"/>
          <w:u w:val="single"/>
        </w:rPr>
        <w:t>CT 4</w:t>
      </w:r>
      <w:r>
        <w:rPr>
          <w:sz w:val="24"/>
        </w:rPr>
        <w:t> n’est associée à aucune modification des paramètres de biochimie ou de numération formule sanguine par rapport à</w:t>
      </w:r>
      <w:r>
        <w:rPr>
          <w:spacing w:val="-5"/>
          <w:sz w:val="24"/>
        </w:rPr>
        <w:t> </w:t>
      </w:r>
      <w:r>
        <w:rPr>
          <w:sz w:val="24"/>
        </w:rPr>
        <w:t>S0.</w:t>
      </w:r>
    </w:p>
    <w:p>
      <w:pPr>
        <w:pStyle w:val="BodyText"/>
        <w:spacing w:line="256" w:lineRule="auto" w:before="166"/>
        <w:ind w:left="116" w:right="112" w:firstLine="707"/>
        <w:jc w:val="both"/>
      </w:pPr>
      <w:r>
        <w:rPr/>
        <w:t>La comparaison des différents animaux permet de conclure que ceux-ci présentent globalement une bonne tolérance au traitement, sans changement majeur des paramètres biochimiques et de la numération formule sanguine attribuables à la thérapie métabolique.</w:t>
      </w:r>
    </w:p>
    <w:p>
      <w:pPr>
        <w:spacing w:after="0" w:line="256" w:lineRule="auto"/>
        <w:jc w:val="both"/>
        <w:sectPr>
          <w:footerReference w:type="even" r:id="rId59"/>
          <w:footerReference w:type="default" r:id="rId60"/>
          <w:pgSz w:w="11910" w:h="16840"/>
          <w:pgMar w:footer="1055" w:header="0" w:top="1320" w:bottom="1240" w:left="1300" w:right="1300"/>
          <w:pgNumType w:start="118"/>
        </w:sectPr>
      </w:pPr>
    </w:p>
    <w:p>
      <w:pPr>
        <w:pStyle w:val="Heading3"/>
        <w:numPr>
          <w:ilvl w:val="1"/>
          <w:numId w:val="21"/>
        </w:numPr>
        <w:tabs>
          <w:tab w:pos="1535" w:val="left" w:leader="none"/>
        </w:tabs>
        <w:spacing w:line="240" w:lineRule="auto" w:before="73" w:after="0"/>
        <w:ind w:left="1534" w:right="0" w:hanging="360"/>
        <w:jc w:val="left"/>
      </w:pPr>
      <w:bookmarkStart w:name="_bookmark175" w:id="299"/>
      <w:bookmarkEnd w:id="299"/>
      <w:r>
        <w:rPr>
          <w:b w:val="0"/>
        </w:rPr>
      </w:r>
      <w:bookmarkStart w:name="_bookmark175" w:id="300"/>
      <w:bookmarkEnd w:id="300"/>
      <w:r>
        <w:rPr/>
        <w:t>D</w:t>
      </w:r>
      <w:r>
        <w:rPr/>
        <w:t>iscussion</w:t>
      </w:r>
    </w:p>
    <w:p>
      <w:pPr>
        <w:pStyle w:val="BodyText"/>
        <w:spacing w:before="7"/>
        <w:rPr>
          <w:b/>
          <w:sz w:val="29"/>
        </w:rPr>
      </w:pPr>
    </w:p>
    <w:p>
      <w:pPr>
        <w:pStyle w:val="ListParagraph"/>
        <w:numPr>
          <w:ilvl w:val="0"/>
          <w:numId w:val="29"/>
        </w:numPr>
        <w:tabs>
          <w:tab w:pos="1110" w:val="left" w:leader="none"/>
        </w:tabs>
        <w:spacing w:line="240" w:lineRule="auto" w:before="1" w:after="0"/>
        <w:ind w:left="1110" w:right="0" w:hanging="360"/>
        <w:jc w:val="left"/>
        <w:rPr>
          <w:sz w:val="24"/>
        </w:rPr>
      </w:pPr>
      <w:bookmarkStart w:name="_bookmark176" w:id="301"/>
      <w:bookmarkEnd w:id="301"/>
      <w:r>
        <w:rPr/>
      </w:r>
      <w:bookmarkStart w:name="_bookmark176" w:id="302"/>
      <w:bookmarkEnd w:id="302"/>
      <w:r>
        <w:rPr>
          <w:sz w:val="24"/>
          <w:u w:val="single"/>
        </w:rPr>
        <w:t>L</w:t>
      </w:r>
      <w:r>
        <w:rPr>
          <w:sz w:val="24"/>
          <w:u w:val="single"/>
        </w:rPr>
        <w:t>es patients inclus dans</w:t>
      </w:r>
      <w:r>
        <w:rPr>
          <w:spacing w:val="-7"/>
          <w:sz w:val="24"/>
          <w:u w:val="single"/>
        </w:rPr>
        <w:t> </w:t>
      </w:r>
      <w:r>
        <w:rPr>
          <w:sz w:val="24"/>
          <w:u w:val="single"/>
        </w:rPr>
        <w:t>l’étude</w:t>
      </w:r>
    </w:p>
    <w:p>
      <w:pPr>
        <w:pStyle w:val="BodyText"/>
        <w:rPr>
          <w:sz w:val="20"/>
        </w:rPr>
      </w:pPr>
    </w:p>
    <w:p>
      <w:pPr>
        <w:pStyle w:val="BodyText"/>
        <w:spacing w:before="11"/>
        <w:rPr>
          <w:sz w:val="21"/>
        </w:rPr>
      </w:pPr>
    </w:p>
    <w:p>
      <w:pPr>
        <w:pStyle w:val="BodyText"/>
        <w:spacing w:line="259" w:lineRule="auto"/>
        <w:ind w:left="116" w:right="114" w:firstLine="707"/>
        <w:jc w:val="both"/>
      </w:pPr>
      <w:r>
        <w:rPr/>
        <w:t>Les patients inclus dans l’étude présentent une grande variété de tumeurs, rendant difficile l’harmonisation des résultats (pour les tumeurs solides, il y a 12 tumeurs différentes pour 12 patients). Les différences épidémiologiques (différentes espèces, différentes races) ainsi que la variété des traitements antérieurs reçus ajoutent à l’hétérogénéité des patients.</w:t>
      </w:r>
    </w:p>
    <w:p>
      <w:pPr>
        <w:pStyle w:val="BodyText"/>
        <w:spacing w:line="259" w:lineRule="auto" w:before="163"/>
        <w:ind w:left="116" w:right="114" w:firstLine="707"/>
        <w:jc w:val="both"/>
      </w:pPr>
      <w:r>
        <w:rPr/>
        <w:t>Concernant les hémopathies malignes, les lymphomes n’ont pas été caractérisés et classés en sous-types. L’information la plus précise est celle de « lymphome B », mais de nombreuses catégories peuvent être déclinées (Ponce et al., 2010), influençant le pronostic et les choix de traitement. Il est donc difficile de comparer ces lymphomes entre eux, car ils ne présentent pas le même comportement selon leur sous-catégorie.</w:t>
      </w:r>
    </w:p>
    <w:p>
      <w:pPr>
        <w:pStyle w:val="BodyText"/>
        <w:spacing w:line="259" w:lineRule="auto" w:before="163"/>
        <w:ind w:left="116" w:right="114" w:firstLine="707"/>
        <w:jc w:val="both"/>
      </w:pPr>
      <w:r>
        <w:rPr/>
        <w:t>Les</w:t>
      </w:r>
      <w:r>
        <w:rPr>
          <w:spacing w:val="-7"/>
        </w:rPr>
        <w:t> </w:t>
      </w:r>
      <w:r>
        <w:rPr/>
        <w:t>bilans</w:t>
      </w:r>
      <w:r>
        <w:rPr>
          <w:spacing w:val="-7"/>
        </w:rPr>
        <w:t> </w:t>
      </w:r>
      <w:r>
        <w:rPr/>
        <w:t>d’extension</w:t>
      </w:r>
      <w:r>
        <w:rPr>
          <w:spacing w:val="-7"/>
        </w:rPr>
        <w:t> </w:t>
      </w:r>
      <w:r>
        <w:rPr/>
        <w:t>ont</w:t>
      </w:r>
      <w:r>
        <w:rPr>
          <w:spacing w:val="-7"/>
        </w:rPr>
        <w:t> </w:t>
      </w:r>
      <w:r>
        <w:rPr/>
        <w:t>parfois</w:t>
      </w:r>
      <w:r>
        <w:rPr>
          <w:spacing w:val="-7"/>
        </w:rPr>
        <w:t> </w:t>
      </w:r>
      <w:r>
        <w:rPr/>
        <w:t>été</w:t>
      </w:r>
      <w:r>
        <w:rPr>
          <w:spacing w:val="-8"/>
        </w:rPr>
        <w:t> </w:t>
      </w:r>
      <w:r>
        <w:rPr/>
        <w:t>effectués</w:t>
      </w:r>
      <w:r>
        <w:rPr>
          <w:spacing w:val="-7"/>
        </w:rPr>
        <w:t> </w:t>
      </w:r>
      <w:r>
        <w:rPr/>
        <w:t>(scanner),</w:t>
      </w:r>
      <w:r>
        <w:rPr>
          <w:spacing w:val="-7"/>
        </w:rPr>
        <w:t> </w:t>
      </w:r>
      <w:r>
        <w:rPr/>
        <w:t>mais</w:t>
      </w:r>
      <w:r>
        <w:rPr>
          <w:spacing w:val="-7"/>
        </w:rPr>
        <w:t> </w:t>
      </w:r>
      <w:r>
        <w:rPr/>
        <w:t>certains</w:t>
      </w:r>
      <w:r>
        <w:rPr>
          <w:spacing w:val="-6"/>
        </w:rPr>
        <w:t> </w:t>
      </w:r>
      <w:r>
        <w:rPr/>
        <w:t>sont</w:t>
      </w:r>
      <w:r>
        <w:rPr>
          <w:spacing w:val="-7"/>
        </w:rPr>
        <w:t> </w:t>
      </w:r>
      <w:r>
        <w:rPr/>
        <w:t>incomplets (pas de cytoponctions ou de ponction de moelle pour les hémopathies malignes, pas d’investigation systématique du nœud lymphatique sentinelle pour les tumeurs solides) ou inexistants (cas référés sans informations détaillées par</w:t>
      </w:r>
      <w:r>
        <w:rPr>
          <w:spacing w:val="-12"/>
        </w:rPr>
        <w:t> </w:t>
      </w:r>
      <w:r>
        <w:rPr/>
        <w:t>exemple).</w:t>
      </w:r>
    </w:p>
    <w:p>
      <w:pPr>
        <w:pStyle w:val="BodyText"/>
        <w:rPr>
          <w:sz w:val="26"/>
        </w:rPr>
      </w:pPr>
    </w:p>
    <w:p>
      <w:pPr>
        <w:pStyle w:val="BodyText"/>
        <w:rPr>
          <w:sz w:val="28"/>
        </w:rPr>
      </w:pPr>
    </w:p>
    <w:p>
      <w:pPr>
        <w:pStyle w:val="ListParagraph"/>
        <w:numPr>
          <w:ilvl w:val="0"/>
          <w:numId w:val="29"/>
        </w:numPr>
        <w:tabs>
          <w:tab w:pos="1110" w:val="left" w:leader="none"/>
        </w:tabs>
        <w:spacing w:line="240" w:lineRule="auto" w:before="1" w:after="0"/>
        <w:ind w:left="1110" w:right="0" w:hanging="360"/>
        <w:jc w:val="left"/>
        <w:rPr>
          <w:sz w:val="24"/>
        </w:rPr>
      </w:pPr>
      <w:bookmarkStart w:name="_bookmark177" w:id="303"/>
      <w:bookmarkEnd w:id="303"/>
      <w:r>
        <w:rPr/>
      </w:r>
      <w:bookmarkStart w:name="_bookmark177" w:id="304"/>
      <w:bookmarkEnd w:id="304"/>
      <w:r>
        <w:rPr>
          <w:sz w:val="24"/>
          <w:u w:val="single"/>
        </w:rPr>
        <w:t>L</w:t>
      </w:r>
      <w:r>
        <w:rPr>
          <w:sz w:val="24"/>
          <w:u w:val="single"/>
        </w:rPr>
        <w:t>es critères de choix des molécules</w:t>
      </w:r>
      <w:r>
        <w:rPr>
          <w:spacing w:val="-8"/>
          <w:sz w:val="24"/>
          <w:u w:val="single"/>
        </w:rPr>
        <w:t> </w:t>
      </w:r>
      <w:r>
        <w:rPr>
          <w:sz w:val="24"/>
          <w:u w:val="single"/>
        </w:rPr>
        <w:t>utilisées</w:t>
      </w:r>
    </w:p>
    <w:p>
      <w:pPr>
        <w:pStyle w:val="BodyText"/>
        <w:rPr>
          <w:sz w:val="20"/>
        </w:rPr>
      </w:pPr>
    </w:p>
    <w:p>
      <w:pPr>
        <w:pStyle w:val="BodyText"/>
        <w:spacing w:before="9"/>
        <w:rPr>
          <w:sz w:val="21"/>
        </w:rPr>
      </w:pPr>
    </w:p>
    <w:p>
      <w:pPr>
        <w:pStyle w:val="BodyText"/>
        <w:spacing w:line="259" w:lineRule="auto"/>
        <w:ind w:left="116" w:right="116" w:firstLine="707"/>
        <w:jc w:val="both"/>
      </w:pPr>
      <w:r>
        <w:rPr/>
        <w:t>Le contexte en médecine vétérinaire du préalable à l’étude, réalisé dans la partie 2, I.B, reprend</w:t>
      </w:r>
      <w:r>
        <w:rPr>
          <w:spacing w:val="-7"/>
        </w:rPr>
        <w:t> </w:t>
      </w:r>
      <w:r>
        <w:rPr/>
        <w:t>la</w:t>
      </w:r>
      <w:r>
        <w:rPr>
          <w:spacing w:val="-8"/>
        </w:rPr>
        <w:t> </w:t>
      </w:r>
      <w:r>
        <w:rPr/>
        <w:t>littérature</w:t>
      </w:r>
      <w:r>
        <w:rPr>
          <w:spacing w:val="-8"/>
        </w:rPr>
        <w:t> </w:t>
      </w:r>
      <w:r>
        <w:rPr/>
        <w:t>disponible</w:t>
      </w:r>
      <w:r>
        <w:rPr>
          <w:spacing w:val="-8"/>
        </w:rPr>
        <w:t> </w:t>
      </w:r>
      <w:r>
        <w:rPr/>
        <w:t>aboutissant</w:t>
      </w:r>
      <w:r>
        <w:rPr>
          <w:spacing w:val="-7"/>
        </w:rPr>
        <w:t> </w:t>
      </w:r>
      <w:r>
        <w:rPr/>
        <w:t>au</w:t>
      </w:r>
      <w:r>
        <w:rPr>
          <w:spacing w:val="-7"/>
        </w:rPr>
        <w:t> </w:t>
      </w:r>
      <w:r>
        <w:rPr/>
        <w:t>choix</w:t>
      </w:r>
      <w:r>
        <w:rPr>
          <w:spacing w:val="-5"/>
        </w:rPr>
        <w:t> </w:t>
      </w:r>
      <w:r>
        <w:rPr/>
        <w:t>des</w:t>
      </w:r>
      <w:r>
        <w:rPr>
          <w:spacing w:val="-9"/>
        </w:rPr>
        <w:t> </w:t>
      </w:r>
      <w:r>
        <w:rPr/>
        <w:t>molécules</w:t>
      </w:r>
      <w:r>
        <w:rPr>
          <w:spacing w:val="-8"/>
        </w:rPr>
        <w:t> </w:t>
      </w:r>
      <w:r>
        <w:rPr/>
        <w:t>utilisées</w:t>
      </w:r>
      <w:r>
        <w:rPr>
          <w:spacing w:val="-7"/>
        </w:rPr>
        <w:t> </w:t>
      </w:r>
      <w:r>
        <w:rPr/>
        <w:t>par</w:t>
      </w:r>
      <w:r>
        <w:rPr>
          <w:spacing w:val="-8"/>
        </w:rPr>
        <w:t> </w:t>
      </w:r>
      <w:r>
        <w:rPr/>
        <w:t>voie</w:t>
      </w:r>
      <w:r>
        <w:rPr>
          <w:spacing w:val="-8"/>
        </w:rPr>
        <w:t> </w:t>
      </w:r>
      <w:r>
        <w:rPr/>
        <w:t>orale.</w:t>
      </w:r>
      <w:r>
        <w:rPr>
          <w:spacing w:val="-5"/>
        </w:rPr>
        <w:t> </w:t>
      </w:r>
      <w:r>
        <w:rPr/>
        <w:t>Les doses</w:t>
      </w:r>
      <w:r>
        <w:rPr>
          <w:spacing w:val="-5"/>
        </w:rPr>
        <w:t> </w:t>
      </w:r>
      <w:r>
        <w:rPr/>
        <w:t>utilisées</w:t>
      </w:r>
      <w:r>
        <w:rPr>
          <w:spacing w:val="-5"/>
        </w:rPr>
        <w:t> </w:t>
      </w:r>
      <w:r>
        <w:rPr/>
        <w:t>s’inspirent</w:t>
      </w:r>
      <w:r>
        <w:rPr>
          <w:spacing w:val="-2"/>
        </w:rPr>
        <w:t> </w:t>
      </w:r>
      <w:r>
        <w:rPr/>
        <w:t>des</w:t>
      </w:r>
      <w:r>
        <w:rPr>
          <w:spacing w:val="-5"/>
        </w:rPr>
        <w:t> </w:t>
      </w:r>
      <w:r>
        <w:rPr/>
        <w:t>résultats</w:t>
      </w:r>
      <w:r>
        <w:rPr>
          <w:spacing w:val="-4"/>
        </w:rPr>
        <w:t> </w:t>
      </w:r>
      <w:r>
        <w:rPr/>
        <w:t>de</w:t>
      </w:r>
      <w:r>
        <w:rPr>
          <w:spacing w:val="-6"/>
        </w:rPr>
        <w:t> </w:t>
      </w:r>
      <w:r>
        <w:rPr/>
        <w:t>la</w:t>
      </w:r>
      <w:r>
        <w:rPr>
          <w:spacing w:val="-5"/>
        </w:rPr>
        <w:t> </w:t>
      </w:r>
      <w:r>
        <w:rPr/>
        <w:t>littérature.</w:t>
      </w:r>
      <w:r>
        <w:rPr>
          <w:spacing w:val="-5"/>
        </w:rPr>
        <w:t> </w:t>
      </w:r>
      <w:r>
        <w:rPr/>
        <w:t>Néanmoins,</w:t>
      </w:r>
      <w:r>
        <w:rPr>
          <w:spacing w:val="-5"/>
        </w:rPr>
        <w:t> </w:t>
      </w:r>
      <w:r>
        <w:rPr/>
        <w:t>les</w:t>
      </w:r>
      <w:r>
        <w:rPr>
          <w:spacing w:val="-5"/>
        </w:rPr>
        <w:t> </w:t>
      </w:r>
      <w:r>
        <w:rPr/>
        <w:t>doses</w:t>
      </w:r>
      <w:r>
        <w:rPr>
          <w:spacing w:val="-5"/>
        </w:rPr>
        <w:t> </w:t>
      </w:r>
      <w:r>
        <w:rPr/>
        <w:t>de</w:t>
      </w:r>
      <w:r>
        <w:rPr>
          <w:spacing w:val="-6"/>
        </w:rPr>
        <w:t> </w:t>
      </w:r>
      <w:r>
        <w:rPr/>
        <w:t>DCA</w:t>
      </w:r>
      <w:r>
        <w:rPr>
          <w:spacing w:val="-5"/>
        </w:rPr>
        <w:t> </w:t>
      </w:r>
      <w:r>
        <w:rPr/>
        <w:t>utilisées dans cette étude préliminaire sont plus élevées chez le chien (10-20 mg/kg BID) que celles de la littérature (suggestion de 5 mg/kg BID). Le DCA a été utilisé chez le chat (pas d’évidence trouvée dans la littérature) entre 10 et 20 mg/kg et aucun effet secondaire n’a été observé pour cette</w:t>
      </w:r>
      <w:r>
        <w:rPr>
          <w:spacing w:val="-6"/>
        </w:rPr>
        <w:t> </w:t>
      </w:r>
      <w:r>
        <w:rPr/>
        <w:t>espèce.</w:t>
      </w:r>
    </w:p>
    <w:p>
      <w:pPr>
        <w:pStyle w:val="BodyText"/>
        <w:spacing w:line="259" w:lineRule="auto" w:before="163"/>
        <w:ind w:left="116" w:right="116" w:firstLine="707"/>
        <w:jc w:val="both"/>
      </w:pPr>
      <w:r>
        <w:rPr/>
        <w:t>Il n’y a pas eu de démarche systématique dans l’établissement des protocoles (différentes molécules selon les cas, en association ou non avec de la chimiothérapie), ce qui rend</w:t>
      </w:r>
      <w:r>
        <w:rPr>
          <w:spacing w:val="-5"/>
        </w:rPr>
        <w:t> </w:t>
      </w:r>
      <w:r>
        <w:rPr/>
        <w:t>impossible</w:t>
      </w:r>
      <w:r>
        <w:rPr>
          <w:spacing w:val="-5"/>
        </w:rPr>
        <w:t> </w:t>
      </w:r>
      <w:r>
        <w:rPr/>
        <w:t>l’évaluation</w:t>
      </w:r>
      <w:r>
        <w:rPr>
          <w:spacing w:val="-4"/>
        </w:rPr>
        <w:t> </w:t>
      </w:r>
      <w:r>
        <w:rPr/>
        <w:t>de</w:t>
      </w:r>
      <w:r>
        <w:rPr>
          <w:spacing w:val="-6"/>
        </w:rPr>
        <w:t> </w:t>
      </w:r>
      <w:r>
        <w:rPr/>
        <w:t>la</w:t>
      </w:r>
      <w:r>
        <w:rPr>
          <w:spacing w:val="-5"/>
        </w:rPr>
        <w:t> </w:t>
      </w:r>
      <w:r>
        <w:rPr/>
        <w:t>tolérance</w:t>
      </w:r>
      <w:r>
        <w:rPr>
          <w:spacing w:val="-6"/>
        </w:rPr>
        <w:t> </w:t>
      </w:r>
      <w:r>
        <w:rPr/>
        <w:t>ou</w:t>
      </w:r>
      <w:r>
        <w:rPr>
          <w:spacing w:val="-5"/>
        </w:rPr>
        <w:t> </w:t>
      </w:r>
      <w:r>
        <w:rPr/>
        <w:t>de</w:t>
      </w:r>
      <w:r>
        <w:rPr>
          <w:spacing w:val="-6"/>
        </w:rPr>
        <w:t> </w:t>
      </w:r>
      <w:r>
        <w:rPr/>
        <w:t>l’efficacité</w:t>
      </w:r>
      <w:r>
        <w:rPr>
          <w:spacing w:val="-6"/>
        </w:rPr>
        <w:t> </w:t>
      </w:r>
      <w:r>
        <w:rPr/>
        <w:t>pour</w:t>
      </w:r>
      <w:r>
        <w:rPr>
          <w:spacing w:val="-6"/>
        </w:rPr>
        <w:t> </w:t>
      </w:r>
      <w:r>
        <w:rPr/>
        <w:t>une</w:t>
      </w:r>
      <w:r>
        <w:rPr>
          <w:spacing w:val="-6"/>
        </w:rPr>
        <w:t> </w:t>
      </w:r>
      <w:r>
        <w:rPr/>
        <w:t>molécule</w:t>
      </w:r>
      <w:r>
        <w:rPr>
          <w:spacing w:val="-5"/>
        </w:rPr>
        <w:t> </w:t>
      </w:r>
      <w:r>
        <w:rPr/>
        <w:t>en</w:t>
      </w:r>
      <w:r>
        <w:rPr>
          <w:spacing w:val="-5"/>
        </w:rPr>
        <w:t> </w:t>
      </w:r>
      <w:r>
        <w:rPr/>
        <w:t>particulier. Le terme de thérapie métabolique est donc généralement utilisé, sauf dans les cas où l’impact d’une molécule peut être</w:t>
      </w:r>
      <w:r>
        <w:rPr>
          <w:spacing w:val="-8"/>
        </w:rPr>
        <w:t> </w:t>
      </w:r>
      <w:r>
        <w:rPr/>
        <w:t>dégagé.</w:t>
      </w:r>
    </w:p>
    <w:p>
      <w:pPr>
        <w:pStyle w:val="BodyText"/>
        <w:rPr>
          <w:sz w:val="26"/>
        </w:rPr>
      </w:pPr>
    </w:p>
    <w:p>
      <w:pPr>
        <w:pStyle w:val="BodyText"/>
        <w:rPr>
          <w:sz w:val="28"/>
        </w:rPr>
      </w:pPr>
    </w:p>
    <w:p>
      <w:pPr>
        <w:pStyle w:val="ListParagraph"/>
        <w:numPr>
          <w:ilvl w:val="0"/>
          <w:numId w:val="29"/>
        </w:numPr>
        <w:tabs>
          <w:tab w:pos="1110" w:val="left" w:leader="none"/>
        </w:tabs>
        <w:spacing w:line="240" w:lineRule="auto" w:before="0" w:after="0"/>
        <w:ind w:left="1110" w:right="0" w:hanging="360"/>
        <w:jc w:val="left"/>
        <w:rPr>
          <w:sz w:val="24"/>
        </w:rPr>
      </w:pPr>
      <w:bookmarkStart w:name="_bookmark178" w:id="305"/>
      <w:bookmarkEnd w:id="305"/>
      <w:r>
        <w:rPr/>
      </w:r>
      <w:bookmarkStart w:name="_bookmark178" w:id="306"/>
      <w:bookmarkEnd w:id="306"/>
      <w:r>
        <w:rPr>
          <w:sz w:val="24"/>
          <w:u w:val="single"/>
        </w:rPr>
        <w:t>L</w:t>
      </w:r>
      <w:r>
        <w:rPr>
          <w:sz w:val="24"/>
          <w:u w:val="single"/>
        </w:rPr>
        <w:t>a tolérance des animaux à la thérapie</w:t>
      </w:r>
      <w:r>
        <w:rPr>
          <w:spacing w:val="-6"/>
          <w:sz w:val="24"/>
          <w:u w:val="single"/>
        </w:rPr>
        <w:t> </w:t>
      </w:r>
      <w:r>
        <w:rPr>
          <w:sz w:val="24"/>
          <w:u w:val="single"/>
        </w:rPr>
        <w:t>métabolique</w:t>
      </w:r>
    </w:p>
    <w:p>
      <w:pPr>
        <w:pStyle w:val="BodyText"/>
        <w:rPr>
          <w:sz w:val="20"/>
        </w:rPr>
      </w:pPr>
    </w:p>
    <w:p>
      <w:pPr>
        <w:pStyle w:val="BodyText"/>
        <w:spacing w:before="8"/>
        <w:rPr>
          <w:sz w:val="21"/>
        </w:rPr>
      </w:pPr>
    </w:p>
    <w:p>
      <w:pPr>
        <w:pStyle w:val="BodyText"/>
        <w:spacing w:line="259" w:lineRule="auto"/>
        <w:ind w:left="116" w:right="115" w:firstLine="707"/>
        <w:jc w:val="both"/>
      </w:pPr>
      <w:r>
        <w:rPr/>
        <w:t>La tolérance est ici comprise comme la capacité de l'organisme à supporter, sans effet secondaire gênant, l'administration de la thérapie. L’étude descriptive réalisée permet de conclure à une bonne tolérance des animaux concernant l’utilisation des molécules ciblant le métabolisme de la cellule tumorale.</w:t>
      </w:r>
    </w:p>
    <w:p>
      <w:pPr>
        <w:spacing w:after="0" w:line="259" w:lineRule="auto"/>
        <w:jc w:val="both"/>
        <w:sectPr>
          <w:pgSz w:w="11910" w:h="16840"/>
          <w:pgMar w:header="0" w:footer="1055" w:top="1320" w:bottom="1240" w:left="1300" w:right="1300"/>
        </w:sectPr>
      </w:pPr>
    </w:p>
    <w:p>
      <w:pPr>
        <w:pStyle w:val="BodyText"/>
        <w:spacing w:line="259" w:lineRule="auto" w:before="72"/>
        <w:ind w:left="116" w:right="115" w:firstLine="707"/>
        <w:jc w:val="both"/>
      </w:pPr>
      <w:r>
        <w:rPr/>
        <w:t>Les propriétaires rapportent une bonne qualité de vie de l’animal, et les effets indésirables d’ordre gastro-intestinal sont rapportés pour un tiers des cas. Un traitement symptomatique</w:t>
      </w:r>
      <w:r>
        <w:rPr>
          <w:spacing w:val="-13"/>
        </w:rPr>
        <w:t> </w:t>
      </w:r>
      <w:r>
        <w:rPr/>
        <w:t>permet</w:t>
      </w:r>
      <w:r>
        <w:rPr>
          <w:spacing w:val="-12"/>
        </w:rPr>
        <w:t> </w:t>
      </w:r>
      <w:r>
        <w:rPr/>
        <w:t>de</w:t>
      </w:r>
      <w:r>
        <w:rPr>
          <w:spacing w:val="-13"/>
        </w:rPr>
        <w:t> </w:t>
      </w:r>
      <w:r>
        <w:rPr/>
        <w:t>limiter</w:t>
      </w:r>
      <w:r>
        <w:rPr>
          <w:spacing w:val="-13"/>
        </w:rPr>
        <w:t> </w:t>
      </w:r>
      <w:r>
        <w:rPr/>
        <w:t>diarrhées</w:t>
      </w:r>
      <w:r>
        <w:rPr>
          <w:spacing w:val="-10"/>
        </w:rPr>
        <w:t> </w:t>
      </w:r>
      <w:r>
        <w:rPr/>
        <w:t>et</w:t>
      </w:r>
      <w:r>
        <w:rPr>
          <w:spacing w:val="-12"/>
        </w:rPr>
        <w:t> </w:t>
      </w:r>
      <w:r>
        <w:rPr/>
        <w:t>vomissements.</w:t>
      </w:r>
      <w:r>
        <w:rPr>
          <w:spacing w:val="-11"/>
        </w:rPr>
        <w:t> </w:t>
      </w:r>
      <w:r>
        <w:rPr/>
        <w:t>Si</w:t>
      </w:r>
      <w:r>
        <w:rPr>
          <w:spacing w:val="-12"/>
        </w:rPr>
        <w:t> </w:t>
      </w:r>
      <w:r>
        <w:rPr/>
        <w:t>l’utilisation</w:t>
      </w:r>
      <w:r>
        <w:rPr>
          <w:spacing w:val="-14"/>
        </w:rPr>
        <w:t> </w:t>
      </w:r>
      <w:r>
        <w:rPr/>
        <w:t>de</w:t>
      </w:r>
      <w:r>
        <w:rPr>
          <w:spacing w:val="-13"/>
        </w:rPr>
        <w:t> </w:t>
      </w:r>
      <w:r>
        <w:rPr/>
        <w:t>la</w:t>
      </w:r>
      <w:r>
        <w:rPr>
          <w:spacing w:val="-9"/>
        </w:rPr>
        <w:t> </w:t>
      </w:r>
      <w:r>
        <w:rPr/>
        <w:t>MET</w:t>
      </w:r>
      <w:r>
        <w:rPr>
          <w:spacing w:val="-12"/>
        </w:rPr>
        <w:t> </w:t>
      </w:r>
      <w:r>
        <w:rPr/>
        <w:t>entraîne de</w:t>
      </w:r>
      <w:r>
        <w:rPr>
          <w:spacing w:val="-5"/>
        </w:rPr>
        <w:t> </w:t>
      </w:r>
      <w:r>
        <w:rPr/>
        <w:t>l’anorexie</w:t>
      </w:r>
      <w:r>
        <w:rPr>
          <w:spacing w:val="-4"/>
        </w:rPr>
        <w:t> </w:t>
      </w:r>
      <w:r>
        <w:rPr/>
        <w:t>lors</w:t>
      </w:r>
      <w:r>
        <w:rPr>
          <w:spacing w:val="-4"/>
        </w:rPr>
        <w:t> </w:t>
      </w:r>
      <w:r>
        <w:rPr/>
        <w:t>de</w:t>
      </w:r>
      <w:r>
        <w:rPr>
          <w:spacing w:val="-5"/>
        </w:rPr>
        <w:t> </w:t>
      </w:r>
      <w:r>
        <w:rPr/>
        <w:t>l’augmentation</w:t>
      </w:r>
      <w:r>
        <w:rPr>
          <w:spacing w:val="-4"/>
        </w:rPr>
        <w:t> </w:t>
      </w:r>
      <w:r>
        <w:rPr/>
        <w:t>des</w:t>
      </w:r>
      <w:r>
        <w:rPr>
          <w:spacing w:val="-4"/>
        </w:rPr>
        <w:t> </w:t>
      </w:r>
      <w:r>
        <w:rPr/>
        <w:t>doses</w:t>
      </w:r>
      <w:r>
        <w:rPr>
          <w:spacing w:val="-2"/>
        </w:rPr>
        <w:t> </w:t>
      </w:r>
      <w:r>
        <w:rPr/>
        <w:t>(comme</w:t>
      </w:r>
      <w:r>
        <w:rPr>
          <w:spacing w:val="-5"/>
        </w:rPr>
        <w:t> </w:t>
      </w:r>
      <w:r>
        <w:rPr/>
        <w:t>chez</w:t>
      </w:r>
      <w:r>
        <w:rPr>
          <w:spacing w:val="-3"/>
        </w:rPr>
        <w:t> </w:t>
      </w:r>
      <w:r>
        <w:rPr/>
        <w:t>l’humain),</w:t>
      </w:r>
      <w:r>
        <w:rPr>
          <w:spacing w:val="-5"/>
        </w:rPr>
        <w:t> </w:t>
      </w:r>
      <w:r>
        <w:rPr/>
        <w:t>le</w:t>
      </w:r>
      <w:r>
        <w:rPr>
          <w:spacing w:val="-5"/>
        </w:rPr>
        <w:t> </w:t>
      </w:r>
      <w:r>
        <w:rPr/>
        <w:t>passage</w:t>
      </w:r>
      <w:r>
        <w:rPr>
          <w:spacing w:val="-2"/>
        </w:rPr>
        <w:t> </w:t>
      </w:r>
      <w:r>
        <w:rPr/>
        <w:t>à</w:t>
      </w:r>
      <w:r>
        <w:rPr>
          <w:spacing w:val="-5"/>
        </w:rPr>
        <w:t> </w:t>
      </w:r>
      <w:r>
        <w:rPr/>
        <w:t>une</w:t>
      </w:r>
      <w:r>
        <w:rPr>
          <w:spacing w:val="-3"/>
        </w:rPr>
        <w:t> </w:t>
      </w:r>
      <w:r>
        <w:rPr/>
        <w:t>ration ménagère permettrait de stimuler l’appétit de l’animal. Cependant, un suivi des effets secondaires plus précis, tels qu’effectué dans les études de Spugnini et al., permettrait de préciser</w:t>
      </w:r>
      <w:r>
        <w:rPr>
          <w:spacing w:val="-3"/>
        </w:rPr>
        <w:t> </w:t>
      </w:r>
      <w:r>
        <w:rPr/>
        <w:t>nos</w:t>
      </w:r>
      <w:r>
        <w:rPr>
          <w:spacing w:val="-4"/>
        </w:rPr>
        <w:t> </w:t>
      </w:r>
      <w:r>
        <w:rPr/>
        <w:t>résultats</w:t>
      </w:r>
      <w:r>
        <w:rPr>
          <w:spacing w:val="-4"/>
        </w:rPr>
        <w:t> </w:t>
      </w:r>
      <w:r>
        <w:rPr/>
        <w:t>et</w:t>
      </w:r>
      <w:r>
        <w:rPr>
          <w:spacing w:val="-3"/>
        </w:rPr>
        <w:t> </w:t>
      </w:r>
      <w:r>
        <w:rPr/>
        <w:t>de</w:t>
      </w:r>
      <w:r>
        <w:rPr>
          <w:spacing w:val="-5"/>
        </w:rPr>
        <w:t> </w:t>
      </w:r>
      <w:r>
        <w:rPr/>
        <w:t>mieux</w:t>
      </w:r>
      <w:r>
        <w:rPr>
          <w:spacing w:val="-2"/>
        </w:rPr>
        <w:t> </w:t>
      </w:r>
      <w:r>
        <w:rPr/>
        <w:t>évaluer</w:t>
      </w:r>
      <w:r>
        <w:rPr>
          <w:spacing w:val="-5"/>
        </w:rPr>
        <w:t> </w:t>
      </w:r>
      <w:r>
        <w:rPr/>
        <w:t>l’impact</w:t>
      </w:r>
      <w:r>
        <w:rPr>
          <w:spacing w:val="-1"/>
        </w:rPr>
        <w:t> </w:t>
      </w:r>
      <w:r>
        <w:rPr/>
        <w:t>des</w:t>
      </w:r>
      <w:r>
        <w:rPr>
          <w:spacing w:val="-4"/>
        </w:rPr>
        <w:t> </w:t>
      </w:r>
      <w:r>
        <w:rPr/>
        <w:t>molécules</w:t>
      </w:r>
      <w:r>
        <w:rPr>
          <w:spacing w:val="-4"/>
        </w:rPr>
        <w:t> </w:t>
      </w:r>
      <w:r>
        <w:rPr/>
        <w:t>utilisées</w:t>
      </w:r>
      <w:r>
        <w:rPr>
          <w:spacing w:val="-4"/>
        </w:rPr>
        <w:t> </w:t>
      </w:r>
      <w:r>
        <w:rPr/>
        <w:t>sur</w:t>
      </w:r>
      <w:r>
        <w:rPr>
          <w:spacing w:val="-5"/>
        </w:rPr>
        <w:t> </w:t>
      </w:r>
      <w:r>
        <w:rPr/>
        <w:t>l’état</w:t>
      </w:r>
      <w:r>
        <w:rPr>
          <w:spacing w:val="-4"/>
        </w:rPr>
        <w:t> </w:t>
      </w:r>
      <w:r>
        <w:rPr/>
        <w:t>clinique</w:t>
      </w:r>
      <w:r>
        <w:rPr>
          <w:spacing w:val="-4"/>
        </w:rPr>
        <w:t> </w:t>
      </w:r>
      <w:r>
        <w:rPr/>
        <w:t>de l’animal. Une évaluation plus rigoureuse de la qualité de vie de l’animal doit être réalisée pour renforcer</w:t>
      </w:r>
      <w:r>
        <w:rPr>
          <w:spacing w:val="-5"/>
        </w:rPr>
        <w:t> </w:t>
      </w:r>
      <w:r>
        <w:rPr/>
        <w:t>les</w:t>
      </w:r>
      <w:r>
        <w:rPr>
          <w:spacing w:val="-4"/>
        </w:rPr>
        <w:t> </w:t>
      </w:r>
      <w:r>
        <w:rPr/>
        <w:t>résultats,</w:t>
      </w:r>
      <w:r>
        <w:rPr>
          <w:spacing w:val="-5"/>
        </w:rPr>
        <w:t> </w:t>
      </w:r>
      <w:r>
        <w:rPr/>
        <w:t>d’autant</w:t>
      </w:r>
      <w:r>
        <w:rPr>
          <w:spacing w:val="-6"/>
        </w:rPr>
        <w:t> </w:t>
      </w:r>
      <w:r>
        <w:rPr/>
        <w:t>plus</w:t>
      </w:r>
      <w:r>
        <w:rPr>
          <w:spacing w:val="-6"/>
        </w:rPr>
        <w:t> </w:t>
      </w:r>
      <w:r>
        <w:rPr/>
        <w:t>que</w:t>
      </w:r>
      <w:r>
        <w:rPr>
          <w:spacing w:val="-5"/>
        </w:rPr>
        <w:t> </w:t>
      </w:r>
      <w:r>
        <w:rPr/>
        <w:t>ce</w:t>
      </w:r>
      <w:r>
        <w:rPr>
          <w:spacing w:val="-5"/>
        </w:rPr>
        <w:t> </w:t>
      </w:r>
      <w:r>
        <w:rPr/>
        <w:t>critère</w:t>
      </w:r>
      <w:r>
        <w:rPr>
          <w:spacing w:val="-3"/>
        </w:rPr>
        <w:t> </w:t>
      </w:r>
      <w:r>
        <w:rPr/>
        <w:t>est</w:t>
      </w:r>
      <w:r>
        <w:rPr>
          <w:spacing w:val="-6"/>
        </w:rPr>
        <w:t> </w:t>
      </w:r>
      <w:r>
        <w:rPr/>
        <w:t>bien</w:t>
      </w:r>
      <w:r>
        <w:rPr>
          <w:spacing w:val="-7"/>
        </w:rPr>
        <w:t> </w:t>
      </w:r>
      <w:r>
        <w:rPr/>
        <w:t>souvent</w:t>
      </w:r>
      <w:r>
        <w:rPr>
          <w:spacing w:val="-4"/>
        </w:rPr>
        <w:t> </w:t>
      </w:r>
      <w:r>
        <w:rPr/>
        <w:t>plus</w:t>
      </w:r>
      <w:r>
        <w:rPr>
          <w:spacing w:val="-6"/>
        </w:rPr>
        <w:t> </w:t>
      </w:r>
      <w:r>
        <w:rPr/>
        <w:t>important</w:t>
      </w:r>
      <w:r>
        <w:rPr>
          <w:spacing w:val="-6"/>
        </w:rPr>
        <w:t> </w:t>
      </w:r>
      <w:r>
        <w:rPr/>
        <w:t>que</w:t>
      </w:r>
      <w:r>
        <w:rPr>
          <w:spacing w:val="-7"/>
        </w:rPr>
        <w:t> </w:t>
      </w:r>
      <w:r>
        <w:rPr/>
        <w:t>la</w:t>
      </w:r>
      <w:r>
        <w:rPr>
          <w:spacing w:val="-7"/>
        </w:rPr>
        <w:t> </w:t>
      </w:r>
      <w:r>
        <w:rPr/>
        <w:t>survie de l’animal en</w:t>
      </w:r>
      <w:r>
        <w:rPr>
          <w:spacing w:val="-5"/>
        </w:rPr>
        <w:t> </w:t>
      </w:r>
      <w:r>
        <w:rPr/>
        <w:t>elle-même.</w:t>
      </w:r>
    </w:p>
    <w:p>
      <w:pPr>
        <w:pStyle w:val="BodyText"/>
        <w:spacing w:line="259" w:lineRule="auto" w:before="163"/>
        <w:ind w:left="116" w:right="116" w:firstLine="707"/>
        <w:jc w:val="both"/>
      </w:pPr>
      <w:r>
        <w:rPr/>
        <w:t>Aucun changement majeur des paramètres biochimiques et de la numération formule sanguine</w:t>
      </w:r>
      <w:r>
        <w:rPr>
          <w:spacing w:val="-8"/>
        </w:rPr>
        <w:t> </w:t>
      </w:r>
      <w:r>
        <w:rPr/>
        <w:t>n’est</w:t>
      </w:r>
      <w:r>
        <w:rPr>
          <w:spacing w:val="-7"/>
        </w:rPr>
        <w:t> </w:t>
      </w:r>
      <w:r>
        <w:rPr/>
        <w:t>attribuable</w:t>
      </w:r>
      <w:r>
        <w:rPr>
          <w:spacing w:val="-6"/>
        </w:rPr>
        <w:t> </w:t>
      </w:r>
      <w:r>
        <w:rPr/>
        <w:t>exclusivement</w:t>
      </w:r>
      <w:r>
        <w:rPr>
          <w:spacing w:val="-7"/>
        </w:rPr>
        <w:t> </w:t>
      </w:r>
      <w:r>
        <w:rPr/>
        <w:t>à</w:t>
      </w:r>
      <w:r>
        <w:rPr>
          <w:spacing w:val="-8"/>
        </w:rPr>
        <w:t> </w:t>
      </w:r>
      <w:r>
        <w:rPr/>
        <w:t>la</w:t>
      </w:r>
      <w:r>
        <w:rPr>
          <w:spacing w:val="-8"/>
        </w:rPr>
        <w:t> </w:t>
      </w:r>
      <w:r>
        <w:rPr/>
        <w:t>thérapie</w:t>
      </w:r>
      <w:r>
        <w:rPr>
          <w:spacing w:val="-8"/>
        </w:rPr>
        <w:t> </w:t>
      </w:r>
      <w:r>
        <w:rPr/>
        <w:t>métabolique.</w:t>
      </w:r>
      <w:r>
        <w:rPr>
          <w:spacing w:val="-5"/>
        </w:rPr>
        <w:t> </w:t>
      </w:r>
      <w:r>
        <w:rPr/>
        <w:t>Différents</w:t>
      </w:r>
      <w:r>
        <w:rPr>
          <w:spacing w:val="-7"/>
        </w:rPr>
        <w:t> </w:t>
      </w:r>
      <w:r>
        <w:rPr/>
        <w:t>protocoles</w:t>
      </w:r>
      <w:r>
        <w:rPr>
          <w:spacing w:val="-8"/>
        </w:rPr>
        <w:t> </w:t>
      </w:r>
      <w:r>
        <w:rPr/>
        <w:t>ayant été utilisés, en association ou non avec de la chimiothérapie, il est difficile d’attribuer les quelques changements observés à une molécule en</w:t>
      </w:r>
      <w:r>
        <w:rPr>
          <w:spacing w:val="-8"/>
        </w:rPr>
        <w:t> </w:t>
      </w:r>
      <w:r>
        <w:rPr/>
        <w:t>particulier.</w:t>
      </w:r>
    </w:p>
    <w:p>
      <w:pPr>
        <w:pStyle w:val="BodyText"/>
        <w:rPr>
          <w:sz w:val="26"/>
        </w:rPr>
      </w:pPr>
    </w:p>
    <w:p>
      <w:pPr>
        <w:pStyle w:val="BodyText"/>
        <w:spacing w:before="5"/>
        <w:rPr>
          <w:sz w:val="28"/>
        </w:rPr>
      </w:pPr>
    </w:p>
    <w:p>
      <w:pPr>
        <w:pStyle w:val="Heading5"/>
        <w:numPr>
          <w:ilvl w:val="1"/>
          <w:numId w:val="29"/>
        </w:numPr>
        <w:tabs>
          <w:tab w:pos="2252" w:val="left" w:leader="none"/>
          <w:tab w:pos="2253" w:val="left" w:leader="none"/>
        </w:tabs>
        <w:spacing w:line="240" w:lineRule="auto" w:before="0" w:after="0"/>
        <w:ind w:left="2252" w:right="0" w:hanging="720"/>
        <w:jc w:val="left"/>
        <w:rPr>
          <w:i/>
        </w:rPr>
      </w:pPr>
      <w:bookmarkStart w:name="_bookmark179" w:id="307"/>
      <w:bookmarkEnd w:id="307"/>
      <w:r>
        <w:rPr>
          <w:b w:val="0"/>
          <w:i w:val="0"/>
        </w:rPr>
      </w:r>
      <w:bookmarkStart w:name="_bookmark179" w:id="308"/>
      <w:bookmarkEnd w:id="308"/>
      <w:r>
        <w:rPr>
          <w:i/>
        </w:rPr>
        <w:t>Tol</w:t>
      </w:r>
      <w:r>
        <w:rPr>
          <w:i/>
        </w:rPr>
        <w:t>érance sans chimiothérapie</w:t>
      </w:r>
      <w:r>
        <w:rPr>
          <w:i/>
          <w:spacing w:val="-10"/>
        </w:rPr>
        <w:t> </w:t>
      </w:r>
      <w:r>
        <w:rPr>
          <w:i/>
        </w:rPr>
        <w:t>associée</w:t>
      </w:r>
    </w:p>
    <w:p>
      <w:pPr>
        <w:pStyle w:val="BodyText"/>
        <w:rPr>
          <w:b/>
          <w:i/>
          <w:sz w:val="26"/>
        </w:rPr>
      </w:pPr>
    </w:p>
    <w:p>
      <w:pPr>
        <w:pStyle w:val="BodyText"/>
        <w:spacing w:line="256" w:lineRule="auto" w:before="175"/>
        <w:ind w:left="116" w:right="114" w:firstLine="707"/>
        <w:jc w:val="both"/>
      </w:pPr>
      <w:r>
        <w:rPr/>
        <w:t>Les CN 7 et CN 8 sont les seuls ayant reçu uniquement une thérapie métabolique. Un bon</w:t>
      </w:r>
      <w:r>
        <w:rPr>
          <w:spacing w:val="-10"/>
        </w:rPr>
        <w:t> </w:t>
      </w:r>
      <w:r>
        <w:rPr/>
        <w:t>état</w:t>
      </w:r>
      <w:r>
        <w:rPr>
          <w:spacing w:val="-7"/>
        </w:rPr>
        <w:t> </w:t>
      </w:r>
      <w:r>
        <w:rPr/>
        <w:t>général</w:t>
      </w:r>
      <w:r>
        <w:rPr>
          <w:spacing w:val="-9"/>
        </w:rPr>
        <w:t> </w:t>
      </w:r>
      <w:r>
        <w:rPr/>
        <w:t>est</w:t>
      </w:r>
      <w:r>
        <w:rPr>
          <w:spacing w:val="-9"/>
        </w:rPr>
        <w:t> </w:t>
      </w:r>
      <w:r>
        <w:rPr/>
        <w:t>rapporté</w:t>
      </w:r>
      <w:r>
        <w:rPr>
          <w:spacing w:val="-11"/>
        </w:rPr>
        <w:t> </w:t>
      </w:r>
      <w:r>
        <w:rPr/>
        <w:t>pour</w:t>
      </w:r>
      <w:r>
        <w:rPr>
          <w:spacing w:val="-10"/>
        </w:rPr>
        <w:t> </w:t>
      </w:r>
      <w:r>
        <w:rPr/>
        <w:t>ces</w:t>
      </w:r>
      <w:r>
        <w:rPr>
          <w:spacing w:val="-9"/>
        </w:rPr>
        <w:t> </w:t>
      </w:r>
      <w:r>
        <w:rPr/>
        <w:t>animaux,</w:t>
      </w:r>
      <w:r>
        <w:rPr>
          <w:spacing w:val="-10"/>
        </w:rPr>
        <w:t> </w:t>
      </w:r>
      <w:r>
        <w:rPr/>
        <w:t>sans</w:t>
      </w:r>
      <w:r>
        <w:rPr>
          <w:spacing w:val="-9"/>
        </w:rPr>
        <w:t> </w:t>
      </w:r>
      <w:r>
        <w:rPr/>
        <w:t>effets</w:t>
      </w:r>
      <w:r>
        <w:rPr>
          <w:spacing w:val="-9"/>
        </w:rPr>
        <w:t> </w:t>
      </w:r>
      <w:r>
        <w:rPr/>
        <w:t>indésirables.</w:t>
      </w:r>
      <w:r>
        <w:rPr>
          <w:spacing w:val="-7"/>
        </w:rPr>
        <w:t> </w:t>
      </w:r>
      <w:r>
        <w:rPr/>
        <w:t>Aucun</w:t>
      </w:r>
      <w:r>
        <w:rPr>
          <w:spacing w:val="-10"/>
        </w:rPr>
        <w:t> </w:t>
      </w:r>
      <w:r>
        <w:rPr/>
        <w:t>suivi</w:t>
      </w:r>
      <w:r>
        <w:rPr>
          <w:spacing w:val="-9"/>
        </w:rPr>
        <w:t> </w:t>
      </w:r>
      <w:r>
        <w:rPr/>
        <w:t>d’analyses biochimiques et de numération formule n’est disponible pour ces</w:t>
      </w:r>
      <w:r>
        <w:rPr>
          <w:spacing w:val="-17"/>
        </w:rPr>
        <w:t> </w:t>
      </w:r>
      <w:r>
        <w:rPr/>
        <w:t>animaux.</w:t>
      </w:r>
    </w:p>
    <w:p>
      <w:pPr>
        <w:pStyle w:val="BodyText"/>
        <w:spacing w:line="259" w:lineRule="auto" w:before="166"/>
        <w:ind w:left="116" w:right="119" w:firstLine="707"/>
        <w:jc w:val="both"/>
      </w:pPr>
      <w:r>
        <w:rPr/>
        <w:t>Pour le CN 12, traité avec une thérapie métabolique (ALA/DCA/HCA/OMP) et de la prednisolone, des épisodes de dysorexie et de vomissements sont rapportés. Les épisodes de vomissements peuvent être dus à l’utilisation prolongée de prednisolone, mais la thérapie métabolique peut également être responsable de la dysorexie et des vomissements.</w:t>
      </w:r>
    </w:p>
    <w:p>
      <w:pPr>
        <w:pStyle w:val="BodyText"/>
        <w:spacing w:line="259" w:lineRule="auto" w:before="163"/>
        <w:ind w:left="116" w:right="115" w:firstLine="707"/>
        <w:jc w:val="both"/>
      </w:pPr>
      <w:r>
        <w:rPr/>
        <w:t>Le DCA a été utilisé chez le chat (CT 1) à 20 mg/kg sans chimiothérapie associée et sans effets secondaires rapportés (pas de signes de neuropathie périphérique). La valeur des neutrophiles, modifiée à S4 et S12, se normalise à S16 sans modification du protocole métabolique. Il est difficile d’établir un lien entre les deux. Les autres animaux ne présentant pas de modification similaire, on peut penser que cette neutropénie n’est pas en lien avec la mise en place de la thérapie métabolique.</w:t>
      </w:r>
    </w:p>
    <w:p>
      <w:pPr>
        <w:pStyle w:val="BodyText"/>
        <w:rPr>
          <w:sz w:val="26"/>
        </w:rPr>
      </w:pPr>
    </w:p>
    <w:p>
      <w:pPr>
        <w:pStyle w:val="BodyText"/>
        <w:spacing w:before="5"/>
        <w:rPr>
          <w:sz w:val="28"/>
        </w:rPr>
      </w:pPr>
    </w:p>
    <w:p>
      <w:pPr>
        <w:pStyle w:val="Heading5"/>
        <w:numPr>
          <w:ilvl w:val="1"/>
          <w:numId w:val="29"/>
        </w:numPr>
        <w:tabs>
          <w:tab w:pos="2252" w:val="left" w:leader="none"/>
          <w:tab w:pos="2253" w:val="left" w:leader="none"/>
        </w:tabs>
        <w:spacing w:line="240" w:lineRule="auto" w:before="1" w:after="0"/>
        <w:ind w:left="2252" w:right="0" w:hanging="720"/>
        <w:jc w:val="left"/>
        <w:rPr>
          <w:i/>
        </w:rPr>
      </w:pPr>
      <w:bookmarkStart w:name="_bookmark180" w:id="309"/>
      <w:bookmarkEnd w:id="309"/>
      <w:r>
        <w:rPr>
          <w:b w:val="0"/>
          <w:i w:val="0"/>
        </w:rPr>
      </w:r>
      <w:bookmarkStart w:name="_bookmark180" w:id="310"/>
      <w:bookmarkEnd w:id="310"/>
      <w:r>
        <w:rPr>
          <w:i/>
        </w:rPr>
        <w:t>Tol</w:t>
      </w:r>
      <w:r>
        <w:rPr>
          <w:i/>
        </w:rPr>
        <w:t>érance avec chimiothérapie</w:t>
      </w:r>
      <w:r>
        <w:rPr>
          <w:i/>
          <w:spacing w:val="-7"/>
        </w:rPr>
        <w:t> </w:t>
      </w:r>
      <w:r>
        <w:rPr>
          <w:i/>
        </w:rPr>
        <w:t>associée</w:t>
      </w:r>
    </w:p>
    <w:p>
      <w:pPr>
        <w:pStyle w:val="BodyText"/>
        <w:rPr>
          <w:b/>
          <w:i/>
          <w:sz w:val="26"/>
        </w:rPr>
      </w:pPr>
    </w:p>
    <w:p>
      <w:pPr>
        <w:pStyle w:val="BodyText"/>
        <w:spacing w:line="256" w:lineRule="auto" w:before="176"/>
        <w:ind w:left="116" w:right="120" w:firstLine="707"/>
        <w:jc w:val="both"/>
      </w:pPr>
      <w:r>
        <w:rPr/>
        <w:t>Les épisodes d’ataxie du CN1 pourraient être dus à une neuropathie périphérique (Stacpoole et al., 2006) induite par un surdosage du DCA (20 mg/kg BID).</w:t>
      </w:r>
    </w:p>
    <w:p>
      <w:pPr>
        <w:pStyle w:val="BodyText"/>
        <w:spacing w:line="256" w:lineRule="auto" w:before="163"/>
        <w:ind w:left="116" w:right="119" w:firstLine="707"/>
        <w:jc w:val="both"/>
      </w:pPr>
      <w:r>
        <w:rPr/>
        <w:t>Les épisodes de diarrhée observés pour le CN 9 ont été expliqués par le changement alimentaire (chien sujet aux troubles digestifs à chaque changement de croquettes).</w:t>
      </w:r>
    </w:p>
    <w:p>
      <w:pPr>
        <w:pStyle w:val="BodyText"/>
        <w:spacing w:line="259" w:lineRule="auto" w:before="166"/>
        <w:ind w:left="116" w:right="119" w:firstLine="707"/>
        <w:jc w:val="both"/>
      </w:pPr>
      <w:r>
        <w:rPr/>
        <w:t>Concernant les chats, des épisodes de diarrhées, vomissement et dysorexie sont rapportés pour le CT 2. Il est difficile d’associer ces épisodes au DCA sachant que le CT 2 prenait également une chimiothérapie métronomique avec du chloraminophène. Les autres chats n’ont pas présenté d’effets secondaires particuliers.</w:t>
      </w:r>
    </w:p>
    <w:p>
      <w:pPr>
        <w:spacing w:after="0" w:line="259" w:lineRule="auto"/>
        <w:jc w:val="both"/>
        <w:sectPr>
          <w:pgSz w:w="11910" w:h="16840"/>
          <w:pgMar w:header="0" w:footer="1055" w:top="1320" w:bottom="1240" w:left="1300" w:right="1300"/>
        </w:sectPr>
      </w:pPr>
    </w:p>
    <w:p>
      <w:pPr>
        <w:pStyle w:val="ListParagraph"/>
        <w:numPr>
          <w:ilvl w:val="0"/>
          <w:numId w:val="29"/>
        </w:numPr>
        <w:tabs>
          <w:tab w:pos="1110" w:val="left" w:leader="none"/>
        </w:tabs>
        <w:spacing w:line="240" w:lineRule="auto" w:before="72" w:after="0"/>
        <w:ind w:left="1110" w:right="0" w:hanging="360"/>
        <w:jc w:val="left"/>
        <w:rPr>
          <w:sz w:val="24"/>
        </w:rPr>
      </w:pPr>
      <w:bookmarkStart w:name="_bookmark183" w:id="311"/>
      <w:bookmarkEnd w:id="311"/>
      <w:r>
        <w:rPr/>
      </w:r>
      <w:bookmarkStart w:name="_bookmark181" w:id="312"/>
      <w:bookmarkEnd w:id="312"/>
      <w:r>
        <w:rPr/>
      </w:r>
      <w:bookmarkStart w:name="_bookmark181" w:id="313"/>
      <w:bookmarkEnd w:id="313"/>
      <w:r>
        <w:rPr>
          <w:sz w:val="24"/>
          <w:u w:val="single"/>
        </w:rPr>
        <w:t>L</w:t>
      </w:r>
      <w:r>
        <w:rPr>
          <w:sz w:val="24"/>
          <w:u w:val="single"/>
        </w:rPr>
        <w:t>’efficacité de la thérapie</w:t>
      </w:r>
      <w:r>
        <w:rPr>
          <w:spacing w:val="-7"/>
          <w:sz w:val="24"/>
          <w:u w:val="single"/>
        </w:rPr>
        <w:t> </w:t>
      </w:r>
      <w:r>
        <w:rPr>
          <w:sz w:val="24"/>
          <w:u w:val="single"/>
        </w:rPr>
        <w:t>métabolique</w:t>
      </w:r>
    </w:p>
    <w:p>
      <w:pPr>
        <w:pStyle w:val="BodyText"/>
        <w:rPr>
          <w:sz w:val="20"/>
        </w:rPr>
      </w:pPr>
    </w:p>
    <w:p>
      <w:pPr>
        <w:pStyle w:val="BodyText"/>
        <w:spacing w:before="8"/>
        <w:rPr>
          <w:sz w:val="21"/>
        </w:rPr>
      </w:pPr>
    </w:p>
    <w:p>
      <w:pPr>
        <w:pStyle w:val="BodyText"/>
        <w:spacing w:line="259" w:lineRule="auto"/>
        <w:ind w:left="116" w:right="112" w:firstLine="707"/>
        <w:jc w:val="both"/>
      </w:pPr>
      <w:r>
        <w:rPr/>
        <w:t>L’efficacité d’une thérapie peut se décliner selon différents aspects. Si l’impact direct sur le métabolisme des cellules tumorales est un critère intéressant, il ne traduit pas nécessairement une efficacité clinique. L’évolution tumorale (régression tumorale, stabilité de la maladie, progression tumorale), évaluée par la taille de la tumeur, et la survie globale</w:t>
      </w:r>
      <w:r>
        <w:rPr>
          <w:spacing w:val="-34"/>
        </w:rPr>
        <w:t> </w:t>
      </w:r>
      <w:r>
        <w:rPr/>
        <w:t>(durée entre le début du traitement et le décès ou la perte de vue du patient), sont deux critères permettant d’évaluer l’efficacité clinique d’une</w:t>
      </w:r>
      <w:r>
        <w:rPr>
          <w:spacing w:val="-14"/>
        </w:rPr>
        <w:t> </w:t>
      </w:r>
      <w:r>
        <w:rPr/>
        <w:t>thérapie.</w:t>
      </w:r>
    </w:p>
    <w:p>
      <w:pPr>
        <w:pStyle w:val="BodyText"/>
        <w:rPr>
          <w:sz w:val="26"/>
        </w:rPr>
      </w:pPr>
    </w:p>
    <w:p>
      <w:pPr>
        <w:pStyle w:val="BodyText"/>
        <w:spacing w:before="3"/>
        <w:rPr>
          <w:sz w:val="28"/>
        </w:rPr>
      </w:pPr>
    </w:p>
    <w:p>
      <w:pPr>
        <w:pStyle w:val="Heading5"/>
        <w:numPr>
          <w:ilvl w:val="1"/>
          <w:numId w:val="29"/>
        </w:numPr>
        <w:tabs>
          <w:tab w:pos="2252" w:val="left" w:leader="none"/>
          <w:tab w:pos="2253" w:val="left" w:leader="none"/>
        </w:tabs>
        <w:spacing w:line="240" w:lineRule="auto" w:before="0" w:after="0"/>
        <w:ind w:left="2252" w:right="0" w:hanging="720"/>
        <w:jc w:val="left"/>
        <w:rPr>
          <w:i/>
        </w:rPr>
      </w:pPr>
      <w:bookmarkStart w:name="_bookmark182" w:id="314"/>
      <w:bookmarkEnd w:id="314"/>
      <w:r>
        <w:rPr>
          <w:b w:val="0"/>
          <w:i w:val="0"/>
        </w:rPr>
      </w:r>
      <w:bookmarkStart w:name="_bookmark182" w:id="315"/>
      <w:bookmarkEnd w:id="315"/>
      <w:r>
        <w:rPr>
          <w:i/>
        </w:rPr>
        <w:t>Une</w:t>
      </w:r>
      <w:r>
        <w:rPr>
          <w:i/>
        </w:rPr>
        <w:t> interprétation</w:t>
      </w:r>
      <w:r>
        <w:rPr>
          <w:i/>
          <w:spacing w:val="-6"/>
        </w:rPr>
        <w:t> </w:t>
      </w:r>
      <w:r>
        <w:rPr>
          <w:i/>
        </w:rPr>
        <w:t>limitée</w:t>
      </w:r>
    </w:p>
    <w:p>
      <w:pPr>
        <w:pStyle w:val="BodyText"/>
        <w:rPr>
          <w:b/>
          <w:i/>
          <w:sz w:val="26"/>
        </w:rPr>
      </w:pPr>
    </w:p>
    <w:p>
      <w:pPr>
        <w:pStyle w:val="BodyText"/>
        <w:spacing w:line="256" w:lineRule="auto" w:before="176"/>
        <w:ind w:left="116" w:right="113" w:firstLine="707"/>
        <w:jc w:val="both"/>
      </w:pPr>
      <w:r>
        <w:rPr/>
        <w:t>Cette étude descriptive n’a pas pour but de démontrer une efficacité en termes de stabilité de la maladie ou d’amélioration significative de la survie car de nombreuses données sont manquantes et les cas collectés hétérogènes.</w:t>
      </w:r>
    </w:p>
    <w:p>
      <w:pPr>
        <w:pStyle w:val="BodyText"/>
        <w:spacing w:line="256" w:lineRule="auto" w:before="165"/>
        <w:ind w:left="116" w:right="118" w:firstLine="707"/>
        <w:jc w:val="both"/>
      </w:pPr>
      <w:r>
        <w:rPr/>
        <w:t>Tout d’abord, l’utilisation de différentes molécules selon les cas (thérapie métabolique associée à de la chimiothérapie ou des anti-inflammatoires ou non) rend la comparaison entre les animaux difficile. L’absence de groupe témoin limite encore l’interprétation.</w:t>
      </w:r>
    </w:p>
    <w:p>
      <w:pPr>
        <w:pStyle w:val="BodyText"/>
        <w:spacing w:line="259" w:lineRule="auto" w:before="165"/>
        <w:ind w:left="116" w:right="114" w:firstLine="707"/>
        <w:jc w:val="both"/>
      </w:pPr>
      <w:r>
        <w:rPr/>
        <w:t>Ensuite, il n’y a pas de standardisation de la caractérisation des cas (pas de standardisation du diagnostic ni du bilan d’extension). Par exemple, une analyse histologique systématique</w:t>
      </w:r>
      <w:r>
        <w:rPr>
          <w:spacing w:val="-11"/>
        </w:rPr>
        <w:t> </w:t>
      </w:r>
      <w:r>
        <w:rPr/>
        <w:t>permettant</w:t>
      </w:r>
      <w:r>
        <w:rPr>
          <w:spacing w:val="-7"/>
        </w:rPr>
        <w:t> </w:t>
      </w:r>
      <w:r>
        <w:rPr/>
        <w:t>de</w:t>
      </w:r>
      <w:r>
        <w:rPr>
          <w:spacing w:val="-11"/>
        </w:rPr>
        <w:t> </w:t>
      </w:r>
      <w:r>
        <w:rPr/>
        <w:t>définir</w:t>
      </w:r>
      <w:r>
        <w:rPr>
          <w:spacing w:val="-8"/>
        </w:rPr>
        <w:t> </w:t>
      </w:r>
      <w:r>
        <w:rPr/>
        <w:t>le</w:t>
      </w:r>
      <w:r>
        <w:rPr>
          <w:spacing w:val="-8"/>
        </w:rPr>
        <w:t> </w:t>
      </w:r>
      <w:r>
        <w:rPr/>
        <w:t>grade</w:t>
      </w:r>
      <w:r>
        <w:rPr>
          <w:spacing w:val="-11"/>
        </w:rPr>
        <w:t> </w:t>
      </w:r>
      <w:r>
        <w:rPr/>
        <w:t>histologique,</w:t>
      </w:r>
      <w:r>
        <w:rPr>
          <w:spacing w:val="-8"/>
        </w:rPr>
        <w:t> </w:t>
      </w:r>
      <w:r>
        <w:rPr/>
        <w:t>ainsi</w:t>
      </w:r>
      <w:r>
        <w:rPr>
          <w:spacing w:val="-9"/>
        </w:rPr>
        <w:t> </w:t>
      </w:r>
      <w:r>
        <w:rPr/>
        <w:t>qu’un</w:t>
      </w:r>
      <w:r>
        <w:rPr>
          <w:spacing w:val="-10"/>
        </w:rPr>
        <w:t> </w:t>
      </w:r>
      <w:r>
        <w:rPr/>
        <w:t>bilan</w:t>
      </w:r>
      <w:r>
        <w:rPr>
          <w:spacing w:val="-8"/>
        </w:rPr>
        <w:t> </w:t>
      </w:r>
      <w:r>
        <w:rPr/>
        <w:t>d’extension</w:t>
      </w:r>
      <w:r>
        <w:rPr>
          <w:spacing w:val="-9"/>
        </w:rPr>
        <w:t> </w:t>
      </w:r>
      <w:r>
        <w:rPr/>
        <w:t>complet aboutissant</w:t>
      </w:r>
      <w:r>
        <w:rPr>
          <w:spacing w:val="-9"/>
        </w:rPr>
        <w:t> </w:t>
      </w:r>
      <w:r>
        <w:rPr/>
        <w:t>au</w:t>
      </w:r>
      <w:r>
        <w:rPr>
          <w:spacing w:val="-9"/>
        </w:rPr>
        <w:t> </w:t>
      </w:r>
      <w:r>
        <w:rPr/>
        <w:t>stade</w:t>
      </w:r>
      <w:r>
        <w:rPr>
          <w:spacing w:val="-7"/>
        </w:rPr>
        <w:t> </w:t>
      </w:r>
      <w:r>
        <w:rPr/>
        <w:t>clinique,</w:t>
      </w:r>
      <w:r>
        <w:rPr>
          <w:spacing w:val="-9"/>
        </w:rPr>
        <w:t> </w:t>
      </w:r>
      <w:r>
        <w:rPr/>
        <w:t>devraient</w:t>
      </w:r>
      <w:r>
        <w:rPr>
          <w:spacing w:val="-9"/>
        </w:rPr>
        <w:t> </w:t>
      </w:r>
      <w:r>
        <w:rPr/>
        <w:t>être</w:t>
      </w:r>
      <w:r>
        <w:rPr>
          <w:spacing w:val="-10"/>
        </w:rPr>
        <w:t> </w:t>
      </w:r>
      <w:r>
        <w:rPr/>
        <w:t>réalisés.</w:t>
      </w:r>
      <w:r>
        <w:rPr>
          <w:spacing w:val="-6"/>
        </w:rPr>
        <w:t> </w:t>
      </w:r>
      <w:r>
        <w:rPr/>
        <w:t>Le</w:t>
      </w:r>
      <w:r>
        <w:rPr>
          <w:spacing w:val="-10"/>
        </w:rPr>
        <w:t> </w:t>
      </w:r>
      <w:r>
        <w:rPr/>
        <w:t>frein</w:t>
      </w:r>
      <w:r>
        <w:rPr>
          <w:spacing w:val="-8"/>
        </w:rPr>
        <w:t> </w:t>
      </w:r>
      <w:r>
        <w:rPr/>
        <w:t>financier</w:t>
      </w:r>
      <w:r>
        <w:rPr>
          <w:spacing w:val="-9"/>
        </w:rPr>
        <w:t> </w:t>
      </w:r>
      <w:r>
        <w:rPr/>
        <w:t>que</w:t>
      </w:r>
      <w:r>
        <w:rPr>
          <w:spacing w:val="-7"/>
        </w:rPr>
        <w:t> </w:t>
      </w:r>
      <w:r>
        <w:rPr/>
        <w:t>cela</w:t>
      </w:r>
      <w:r>
        <w:rPr>
          <w:spacing w:val="-9"/>
        </w:rPr>
        <w:t> </w:t>
      </w:r>
      <w:r>
        <w:rPr/>
        <w:t>représente</w:t>
      </w:r>
      <w:r>
        <w:rPr>
          <w:spacing w:val="-10"/>
        </w:rPr>
        <w:t> </w:t>
      </w:r>
      <w:r>
        <w:rPr/>
        <w:t>pour les propriétaires permet de comprendre pourquoi ces examens ne sont pas systématiquement réalisés, mais ils sont indispensables à une analyse précise et une comparaison aux médianes de survie historiques. Les médianes de survie des animaux étudiés recevant un traitement conventionnel ne peuvent pas être comparées aux médianes de survie historiques en raison de cette absence de caractérisation précise. L’évaluation des autres paramètres permettant d’évaluer l’efficacité d’un traitement (Disease Free Interval...) est également</w:t>
      </w:r>
      <w:r>
        <w:rPr>
          <w:spacing w:val="-13"/>
        </w:rPr>
        <w:t> </w:t>
      </w:r>
      <w:r>
        <w:rPr/>
        <w:t>compromise.</w:t>
      </w:r>
    </w:p>
    <w:p>
      <w:pPr>
        <w:pStyle w:val="BodyText"/>
        <w:spacing w:line="259" w:lineRule="auto" w:before="163"/>
        <w:ind w:left="116" w:right="113" w:firstLine="707"/>
        <w:jc w:val="both"/>
      </w:pPr>
      <w:r>
        <w:rPr/>
        <w:t>Enfin, il est impossible de conclure à une efficacité réelle des protocoles en termes de ralentissement de la croissance tumorale car cette dernière n’a pas été caractérisée</w:t>
      </w:r>
      <w:r>
        <w:rPr>
          <w:spacing w:val="-41"/>
        </w:rPr>
        <w:t> </w:t>
      </w:r>
      <w:r>
        <w:rPr/>
        <w:t>précisément pour</w:t>
      </w:r>
      <w:r>
        <w:rPr>
          <w:spacing w:val="-8"/>
        </w:rPr>
        <w:t> </w:t>
      </w:r>
      <w:r>
        <w:rPr/>
        <w:t>tous</w:t>
      </w:r>
      <w:r>
        <w:rPr>
          <w:spacing w:val="-7"/>
        </w:rPr>
        <w:t> </w:t>
      </w:r>
      <w:r>
        <w:rPr/>
        <w:t>les</w:t>
      </w:r>
      <w:r>
        <w:rPr>
          <w:spacing w:val="-7"/>
        </w:rPr>
        <w:t> </w:t>
      </w:r>
      <w:r>
        <w:rPr/>
        <w:t>animaux.</w:t>
      </w:r>
      <w:r>
        <w:rPr>
          <w:spacing w:val="-7"/>
        </w:rPr>
        <w:t> </w:t>
      </w:r>
      <w:r>
        <w:rPr/>
        <w:t>Cliniquement,</w:t>
      </w:r>
      <w:r>
        <w:rPr>
          <w:spacing w:val="-7"/>
        </w:rPr>
        <w:t> </w:t>
      </w:r>
      <w:r>
        <w:rPr/>
        <w:t>l’évolution</w:t>
      </w:r>
      <w:r>
        <w:rPr>
          <w:spacing w:val="-7"/>
        </w:rPr>
        <w:t> </w:t>
      </w:r>
      <w:r>
        <w:rPr/>
        <w:t>tumorale</w:t>
      </w:r>
      <w:r>
        <w:rPr>
          <w:spacing w:val="-8"/>
        </w:rPr>
        <w:t> </w:t>
      </w:r>
      <w:r>
        <w:rPr/>
        <w:t>a</w:t>
      </w:r>
      <w:r>
        <w:rPr>
          <w:spacing w:val="-8"/>
        </w:rPr>
        <w:t> </w:t>
      </w:r>
      <w:r>
        <w:rPr/>
        <w:t>été</w:t>
      </w:r>
      <w:r>
        <w:rPr>
          <w:spacing w:val="-8"/>
        </w:rPr>
        <w:t> </w:t>
      </w:r>
      <w:r>
        <w:rPr/>
        <w:t>suivie</w:t>
      </w:r>
      <w:r>
        <w:rPr>
          <w:spacing w:val="-8"/>
        </w:rPr>
        <w:t> </w:t>
      </w:r>
      <w:r>
        <w:rPr/>
        <w:t>par</w:t>
      </w:r>
      <w:r>
        <w:rPr>
          <w:spacing w:val="-6"/>
        </w:rPr>
        <w:t> </w:t>
      </w:r>
      <w:r>
        <w:rPr/>
        <w:t>mesure</w:t>
      </w:r>
      <w:r>
        <w:rPr>
          <w:spacing w:val="-8"/>
        </w:rPr>
        <w:t> </w:t>
      </w:r>
      <w:r>
        <w:rPr/>
        <w:t>de</w:t>
      </w:r>
      <w:r>
        <w:rPr>
          <w:spacing w:val="-8"/>
        </w:rPr>
        <w:t> </w:t>
      </w:r>
      <w:r>
        <w:rPr/>
        <w:t>la</w:t>
      </w:r>
      <w:r>
        <w:rPr>
          <w:spacing w:val="-8"/>
        </w:rPr>
        <w:t> </w:t>
      </w:r>
      <w:r>
        <w:rPr/>
        <w:t>tumeur lorsque cela était possible, par palpation des nœuds lymphatiques dans les cas de lymphome par exemple (mesures non réalisées de manière systématique). Des examens paracliniques ont également été effectués, mais les examens n’étaient pas</w:t>
      </w:r>
      <w:r>
        <w:rPr>
          <w:spacing w:val="-17"/>
        </w:rPr>
        <w:t> </w:t>
      </w:r>
      <w:r>
        <w:rPr/>
        <w:t>systématiques.</w:t>
      </w:r>
    </w:p>
    <w:p>
      <w:pPr>
        <w:pStyle w:val="BodyText"/>
        <w:spacing w:before="161"/>
        <w:ind w:left="824"/>
      </w:pPr>
      <w:r>
        <w:rPr/>
        <w:t>Voyons néanmoins quelles conclusions peuvent être tirées des données disponibles.</w:t>
      </w:r>
    </w:p>
    <w:p>
      <w:pPr>
        <w:spacing w:after="0"/>
        <w:sectPr>
          <w:pgSz w:w="11910" w:h="16840"/>
          <w:pgMar w:header="0" w:footer="1055" w:top="1320" w:bottom="1240" w:left="1300" w:right="1300"/>
        </w:sectPr>
      </w:pPr>
    </w:p>
    <w:p>
      <w:pPr>
        <w:pStyle w:val="Heading5"/>
        <w:numPr>
          <w:ilvl w:val="1"/>
          <w:numId w:val="29"/>
        </w:numPr>
        <w:tabs>
          <w:tab w:pos="2252" w:val="left" w:leader="none"/>
          <w:tab w:pos="2253" w:val="left" w:leader="none"/>
        </w:tabs>
        <w:spacing w:line="240" w:lineRule="auto" w:before="77" w:after="0"/>
        <w:ind w:left="2252" w:right="0" w:hanging="720"/>
        <w:jc w:val="left"/>
        <w:rPr>
          <w:i/>
        </w:rPr>
      </w:pPr>
      <w:bookmarkStart w:name="_bookmark185" w:id="316"/>
      <w:bookmarkEnd w:id="316"/>
      <w:r>
        <w:rPr>
          <w:b w:val="0"/>
          <w:i w:val="0"/>
        </w:rPr>
      </w:r>
      <w:bookmarkStart w:name="_bookmark185" w:id="317"/>
      <w:bookmarkEnd w:id="317"/>
      <w:r>
        <w:rPr>
          <w:i/>
        </w:rPr>
        <w:t>L</w:t>
      </w:r>
      <w:r>
        <w:rPr>
          <w:i/>
        </w:rPr>
        <w:t>’évolution</w:t>
      </w:r>
      <w:r>
        <w:rPr>
          <w:i/>
          <w:spacing w:val="-1"/>
        </w:rPr>
        <w:t> </w:t>
      </w:r>
      <w:r>
        <w:rPr>
          <w:i/>
        </w:rPr>
        <w:t>tumorale</w:t>
      </w:r>
    </w:p>
    <w:p>
      <w:pPr>
        <w:pStyle w:val="BodyText"/>
        <w:rPr>
          <w:b/>
          <w:i/>
          <w:sz w:val="26"/>
        </w:rPr>
      </w:pPr>
    </w:p>
    <w:p>
      <w:pPr>
        <w:pStyle w:val="ListParagraph"/>
        <w:numPr>
          <w:ilvl w:val="0"/>
          <w:numId w:val="23"/>
        </w:numPr>
        <w:tabs>
          <w:tab w:pos="836" w:val="left" w:leader="none"/>
          <w:tab w:pos="837" w:val="left" w:leader="none"/>
        </w:tabs>
        <w:spacing w:line="240" w:lineRule="auto" w:before="173" w:after="0"/>
        <w:ind w:left="836" w:right="0" w:hanging="360"/>
        <w:jc w:val="left"/>
        <w:rPr>
          <w:sz w:val="24"/>
        </w:rPr>
      </w:pPr>
      <w:r>
        <w:rPr>
          <w:sz w:val="24"/>
          <w:u w:val="single"/>
        </w:rPr>
        <w:t>Sans chimiothérapie</w:t>
      </w:r>
      <w:r>
        <w:rPr>
          <w:spacing w:val="-7"/>
          <w:sz w:val="24"/>
          <w:u w:val="single"/>
        </w:rPr>
        <w:t> </w:t>
      </w:r>
      <w:r>
        <w:rPr>
          <w:sz w:val="24"/>
          <w:u w:val="single"/>
        </w:rPr>
        <w:t>associée</w:t>
      </w:r>
    </w:p>
    <w:p>
      <w:pPr>
        <w:pStyle w:val="BodyText"/>
        <w:spacing w:line="259" w:lineRule="auto" w:before="183"/>
        <w:ind w:left="116" w:right="113" w:firstLine="707"/>
        <w:jc w:val="both"/>
      </w:pPr>
      <w:r>
        <w:rPr/>
        <w:t>De</w:t>
      </w:r>
      <w:r>
        <w:rPr>
          <w:spacing w:val="-5"/>
        </w:rPr>
        <w:t> </w:t>
      </w:r>
      <w:r>
        <w:rPr/>
        <w:t>manière</w:t>
      </w:r>
      <w:r>
        <w:rPr>
          <w:spacing w:val="-6"/>
        </w:rPr>
        <w:t> </w:t>
      </w:r>
      <w:r>
        <w:rPr/>
        <w:t>intéressante,</w:t>
      </w:r>
      <w:r>
        <w:rPr>
          <w:spacing w:val="-2"/>
        </w:rPr>
        <w:t> </w:t>
      </w:r>
      <w:r>
        <w:rPr/>
        <w:t>le</w:t>
      </w:r>
      <w:r>
        <w:rPr>
          <w:spacing w:val="-4"/>
        </w:rPr>
        <w:t> </w:t>
      </w:r>
      <w:r>
        <w:rPr/>
        <w:t>CN</w:t>
      </w:r>
      <w:r>
        <w:rPr>
          <w:spacing w:val="-3"/>
        </w:rPr>
        <w:t> </w:t>
      </w:r>
      <w:r>
        <w:rPr/>
        <w:t>8,</w:t>
      </w:r>
      <w:r>
        <w:rPr>
          <w:spacing w:val="-4"/>
        </w:rPr>
        <w:t> </w:t>
      </w:r>
      <w:r>
        <w:rPr/>
        <w:t>traité</w:t>
      </w:r>
      <w:r>
        <w:rPr>
          <w:spacing w:val="-5"/>
        </w:rPr>
        <w:t> </w:t>
      </w:r>
      <w:r>
        <w:rPr/>
        <w:t>uniquement</w:t>
      </w:r>
      <w:r>
        <w:rPr>
          <w:spacing w:val="-3"/>
        </w:rPr>
        <w:t> </w:t>
      </w:r>
      <w:r>
        <w:rPr/>
        <w:t>à</w:t>
      </w:r>
      <w:r>
        <w:rPr>
          <w:spacing w:val="-5"/>
        </w:rPr>
        <w:t> </w:t>
      </w:r>
      <w:r>
        <w:rPr/>
        <w:t>base</w:t>
      </w:r>
      <w:r>
        <w:rPr>
          <w:spacing w:val="-5"/>
        </w:rPr>
        <w:t> </w:t>
      </w:r>
      <w:r>
        <w:rPr/>
        <w:t>d’un</w:t>
      </w:r>
      <w:r>
        <w:rPr>
          <w:spacing w:val="-5"/>
        </w:rPr>
        <w:t> </w:t>
      </w:r>
      <w:r>
        <w:rPr/>
        <w:t>protocole</w:t>
      </w:r>
      <w:r>
        <w:rPr>
          <w:spacing w:val="-4"/>
        </w:rPr>
        <w:t> </w:t>
      </w:r>
      <w:r>
        <w:rPr/>
        <w:t>métabolique, voit</w:t>
      </w:r>
      <w:r>
        <w:rPr>
          <w:spacing w:val="-9"/>
        </w:rPr>
        <w:t> </w:t>
      </w:r>
      <w:r>
        <w:rPr/>
        <w:t>ses</w:t>
      </w:r>
      <w:r>
        <w:rPr>
          <w:spacing w:val="-9"/>
        </w:rPr>
        <w:t> </w:t>
      </w:r>
      <w:r>
        <w:rPr/>
        <w:t>probables</w:t>
      </w:r>
      <w:r>
        <w:rPr>
          <w:spacing w:val="-10"/>
        </w:rPr>
        <w:t> </w:t>
      </w:r>
      <w:r>
        <w:rPr/>
        <w:t>métastases</w:t>
      </w:r>
      <w:r>
        <w:rPr>
          <w:spacing w:val="-9"/>
        </w:rPr>
        <w:t> </w:t>
      </w:r>
      <w:r>
        <w:rPr/>
        <w:t>hépatiques</w:t>
      </w:r>
      <w:r>
        <w:rPr>
          <w:spacing w:val="-9"/>
        </w:rPr>
        <w:t> </w:t>
      </w:r>
      <w:r>
        <w:rPr/>
        <w:t>(cytologie</w:t>
      </w:r>
      <w:r>
        <w:rPr>
          <w:spacing w:val="-11"/>
        </w:rPr>
        <w:t> </w:t>
      </w:r>
      <w:r>
        <w:rPr/>
        <w:t>non</w:t>
      </w:r>
      <w:r>
        <w:rPr>
          <w:spacing w:val="-10"/>
        </w:rPr>
        <w:t> </w:t>
      </w:r>
      <w:r>
        <w:rPr/>
        <w:t>diagnostique</w:t>
      </w:r>
      <w:r>
        <w:rPr>
          <w:spacing w:val="-10"/>
        </w:rPr>
        <w:t> </w:t>
      </w:r>
      <w:r>
        <w:rPr/>
        <w:t>mais</w:t>
      </w:r>
      <w:r>
        <w:rPr>
          <w:spacing w:val="-9"/>
        </w:rPr>
        <w:t> </w:t>
      </w:r>
      <w:r>
        <w:rPr/>
        <w:t>aspect</w:t>
      </w:r>
      <w:r>
        <w:rPr>
          <w:spacing w:val="-9"/>
        </w:rPr>
        <w:t> </w:t>
      </w:r>
      <w:r>
        <w:rPr/>
        <w:t>très</w:t>
      </w:r>
      <w:r>
        <w:rPr>
          <w:spacing w:val="-9"/>
        </w:rPr>
        <w:t> </w:t>
      </w:r>
      <w:r>
        <w:rPr/>
        <w:t>en</w:t>
      </w:r>
      <w:r>
        <w:rPr>
          <w:spacing w:val="-10"/>
        </w:rPr>
        <w:t> </w:t>
      </w:r>
      <w:r>
        <w:rPr/>
        <w:t>faveur à l’échographie) disparaître après 2 mois de traitement. Cela peut correspondre, en l’absence de diagnostic de certitude, à l’évolution classique de nodules de régénération</w:t>
      </w:r>
      <w:r>
        <w:rPr>
          <w:spacing w:val="20"/>
        </w:rPr>
        <w:t> </w:t>
      </w:r>
      <w:r>
        <w:rPr/>
        <w:t>hépatique. Cependant, dans le cas de métastases hépatiques, ce résultat encouragerait la poursuite des recherches dans l’utilisation de la thérapie</w:t>
      </w:r>
      <w:r>
        <w:rPr>
          <w:spacing w:val="-9"/>
        </w:rPr>
        <w:t> </w:t>
      </w:r>
      <w:r>
        <w:rPr/>
        <w:t>métabolique.</w:t>
      </w:r>
    </w:p>
    <w:p>
      <w:pPr>
        <w:pStyle w:val="ListParagraph"/>
        <w:numPr>
          <w:ilvl w:val="0"/>
          <w:numId w:val="23"/>
        </w:numPr>
        <w:tabs>
          <w:tab w:pos="836" w:val="left" w:leader="none"/>
          <w:tab w:pos="837" w:val="left" w:leader="none"/>
        </w:tabs>
        <w:spacing w:line="240" w:lineRule="auto" w:before="157" w:after="0"/>
        <w:ind w:left="836" w:right="0" w:hanging="360"/>
        <w:jc w:val="left"/>
        <w:rPr>
          <w:sz w:val="24"/>
        </w:rPr>
      </w:pPr>
      <w:r>
        <w:rPr>
          <w:sz w:val="24"/>
          <w:u w:val="single"/>
        </w:rPr>
        <w:t>Avec chimiothérapie</w:t>
      </w:r>
      <w:r>
        <w:rPr>
          <w:spacing w:val="-7"/>
          <w:sz w:val="24"/>
          <w:u w:val="single"/>
        </w:rPr>
        <w:t> </w:t>
      </w:r>
      <w:r>
        <w:rPr>
          <w:sz w:val="24"/>
          <w:u w:val="single"/>
        </w:rPr>
        <w:t>associée</w:t>
      </w:r>
    </w:p>
    <w:p>
      <w:pPr>
        <w:pStyle w:val="BodyText"/>
        <w:spacing w:line="259" w:lineRule="auto" w:before="184"/>
        <w:ind w:left="116" w:right="113" w:firstLine="707"/>
        <w:jc w:val="both"/>
      </w:pPr>
      <w:r>
        <w:rPr/>
        <w:t>L’association du traitement métabolique à la chimiothérapie, sans contrôle témoin, ne permet pas de déterminer le bénéfice réel de la TM. C’est le cas, par exemple du CN 3, encore en vie aujourd’hui. La rémission clinique du lymphome B de stade IV obtenue après la chimiothérapie à la vinblastine a été entretenue par la poursuite du traitement, soit grâce au traitement métabolique, soit à la chimiothérapie, soit à l’association des deux.</w:t>
      </w:r>
    </w:p>
    <w:p>
      <w:pPr>
        <w:pStyle w:val="BodyText"/>
        <w:rPr>
          <w:sz w:val="26"/>
        </w:rPr>
      </w:pPr>
    </w:p>
    <w:p>
      <w:pPr>
        <w:pStyle w:val="BodyText"/>
        <w:spacing w:before="3"/>
        <w:rPr>
          <w:sz w:val="28"/>
        </w:rPr>
      </w:pPr>
    </w:p>
    <w:p>
      <w:pPr>
        <w:pStyle w:val="Heading5"/>
        <w:numPr>
          <w:ilvl w:val="1"/>
          <w:numId w:val="29"/>
        </w:numPr>
        <w:tabs>
          <w:tab w:pos="2252" w:val="left" w:leader="none"/>
          <w:tab w:pos="2253" w:val="left" w:leader="none"/>
        </w:tabs>
        <w:spacing w:line="240" w:lineRule="auto" w:before="0" w:after="0"/>
        <w:ind w:left="2252" w:right="0" w:hanging="720"/>
        <w:jc w:val="left"/>
        <w:rPr>
          <w:i/>
        </w:rPr>
      </w:pPr>
      <w:bookmarkStart w:name="_bookmark184" w:id="318"/>
      <w:bookmarkEnd w:id="318"/>
      <w:r>
        <w:rPr>
          <w:b w:val="0"/>
          <w:i w:val="0"/>
        </w:rPr>
      </w:r>
      <w:bookmarkStart w:name="_bookmark184" w:id="319"/>
      <w:bookmarkEnd w:id="319"/>
      <w:r>
        <w:rPr>
          <w:i/>
        </w:rPr>
        <w:t>La</w:t>
      </w:r>
      <w:r>
        <w:rPr>
          <w:i/>
        </w:rPr>
        <w:t> survie</w:t>
      </w:r>
      <w:r>
        <w:rPr>
          <w:i/>
          <w:spacing w:val="-2"/>
        </w:rPr>
        <w:t> </w:t>
      </w:r>
      <w:r>
        <w:rPr>
          <w:i/>
        </w:rPr>
        <w:t>globale</w:t>
      </w:r>
    </w:p>
    <w:p>
      <w:pPr>
        <w:pStyle w:val="BodyText"/>
        <w:rPr>
          <w:b/>
          <w:i/>
          <w:sz w:val="26"/>
        </w:rPr>
      </w:pPr>
    </w:p>
    <w:p>
      <w:pPr>
        <w:pStyle w:val="BodyText"/>
        <w:spacing w:line="259" w:lineRule="auto" w:before="176"/>
        <w:ind w:left="116" w:right="115" w:firstLine="707"/>
        <w:jc w:val="both"/>
      </w:pPr>
      <w:r>
        <w:rPr/>
        <w:t>Pour les médianes connues et comparables aux médianes historiques en tenant compte des limites exposées précédemment, certaines se démarquent de manière intéressante. Prenons tout d’abord l’exemple du CN 3, traité initialement pour un lymphome B de stade IV avec un protocole de chimiothérapie L-CHOP. Une rémission complète de 22 mois a été obtenue en 2 mois, puis à la rechute du lymphome, un protocole à base de vinblastine, lomustine, et procarbazine a été mis en place en parallèle à une thérapie métabolique (il y a aujourd’hui</w:t>
      </w:r>
      <w:r>
        <w:rPr>
          <w:spacing w:val="-28"/>
        </w:rPr>
        <w:t> </w:t>
      </w:r>
      <w:r>
        <w:rPr/>
        <w:t>plus de 30 mois). </w:t>
      </w:r>
      <w:r>
        <w:rPr>
          <w:spacing w:val="-3"/>
        </w:rPr>
        <w:t>Les </w:t>
      </w:r>
      <w:r>
        <w:rPr/>
        <w:t>données publiées, suite à l’établissement d’un « protocole d’échappement </w:t>
      </w:r>
      <w:r>
        <w:rPr>
          <w:spacing w:val="-4"/>
        </w:rPr>
        <w:t>», </w:t>
      </w:r>
      <w:r>
        <w:rPr/>
        <w:t>donnent</w:t>
      </w:r>
      <w:r>
        <w:rPr>
          <w:spacing w:val="-11"/>
        </w:rPr>
        <w:t> </w:t>
      </w:r>
      <w:r>
        <w:rPr/>
        <w:t>une</w:t>
      </w:r>
      <w:r>
        <w:rPr>
          <w:spacing w:val="-12"/>
        </w:rPr>
        <w:t> </w:t>
      </w:r>
      <w:r>
        <w:rPr/>
        <w:t>médiane</w:t>
      </w:r>
      <w:r>
        <w:rPr>
          <w:spacing w:val="-10"/>
        </w:rPr>
        <w:t> </w:t>
      </w:r>
      <w:r>
        <w:rPr/>
        <w:t>de</w:t>
      </w:r>
      <w:r>
        <w:rPr>
          <w:spacing w:val="-10"/>
        </w:rPr>
        <w:t> </w:t>
      </w:r>
      <w:r>
        <w:rPr/>
        <w:t>durée</w:t>
      </w:r>
      <w:r>
        <w:rPr>
          <w:spacing w:val="-10"/>
        </w:rPr>
        <w:t> </w:t>
      </w:r>
      <w:r>
        <w:rPr/>
        <w:t>de</w:t>
      </w:r>
      <w:r>
        <w:rPr>
          <w:spacing w:val="-10"/>
        </w:rPr>
        <w:t> </w:t>
      </w:r>
      <w:r>
        <w:rPr/>
        <w:t>rémission</w:t>
      </w:r>
      <w:r>
        <w:rPr>
          <w:spacing w:val="-11"/>
        </w:rPr>
        <w:t> </w:t>
      </w:r>
      <w:r>
        <w:rPr/>
        <w:t>de</w:t>
      </w:r>
      <w:r>
        <w:rPr>
          <w:spacing w:val="-12"/>
        </w:rPr>
        <w:t> </w:t>
      </w:r>
      <w:r>
        <w:rPr/>
        <w:t>60</w:t>
      </w:r>
      <w:r>
        <w:rPr>
          <w:spacing w:val="-7"/>
        </w:rPr>
        <w:t> </w:t>
      </w:r>
      <w:r>
        <w:rPr/>
        <w:t>à</w:t>
      </w:r>
      <w:r>
        <w:rPr>
          <w:spacing w:val="-12"/>
        </w:rPr>
        <w:t> </w:t>
      </w:r>
      <w:r>
        <w:rPr/>
        <w:t>129</w:t>
      </w:r>
      <w:r>
        <w:rPr>
          <w:spacing w:val="-11"/>
        </w:rPr>
        <w:t> </w:t>
      </w:r>
      <w:r>
        <w:rPr/>
        <w:t>jours</w:t>
      </w:r>
      <w:r>
        <w:rPr>
          <w:spacing w:val="-9"/>
        </w:rPr>
        <w:t> </w:t>
      </w:r>
      <w:r>
        <w:rPr/>
        <w:t>selon</w:t>
      </w:r>
      <w:r>
        <w:rPr>
          <w:spacing w:val="-11"/>
        </w:rPr>
        <w:t> </w:t>
      </w:r>
      <w:r>
        <w:rPr/>
        <w:t>les</w:t>
      </w:r>
      <w:r>
        <w:rPr>
          <w:spacing w:val="-9"/>
        </w:rPr>
        <w:t> </w:t>
      </w:r>
      <w:r>
        <w:rPr/>
        <w:t>molécules</w:t>
      </w:r>
      <w:r>
        <w:rPr>
          <w:spacing w:val="-11"/>
        </w:rPr>
        <w:t> </w:t>
      </w:r>
      <w:r>
        <w:rPr/>
        <w:t>ou</w:t>
      </w:r>
      <w:r>
        <w:rPr>
          <w:spacing w:val="-9"/>
        </w:rPr>
        <w:t> </w:t>
      </w:r>
      <w:r>
        <w:rPr/>
        <w:t>protocoles utilisés (Lenz et al., 2016). Dans le cas du CN 3, on est à plus de 6 fois cette</w:t>
      </w:r>
      <w:r>
        <w:rPr>
          <w:spacing w:val="-14"/>
        </w:rPr>
        <w:t> </w:t>
      </w:r>
      <w:r>
        <w:rPr/>
        <w:t>durée.</w:t>
      </w:r>
    </w:p>
    <w:p>
      <w:pPr>
        <w:pStyle w:val="BodyText"/>
        <w:spacing w:line="259" w:lineRule="auto" w:before="163"/>
        <w:ind w:left="116" w:right="112" w:firstLine="707"/>
        <w:jc w:val="both"/>
      </w:pPr>
      <w:r>
        <w:rPr/>
        <w:t>Prenons</w:t>
      </w:r>
      <w:r>
        <w:rPr>
          <w:spacing w:val="-7"/>
        </w:rPr>
        <w:t> </w:t>
      </w:r>
      <w:r>
        <w:rPr/>
        <w:t>ensuite</w:t>
      </w:r>
      <w:r>
        <w:rPr>
          <w:spacing w:val="-8"/>
        </w:rPr>
        <w:t> </w:t>
      </w:r>
      <w:r>
        <w:rPr/>
        <w:t>l’exemple</w:t>
      </w:r>
      <w:r>
        <w:rPr>
          <w:spacing w:val="-8"/>
        </w:rPr>
        <w:t> </w:t>
      </w:r>
      <w:r>
        <w:rPr/>
        <w:t>du</w:t>
      </w:r>
      <w:r>
        <w:rPr>
          <w:spacing w:val="-7"/>
        </w:rPr>
        <w:t> </w:t>
      </w:r>
      <w:r>
        <w:rPr/>
        <w:t>CT</w:t>
      </w:r>
      <w:r>
        <w:rPr>
          <w:spacing w:val="-6"/>
        </w:rPr>
        <w:t> </w:t>
      </w:r>
      <w:r>
        <w:rPr/>
        <w:t>1,</w:t>
      </w:r>
      <w:r>
        <w:rPr>
          <w:spacing w:val="-7"/>
        </w:rPr>
        <w:t> </w:t>
      </w:r>
      <w:r>
        <w:rPr/>
        <w:t>traité</w:t>
      </w:r>
      <w:r>
        <w:rPr>
          <w:spacing w:val="-8"/>
        </w:rPr>
        <w:t> </w:t>
      </w:r>
      <w:r>
        <w:rPr/>
        <w:t>pour</w:t>
      </w:r>
      <w:r>
        <w:rPr>
          <w:spacing w:val="-8"/>
        </w:rPr>
        <w:t> </w:t>
      </w:r>
      <w:r>
        <w:rPr/>
        <w:t>un</w:t>
      </w:r>
      <w:r>
        <w:rPr>
          <w:spacing w:val="-10"/>
        </w:rPr>
        <w:t> </w:t>
      </w:r>
      <w:r>
        <w:rPr/>
        <w:t>carcinome</w:t>
      </w:r>
      <w:r>
        <w:rPr>
          <w:spacing w:val="-6"/>
        </w:rPr>
        <w:t> </w:t>
      </w:r>
      <w:r>
        <w:rPr/>
        <w:t>épidermoïde</w:t>
      </w:r>
      <w:r>
        <w:rPr>
          <w:spacing w:val="-8"/>
        </w:rPr>
        <w:t> </w:t>
      </w:r>
      <w:r>
        <w:rPr/>
        <w:t>de</w:t>
      </w:r>
      <w:r>
        <w:rPr>
          <w:spacing w:val="-8"/>
        </w:rPr>
        <w:t> </w:t>
      </w:r>
      <w:r>
        <w:rPr/>
        <w:t>la</w:t>
      </w:r>
      <w:r>
        <w:rPr>
          <w:spacing w:val="-8"/>
        </w:rPr>
        <w:t> </w:t>
      </w:r>
      <w:r>
        <w:rPr/>
        <w:t>gencive initialement avec du méloxicam et des doses croissantes de DCA. De l’HCA a été rajouté au traitement un an après. Une survie de 160 semaines a été atteinte pour ce chat. Le carcinome épidermoïde</w:t>
      </w:r>
      <w:r>
        <w:rPr>
          <w:spacing w:val="-8"/>
        </w:rPr>
        <w:t> </w:t>
      </w:r>
      <w:r>
        <w:rPr/>
        <w:t>présente</w:t>
      </w:r>
      <w:r>
        <w:rPr>
          <w:spacing w:val="-8"/>
        </w:rPr>
        <w:t> </w:t>
      </w:r>
      <w:r>
        <w:rPr/>
        <w:t>un</w:t>
      </w:r>
      <w:r>
        <w:rPr>
          <w:spacing w:val="-5"/>
        </w:rPr>
        <w:t> </w:t>
      </w:r>
      <w:r>
        <w:rPr/>
        <w:t>mauvais</w:t>
      </w:r>
      <w:r>
        <w:rPr>
          <w:spacing w:val="-6"/>
        </w:rPr>
        <w:t> </w:t>
      </w:r>
      <w:r>
        <w:rPr/>
        <w:t>pronostic</w:t>
      </w:r>
      <w:r>
        <w:rPr>
          <w:spacing w:val="-8"/>
        </w:rPr>
        <w:t> </w:t>
      </w:r>
      <w:r>
        <w:rPr/>
        <w:t>s’il</w:t>
      </w:r>
      <w:r>
        <w:rPr>
          <w:spacing w:val="-7"/>
        </w:rPr>
        <w:t> </w:t>
      </w:r>
      <w:r>
        <w:rPr/>
        <w:t>n’est</w:t>
      </w:r>
      <w:r>
        <w:rPr>
          <w:spacing w:val="-7"/>
        </w:rPr>
        <w:t> </w:t>
      </w:r>
      <w:r>
        <w:rPr/>
        <w:t>pas</w:t>
      </w:r>
      <w:r>
        <w:rPr>
          <w:spacing w:val="-7"/>
        </w:rPr>
        <w:t> </w:t>
      </w:r>
      <w:r>
        <w:rPr/>
        <w:t>possible</w:t>
      </w:r>
      <w:r>
        <w:rPr>
          <w:spacing w:val="-8"/>
        </w:rPr>
        <w:t> </w:t>
      </w:r>
      <w:r>
        <w:rPr/>
        <w:t>de</w:t>
      </w:r>
      <w:r>
        <w:rPr>
          <w:spacing w:val="-8"/>
        </w:rPr>
        <w:t> </w:t>
      </w:r>
      <w:r>
        <w:rPr/>
        <w:t>le</w:t>
      </w:r>
      <w:r>
        <w:rPr>
          <w:spacing w:val="-8"/>
        </w:rPr>
        <w:t> </w:t>
      </w:r>
      <w:r>
        <w:rPr/>
        <w:t>retirer</w:t>
      </w:r>
      <w:r>
        <w:rPr>
          <w:spacing w:val="-8"/>
        </w:rPr>
        <w:t> </w:t>
      </w:r>
      <w:r>
        <w:rPr/>
        <w:t>en</w:t>
      </w:r>
      <w:r>
        <w:rPr>
          <w:spacing w:val="-7"/>
        </w:rPr>
        <w:t> </w:t>
      </w:r>
      <w:r>
        <w:rPr/>
        <w:t>marges</w:t>
      </w:r>
      <w:r>
        <w:rPr>
          <w:spacing w:val="-7"/>
        </w:rPr>
        <w:t> </w:t>
      </w:r>
      <w:r>
        <w:rPr/>
        <w:t>saines (Withrow et al., 2013). L’étude de Hayes et al. s’intéresse aux traitements palliatifs pouvant améliorer la survie dans le cas de carcinomes épidermoïdes non opérables (Hayes et al.,</w:t>
      </w:r>
      <w:r>
        <w:rPr>
          <w:spacing w:val="-40"/>
        </w:rPr>
        <w:t> </w:t>
      </w:r>
      <w:r>
        <w:rPr/>
        <w:t>2007). L’utilisation des anti-inflammatoires non stéroïdiens améliore la survie (médiane de survie de 44 jours, un individu ayant atteint 773 jours) mais ne permet pas d’atteindre une survie de 160 semaines (1120 jours) comme dans le cas du CT</w:t>
      </w:r>
      <w:r>
        <w:rPr>
          <w:spacing w:val="-4"/>
        </w:rPr>
        <w:t> </w:t>
      </w:r>
      <w:r>
        <w:rPr/>
        <w:t>1.</w:t>
      </w:r>
    </w:p>
    <w:p>
      <w:pPr>
        <w:pStyle w:val="BodyText"/>
        <w:spacing w:line="256" w:lineRule="auto" w:before="163"/>
        <w:ind w:left="116" w:right="114" w:firstLine="707"/>
        <w:jc w:val="both"/>
      </w:pPr>
      <w:r>
        <w:rPr/>
        <w:t>Ces quelques exemples ne sont toutefois que des cas isolés pouvant faire l’objet de rémissions longues, exceptionnelles mais connues parfois également avec les traitements standards.</w:t>
      </w:r>
    </w:p>
    <w:p>
      <w:pPr>
        <w:spacing w:after="0" w:line="256" w:lineRule="auto"/>
        <w:jc w:val="both"/>
        <w:sectPr>
          <w:pgSz w:w="11910" w:h="16840"/>
          <w:pgMar w:header="0" w:footer="1055" w:top="1320" w:bottom="1240" w:left="1300" w:right="1300"/>
        </w:sectPr>
      </w:pPr>
    </w:p>
    <w:p>
      <w:pPr>
        <w:pStyle w:val="Heading5"/>
        <w:numPr>
          <w:ilvl w:val="1"/>
          <w:numId w:val="29"/>
        </w:numPr>
        <w:tabs>
          <w:tab w:pos="2252" w:val="left" w:leader="none"/>
          <w:tab w:pos="2253" w:val="left" w:leader="none"/>
        </w:tabs>
        <w:spacing w:line="240" w:lineRule="auto" w:before="77" w:after="0"/>
        <w:ind w:left="2252" w:right="0" w:hanging="720"/>
        <w:jc w:val="left"/>
        <w:rPr>
          <w:i/>
        </w:rPr>
      </w:pPr>
      <w:r>
        <w:rPr>
          <w:i/>
        </w:rPr>
        <w:t>L’impact sur le métabolisme de la cellule</w:t>
      </w:r>
      <w:r>
        <w:rPr>
          <w:i/>
          <w:spacing w:val="-11"/>
        </w:rPr>
        <w:t> </w:t>
      </w:r>
      <w:r>
        <w:rPr>
          <w:i/>
        </w:rPr>
        <w:t>tumorale</w:t>
      </w:r>
    </w:p>
    <w:p>
      <w:pPr>
        <w:pStyle w:val="BodyText"/>
        <w:rPr>
          <w:b/>
          <w:i/>
          <w:sz w:val="26"/>
        </w:rPr>
      </w:pPr>
    </w:p>
    <w:p>
      <w:pPr>
        <w:pStyle w:val="BodyText"/>
        <w:spacing w:line="259" w:lineRule="auto" w:before="176"/>
        <w:ind w:left="116" w:right="115" w:firstLine="707"/>
        <w:jc w:val="both"/>
      </w:pPr>
      <w:r>
        <w:rPr/>
        <w:t>L’impact des molécules utilisées sur le métabolisme des cellules tumorales n’a pas été correctement évalué, principalement par manque de critères d’évaluation disponibles. </w:t>
      </w:r>
      <w:r>
        <w:rPr>
          <w:spacing w:val="-3"/>
        </w:rPr>
        <w:t>Il </w:t>
      </w:r>
      <w:r>
        <w:rPr/>
        <w:t>aurait été intéressant d’ajouter au suivi de la numération formule sanguine et des paramètres biochimiques</w:t>
      </w:r>
      <w:r>
        <w:rPr>
          <w:spacing w:val="-14"/>
        </w:rPr>
        <w:t> </w:t>
      </w:r>
      <w:r>
        <w:rPr/>
        <w:t>rénaux</w:t>
      </w:r>
      <w:r>
        <w:rPr>
          <w:spacing w:val="-12"/>
        </w:rPr>
        <w:t> </w:t>
      </w:r>
      <w:r>
        <w:rPr/>
        <w:t>et</w:t>
      </w:r>
      <w:r>
        <w:rPr>
          <w:spacing w:val="-14"/>
        </w:rPr>
        <w:t> </w:t>
      </w:r>
      <w:r>
        <w:rPr/>
        <w:t>hépatiques,</w:t>
      </w:r>
      <w:r>
        <w:rPr>
          <w:spacing w:val="-14"/>
        </w:rPr>
        <w:t> </w:t>
      </w:r>
      <w:r>
        <w:rPr/>
        <w:t>un</w:t>
      </w:r>
      <w:r>
        <w:rPr>
          <w:spacing w:val="-14"/>
        </w:rPr>
        <w:t> </w:t>
      </w:r>
      <w:r>
        <w:rPr/>
        <w:t>ionogramme</w:t>
      </w:r>
      <w:r>
        <w:rPr>
          <w:spacing w:val="-15"/>
        </w:rPr>
        <w:t> </w:t>
      </w:r>
      <w:r>
        <w:rPr/>
        <w:t>complet.</w:t>
      </w:r>
      <w:r>
        <w:rPr>
          <w:spacing w:val="-14"/>
        </w:rPr>
        <w:t> </w:t>
      </w:r>
      <w:r>
        <w:rPr/>
        <w:t>Un</w:t>
      </w:r>
      <w:r>
        <w:rPr>
          <w:spacing w:val="-15"/>
        </w:rPr>
        <w:t> </w:t>
      </w:r>
      <w:r>
        <w:rPr/>
        <w:t>dosage</w:t>
      </w:r>
      <w:r>
        <w:rPr>
          <w:spacing w:val="-15"/>
        </w:rPr>
        <w:t> </w:t>
      </w:r>
      <w:r>
        <w:rPr/>
        <w:t>de</w:t>
      </w:r>
      <w:r>
        <w:rPr>
          <w:spacing w:val="-13"/>
        </w:rPr>
        <w:t> </w:t>
      </w:r>
      <w:r>
        <w:rPr/>
        <w:t>métabolites</w:t>
      </w:r>
      <w:r>
        <w:rPr>
          <w:spacing w:val="-15"/>
        </w:rPr>
        <w:t> </w:t>
      </w:r>
      <w:r>
        <w:rPr/>
        <w:t>(lactate, pyruvate…) et une mesure du pH dans des biopsies tumorales régulières permettrait d’évaluer plus précisément l’impact du traitement sur le métabolisme</w:t>
      </w:r>
      <w:r>
        <w:rPr>
          <w:spacing w:val="-18"/>
        </w:rPr>
        <w:t> </w:t>
      </w:r>
      <w:r>
        <w:rPr/>
        <w:t>cellulaire.</w:t>
      </w:r>
    </w:p>
    <w:p>
      <w:pPr>
        <w:pStyle w:val="BodyText"/>
        <w:rPr>
          <w:sz w:val="26"/>
        </w:rPr>
      </w:pPr>
    </w:p>
    <w:p>
      <w:pPr>
        <w:pStyle w:val="BodyText"/>
        <w:spacing w:before="10"/>
        <w:rPr>
          <w:sz w:val="27"/>
        </w:rPr>
      </w:pPr>
    </w:p>
    <w:p>
      <w:pPr>
        <w:pStyle w:val="ListParagraph"/>
        <w:numPr>
          <w:ilvl w:val="0"/>
          <w:numId w:val="29"/>
        </w:numPr>
        <w:tabs>
          <w:tab w:pos="1110" w:val="left" w:leader="none"/>
        </w:tabs>
        <w:spacing w:line="240" w:lineRule="auto" w:before="0" w:after="0"/>
        <w:ind w:left="1110" w:right="0" w:hanging="360"/>
        <w:jc w:val="left"/>
        <w:rPr>
          <w:sz w:val="24"/>
        </w:rPr>
      </w:pPr>
      <w:bookmarkStart w:name="_bookmark186" w:id="320"/>
      <w:bookmarkEnd w:id="320"/>
      <w:r>
        <w:rPr/>
      </w:r>
      <w:bookmarkStart w:name="_bookmark186" w:id="321"/>
      <w:bookmarkEnd w:id="321"/>
      <w:r>
        <w:rPr>
          <w:sz w:val="24"/>
          <w:u w:val="single"/>
        </w:rPr>
        <w:t>C</w:t>
      </w:r>
      <w:r>
        <w:rPr>
          <w:sz w:val="24"/>
          <w:u w:val="single"/>
        </w:rPr>
        <w:t>onclusions</w:t>
      </w:r>
    </w:p>
    <w:p>
      <w:pPr>
        <w:pStyle w:val="BodyText"/>
        <w:rPr>
          <w:sz w:val="20"/>
        </w:rPr>
      </w:pPr>
    </w:p>
    <w:p>
      <w:pPr>
        <w:pStyle w:val="BodyText"/>
        <w:spacing w:before="9"/>
        <w:rPr>
          <w:sz w:val="21"/>
        </w:rPr>
      </w:pPr>
    </w:p>
    <w:p>
      <w:pPr>
        <w:pStyle w:val="BodyText"/>
        <w:spacing w:line="259" w:lineRule="auto"/>
        <w:ind w:left="116" w:right="116" w:firstLine="707"/>
        <w:jc w:val="both"/>
      </w:pPr>
      <w:r>
        <w:rPr/>
        <w:t>Les limites de cette étude préalable sont nombreuses (hétérogénéité des molécules utilisées, traitements parallèles mis en place, diversité des cancers étudiés, absence de standardisation du diagnostic et du bilan d’extension...) et ne permettent pas d’aboutir à une conclusion d’efficacité de la TM. En revanche, cette première étude d’observation suggère la possibilité</w:t>
      </w:r>
      <w:r>
        <w:rPr>
          <w:spacing w:val="-6"/>
        </w:rPr>
        <w:t> </w:t>
      </w:r>
      <w:r>
        <w:rPr/>
        <w:t>d’utilisation</w:t>
      </w:r>
      <w:r>
        <w:rPr>
          <w:spacing w:val="-4"/>
        </w:rPr>
        <w:t> </w:t>
      </w:r>
      <w:r>
        <w:rPr/>
        <w:t>de</w:t>
      </w:r>
      <w:r>
        <w:rPr>
          <w:spacing w:val="-6"/>
        </w:rPr>
        <w:t> </w:t>
      </w:r>
      <w:r>
        <w:rPr/>
        <w:t>ces</w:t>
      </w:r>
      <w:r>
        <w:rPr>
          <w:spacing w:val="-5"/>
        </w:rPr>
        <w:t> </w:t>
      </w:r>
      <w:r>
        <w:rPr/>
        <w:t>molécules</w:t>
      </w:r>
      <w:r>
        <w:rPr>
          <w:spacing w:val="-5"/>
        </w:rPr>
        <w:t> </w:t>
      </w:r>
      <w:r>
        <w:rPr/>
        <w:t>en</w:t>
      </w:r>
      <w:r>
        <w:rPr>
          <w:spacing w:val="-2"/>
        </w:rPr>
        <w:t> </w:t>
      </w:r>
      <w:r>
        <w:rPr/>
        <w:t>clinique</w:t>
      </w:r>
      <w:r>
        <w:rPr>
          <w:spacing w:val="-5"/>
        </w:rPr>
        <w:t> </w:t>
      </w:r>
      <w:r>
        <w:rPr/>
        <w:t>vétérinaire.</w:t>
      </w:r>
      <w:r>
        <w:rPr>
          <w:spacing w:val="-5"/>
        </w:rPr>
        <w:t> </w:t>
      </w:r>
      <w:r>
        <w:rPr/>
        <w:t>En</w:t>
      </w:r>
      <w:r>
        <w:rPr>
          <w:spacing w:val="-5"/>
        </w:rPr>
        <w:t> </w:t>
      </w:r>
      <w:r>
        <w:rPr/>
        <w:t>effet,</w:t>
      </w:r>
      <w:r>
        <w:rPr>
          <w:spacing w:val="-4"/>
        </w:rPr>
        <w:t> </w:t>
      </w:r>
      <w:r>
        <w:rPr/>
        <w:t>cette</w:t>
      </w:r>
      <w:r>
        <w:rPr>
          <w:spacing w:val="-6"/>
        </w:rPr>
        <w:t> </w:t>
      </w:r>
      <w:r>
        <w:rPr/>
        <w:t>étude</w:t>
      </w:r>
      <w:r>
        <w:rPr>
          <w:spacing w:val="-5"/>
        </w:rPr>
        <w:t> </w:t>
      </w:r>
      <w:r>
        <w:rPr/>
        <w:t>montre</w:t>
      </w:r>
      <w:r>
        <w:rPr>
          <w:spacing w:val="-7"/>
        </w:rPr>
        <w:t> </w:t>
      </w:r>
      <w:r>
        <w:rPr/>
        <w:t>la bonne tolérance des animaux vis-à-vis de la TM, ainsi que l’excellent confort de vie lors de la prise du traitement. La TM a été utilisée en relais après un traitement cytotoxique de première intention, soit en parallèle (notamment dans le but de limiter les phénomènes de chimiorésistance) soit en approche palliative pour les propriétaires qui le</w:t>
      </w:r>
      <w:r>
        <w:rPr>
          <w:spacing w:val="-14"/>
        </w:rPr>
        <w:t> </w:t>
      </w:r>
      <w:r>
        <w:rPr/>
        <w:t>souhaitent.</w:t>
      </w:r>
    </w:p>
    <w:p>
      <w:pPr>
        <w:pStyle w:val="BodyText"/>
        <w:spacing w:line="259" w:lineRule="auto" w:before="163"/>
        <w:ind w:left="116" w:right="114" w:firstLine="707"/>
        <w:jc w:val="both"/>
      </w:pPr>
      <w:r>
        <w:rPr/>
        <w:t>Quelques cas intéressants ont été mis en évidence concernant la survie des animaux ou la</w:t>
      </w:r>
      <w:r>
        <w:rPr>
          <w:spacing w:val="-5"/>
        </w:rPr>
        <w:t> </w:t>
      </w:r>
      <w:r>
        <w:rPr/>
        <w:t>progression</w:t>
      </w:r>
      <w:r>
        <w:rPr>
          <w:spacing w:val="-5"/>
        </w:rPr>
        <w:t> </w:t>
      </w:r>
      <w:r>
        <w:rPr/>
        <w:t>tumorale,</w:t>
      </w:r>
      <w:r>
        <w:rPr>
          <w:spacing w:val="-5"/>
        </w:rPr>
        <w:t> </w:t>
      </w:r>
      <w:r>
        <w:rPr/>
        <w:t>encourageant</w:t>
      </w:r>
      <w:r>
        <w:rPr>
          <w:spacing w:val="-4"/>
        </w:rPr>
        <w:t> </w:t>
      </w:r>
      <w:r>
        <w:rPr/>
        <w:t>la</w:t>
      </w:r>
      <w:r>
        <w:rPr>
          <w:spacing w:val="-5"/>
        </w:rPr>
        <w:t> </w:t>
      </w:r>
      <w:r>
        <w:rPr/>
        <w:t>poursuite</w:t>
      </w:r>
      <w:r>
        <w:rPr>
          <w:spacing w:val="-5"/>
        </w:rPr>
        <w:t> </w:t>
      </w:r>
      <w:r>
        <w:rPr/>
        <w:t>des</w:t>
      </w:r>
      <w:r>
        <w:rPr>
          <w:spacing w:val="-5"/>
        </w:rPr>
        <w:t> </w:t>
      </w:r>
      <w:r>
        <w:rPr/>
        <w:t>recherches.</w:t>
      </w:r>
      <w:r>
        <w:rPr>
          <w:spacing w:val="-5"/>
        </w:rPr>
        <w:t> </w:t>
      </w:r>
      <w:r>
        <w:rPr/>
        <w:t>Envisageons</w:t>
      </w:r>
      <w:r>
        <w:rPr>
          <w:spacing w:val="-5"/>
        </w:rPr>
        <w:t> </w:t>
      </w:r>
      <w:r>
        <w:rPr/>
        <w:t>maintenant</w:t>
      </w:r>
      <w:r>
        <w:rPr>
          <w:spacing w:val="-4"/>
        </w:rPr>
        <w:t> </w:t>
      </w:r>
      <w:r>
        <w:rPr/>
        <w:t>les perspectives dans ce domaine, dans le but de proposer un protocole d’essai clinique rigoureux permettant</w:t>
      </w:r>
      <w:r>
        <w:rPr>
          <w:spacing w:val="-7"/>
        </w:rPr>
        <w:t> </w:t>
      </w:r>
      <w:r>
        <w:rPr/>
        <w:t>d’évaluer</w:t>
      </w:r>
      <w:r>
        <w:rPr>
          <w:spacing w:val="-8"/>
        </w:rPr>
        <w:t> </w:t>
      </w:r>
      <w:r>
        <w:rPr/>
        <w:t>l’efficacité</w:t>
      </w:r>
      <w:r>
        <w:rPr>
          <w:spacing w:val="-6"/>
        </w:rPr>
        <w:t> </w:t>
      </w:r>
      <w:r>
        <w:rPr/>
        <w:t>de</w:t>
      </w:r>
      <w:r>
        <w:rPr>
          <w:spacing w:val="-8"/>
        </w:rPr>
        <w:t> </w:t>
      </w:r>
      <w:r>
        <w:rPr/>
        <w:t>la</w:t>
      </w:r>
      <w:r>
        <w:rPr>
          <w:spacing w:val="-8"/>
        </w:rPr>
        <w:t> </w:t>
      </w:r>
      <w:r>
        <w:rPr/>
        <w:t>TM</w:t>
      </w:r>
      <w:r>
        <w:rPr>
          <w:spacing w:val="-7"/>
        </w:rPr>
        <w:t> </w:t>
      </w:r>
      <w:r>
        <w:rPr/>
        <w:t>sur</w:t>
      </w:r>
      <w:r>
        <w:rPr>
          <w:spacing w:val="-8"/>
        </w:rPr>
        <w:t> </w:t>
      </w:r>
      <w:r>
        <w:rPr/>
        <w:t>la</w:t>
      </w:r>
      <w:r>
        <w:rPr>
          <w:spacing w:val="-8"/>
        </w:rPr>
        <w:t> </w:t>
      </w:r>
      <w:r>
        <w:rPr/>
        <w:t>progression</w:t>
      </w:r>
      <w:r>
        <w:rPr>
          <w:spacing w:val="-7"/>
        </w:rPr>
        <w:t> </w:t>
      </w:r>
      <w:r>
        <w:rPr/>
        <w:t>tumorale</w:t>
      </w:r>
      <w:r>
        <w:rPr>
          <w:spacing w:val="-8"/>
        </w:rPr>
        <w:t> </w:t>
      </w:r>
      <w:r>
        <w:rPr/>
        <w:t>et</w:t>
      </w:r>
      <w:r>
        <w:rPr>
          <w:spacing w:val="-7"/>
        </w:rPr>
        <w:t> </w:t>
      </w:r>
      <w:r>
        <w:rPr/>
        <w:t>la</w:t>
      </w:r>
      <w:r>
        <w:rPr>
          <w:spacing w:val="-8"/>
        </w:rPr>
        <w:t> </w:t>
      </w:r>
      <w:r>
        <w:rPr/>
        <w:t>survie</w:t>
      </w:r>
      <w:r>
        <w:rPr>
          <w:spacing w:val="-8"/>
        </w:rPr>
        <w:t> </w:t>
      </w:r>
      <w:r>
        <w:rPr/>
        <w:t>des</w:t>
      </w:r>
      <w:r>
        <w:rPr>
          <w:spacing w:val="-7"/>
        </w:rPr>
        <w:t> </w:t>
      </w:r>
      <w:r>
        <w:rPr/>
        <w:t>animaux.</w:t>
      </w:r>
    </w:p>
    <w:p>
      <w:pPr>
        <w:spacing w:after="0" w:line="259" w:lineRule="auto"/>
        <w:jc w:val="both"/>
        <w:sectPr>
          <w:pgSz w:w="11910" w:h="16840"/>
          <w:pgMar w:header="0" w:footer="1055" w:top="1320" w:bottom="1240" w:left="1300" w:right="1300"/>
        </w:sectPr>
      </w:pPr>
    </w:p>
    <w:p>
      <w:pPr>
        <w:pStyle w:val="Heading2"/>
        <w:numPr>
          <w:ilvl w:val="0"/>
          <w:numId w:val="21"/>
        </w:numPr>
        <w:tabs>
          <w:tab w:pos="1196" w:val="left" w:leader="none"/>
          <w:tab w:pos="1197" w:val="left" w:leader="none"/>
        </w:tabs>
        <w:spacing w:line="240" w:lineRule="auto" w:before="57" w:after="0"/>
        <w:ind w:left="1196" w:right="0" w:hanging="720"/>
        <w:jc w:val="left"/>
        <w:rPr>
          <w:u w:val="none"/>
        </w:rPr>
      </w:pPr>
      <w:bookmarkStart w:name="_bookmark187" w:id="322"/>
      <w:bookmarkEnd w:id="322"/>
      <w:r>
        <w:rPr>
          <w:b w:val="0"/>
          <w:u w:val="none"/>
        </w:rPr>
      </w:r>
      <w:bookmarkStart w:name="_bookmark187" w:id="323"/>
      <w:bookmarkEnd w:id="323"/>
      <w:r>
        <w:rPr>
          <w:u w:val="thick"/>
        </w:rPr>
        <w:t>Perspe</w:t>
      </w:r>
      <w:r>
        <w:rPr>
          <w:u w:val="thick"/>
        </w:rPr>
        <w:t>ctives</w:t>
      </w:r>
    </w:p>
    <w:p>
      <w:pPr>
        <w:pStyle w:val="BodyText"/>
        <w:rPr>
          <w:b/>
          <w:sz w:val="20"/>
        </w:rPr>
      </w:pPr>
    </w:p>
    <w:p>
      <w:pPr>
        <w:pStyle w:val="BodyText"/>
        <w:spacing w:before="7"/>
        <w:rPr>
          <w:b/>
          <w:sz w:val="18"/>
        </w:rPr>
      </w:pPr>
    </w:p>
    <w:p>
      <w:pPr>
        <w:pStyle w:val="Heading3"/>
        <w:numPr>
          <w:ilvl w:val="1"/>
          <w:numId w:val="21"/>
        </w:numPr>
        <w:tabs>
          <w:tab w:pos="1535" w:val="left" w:leader="none"/>
        </w:tabs>
        <w:spacing w:line="240" w:lineRule="auto" w:before="89" w:after="0"/>
        <w:ind w:left="1534" w:right="0" w:hanging="360"/>
        <w:jc w:val="left"/>
      </w:pPr>
      <w:bookmarkStart w:name="_bookmark188" w:id="324"/>
      <w:bookmarkEnd w:id="324"/>
      <w:r>
        <w:rPr>
          <w:b w:val="0"/>
        </w:rPr>
      </w:r>
      <w:bookmarkStart w:name="_bookmark188" w:id="325"/>
      <w:bookmarkEnd w:id="325"/>
      <w:r>
        <w:rPr/>
        <w:t>I</w:t>
      </w:r>
      <w:r>
        <w:rPr/>
        <w:t>ntroduction</w:t>
      </w:r>
    </w:p>
    <w:p>
      <w:pPr>
        <w:pStyle w:val="BodyText"/>
        <w:rPr>
          <w:b/>
          <w:sz w:val="30"/>
        </w:rPr>
      </w:pPr>
    </w:p>
    <w:p>
      <w:pPr>
        <w:pStyle w:val="BodyText"/>
        <w:spacing w:line="273" w:lineRule="auto" w:before="176"/>
        <w:ind w:left="116" w:right="121" w:firstLine="707"/>
        <w:jc w:val="both"/>
      </w:pPr>
      <w:r>
        <w:rPr/>
        <w:t>Le but de cette partie est de proposer un modèle d’essai clinique respectant les bonnes pratiques cliniques de design, de réalisation et d’analyse. Un essai clinique rigoureusement mené nécessite la réalisation de différentes phases :</w:t>
      </w:r>
    </w:p>
    <w:p>
      <w:pPr>
        <w:pStyle w:val="ListParagraph"/>
        <w:numPr>
          <w:ilvl w:val="1"/>
          <w:numId w:val="6"/>
        </w:numPr>
        <w:tabs>
          <w:tab w:pos="837" w:val="left" w:leader="none"/>
        </w:tabs>
        <w:spacing w:line="276" w:lineRule="auto" w:before="166" w:after="0"/>
        <w:ind w:left="836" w:right="120" w:hanging="360"/>
        <w:jc w:val="both"/>
        <w:rPr>
          <w:sz w:val="24"/>
        </w:rPr>
      </w:pPr>
      <w:r>
        <w:rPr>
          <w:b/>
          <w:sz w:val="24"/>
        </w:rPr>
        <w:t>La phase 0 </w:t>
      </w:r>
      <w:r>
        <w:rPr>
          <w:sz w:val="24"/>
        </w:rPr>
        <w:t>permet de valider la cible thérapeutique, d’étudier la pharmacodynamique et pharmacocinétique des molécules et d’en sélectionner une idéale pour la</w:t>
      </w:r>
      <w:r>
        <w:rPr>
          <w:spacing w:val="-14"/>
          <w:sz w:val="24"/>
        </w:rPr>
        <w:t> </w:t>
      </w:r>
      <w:r>
        <w:rPr>
          <w:sz w:val="24"/>
        </w:rPr>
        <w:t>suite.</w:t>
      </w:r>
    </w:p>
    <w:p>
      <w:pPr>
        <w:pStyle w:val="ListParagraph"/>
        <w:numPr>
          <w:ilvl w:val="1"/>
          <w:numId w:val="6"/>
        </w:numPr>
        <w:tabs>
          <w:tab w:pos="837" w:val="left" w:leader="none"/>
        </w:tabs>
        <w:spacing w:line="276" w:lineRule="auto" w:before="3" w:after="0"/>
        <w:ind w:left="836" w:right="113" w:hanging="360"/>
        <w:jc w:val="both"/>
        <w:rPr>
          <w:sz w:val="24"/>
        </w:rPr>
      </w:pPr>
      <w:r>
        <w:rPr>
          <w:b/>
          <w:sz w:val="24"/>
        </w:rPr>
        <w:t>La phase I </w:t>
      </w:r>
      <w:r>
        <w:rPr>
          <w:sz w:val="24"/>
        </w:rPr>
        <w:t>étudie la tolérance à court terme et permet d’établir une dose optimale de traitement.</w:t>
      </w:r>
    </w:p>
    <w:p>
      <w:pPr>
        <w:pStyle w:val="ListParagraph"/>
        <w:numPr>
          <w:ilvl w:val="1"/>
          <w:numId w:val="6"/>
        </w:numPr>
        <w:tabs>
          <w:tab w:pos="836" w:val="left" w:leader="none"/>
          <w:tab w:pos="837" w:val="left" w:leader="none"/>
        </w:tabs>
        <w:spacing w:line="240" w:lineRule="auto" w:before="0" w:after="0"/>
        <w:ind w:left="836" w:right="0" w:hanging="360"/>
        <w:jc w:val="left"/>
        <w:rPr>
          <w:sz w:val="24"/>
        </w:rPr>
      </w:pPr>
      <w:r>
        <w:rPr>
          <w:b/>
          <w:sz w:val="24"/>
        </w:rPr>
        <w:t>La phase II  </w:t>
      </w:r>
      <w:r>
        <w:rPr>
          <w:sz w:val="24"/>
        </w:rPr>
        <w:t>évalue l’efficacité et l’activité de la</w:t>
      </w:r>
      <w:r>
        <w:rPr>
          <w:spacing w:val="-12"/>
          <w:sz w:val="24"/>
        </w:rPr>
        <w:t> </w:t>
      </w:r>
      <w:r>
        <w:rPr>
          <w:sz w:val="24"/>
        </w:rPr>
        <w:t>molécule.</w:t>
      </w:r>
    </w:p>
    <w:p>
      <w:pPr>
        <w:pStyle w:val="ListParagraph"/>
        <w:numPr>
          <w:ilvl w:val="1"/>
          <w:numId w:val="6"/>
        </w:numPr>
        <w:tabs>
          <w:tab w:pos="837" w:val="left" w:leader="none"/>
        </w:tabs>
        <w:spacing w:line="276" w:lineRule="auto" w:before="40" w:after="0"/>
        <w:ind w:left="836" w:right="114" w:hanging="360"/>
        <w:jc w:val="both"/>
        <w:rPr>
          <w:sz w:val="24"/>
        </w:rPr>
      </w:pPr>
      <w:r>
        <w:rPr>
          <w:b/>
          <w:sz w:val="24"/>
        </w:rPr>
        <w:t>La phase III </w:t>
      </w:r>
      <w:r>
        <w:rPr>
          <w:sz w:val="24"/>
        </w:rPr>
        <w:t>évalue l’efficacité thérapeutique par rapport aux traitements de</w:t>
      </w:r>
      <w:r>
        <w:rPr>
          <w:spacing w:val="-34"/>
          <w:sz w:val="24"/>
        </w:rPr>
        <w:t> </w:t>
      </w:r>
      <w:r>
        <w:rPr>
          <w:sz w:val="24"/>
        </w:rPr>
        <w:t>référence. Une</w:t>
      </w:r>
      <w:r>
        <w:rPr>
          <w:spacing w:val="-5"/>
          <w:sz w:val="24"/>
        </w:rPr>
        <w:t> </w:t>
      </w:r>
      <w:r>
        <w:rPr>
          <w:sz w:val="24"/>
        </w:rPr>
        <w:t>Autorisation</w:t>
      </w:r>
      <w:r>
        <w:rPr>
          <w:spacing w:val="-3"/>
          <w:sz w:val="24"/>
        </w:rPr>
        <w:t> </w:t>
      </w:r>
      <w:r>
        <w:rPr>
          <w:sz w:val="24"/>
        </w:rPr>
        <w:t>de</w:t>
      </w:r>
      <w:r>
        <w:rPr>
          <w:spacing w:val="-5"/>
          <w:sz w:val="24"/>
        </w:rPr>
        <w:t> </w:t>
      </w:r>
      <w:r>
        <w:rPr>
          <w:sz w:val="24"/>
        </w:rPr>
        <w:t>Mise</w:t>
      </w:r>
      <w:r>
        <w:rPr>
          <w:spacing w:val="-5"/>
          <w:sz w:val="24"/>
        </w:rPr>
        <w:t> </w:t>
      </w:r>
      <w:r>
        <w:rPr>
          <w:sz w:val="24"/>
        </w:rPr>
        <w:t>sur</w:t>
      </w:r>
      <w:r>
        <w:rPr>
          <w:spacing w:val="-4"/>
          <w:sz w:val="24"/>
        </w:rPr>
        <w:t> </w:t>
      </w:r>
      <w:r>
        <w:rPr>
          <w:sz w:val="24"/>
        </w:rPr>
        <w:t>le</w:t>
      </w:r>
      <w:r>
        <w:rPr>
          <w:spacing w:val="-4"/>
          <w:sz w:val="24"/>
        </w:rPr>
        <w:t> </w:t>
      </w:r>
      <w:r>
        <w:rPr>
          <w:sz w:val="24"/>
        </w:rPr>
        <w:t>Marché</w:t>
      </w:r>
      <w:r>
        <w:rPr>
          <w:spacing w:val="-5"/>
          <w:sz w:val="24"/>
        </w:rPr>
        <w:t> </w:t>
      </w:r>
      <w:r>
        <w:rPr>
          <w:sz w:val="24"/>
        </w:rPr>
        <w:t>(AMM)</w:t>
      </w:r>
      <w:r>
        <w:rPr>
          <w:spacing w:val="-2"/>
          <w:sz w:val="24"/>
        </w:rPr>
        <w:t> </w:t>
      </w:r>
      <w:r>
        <w:rPr>
          <w:sz w:val="24"/>
        </w:rPr>
        <w:t>est</w:t>
      </w:r>
      <w:r>
        <w:rPr>
          <w:spacing w:val="-3"/>
          <w:sz w:val="24"/>
        </w:rPr>
        <w:t> </w:t>
      </w:r>
      <w:r>
        <w:rPr>
          <w:sz w:val="24"/>
        </w:rPr>
        <w:t>délivrée</w:t>
      </w:r>
      <w:r>
        <w:rPr>
          <w:spacing w:val="-5"/>
          <w:sz w:val="24"/>
        </w:rPr>
        <w:t> </w:t>
      </w:r>
      <w:r>
        <w:rPr>
          <w:sz w:val="24"/>
        </w:rPr>
        <w:t>à</w:t>
      </w:r>
      <w:r>
        <w:rPr>
          <w:spacing w:val="-5"/>
          <w:sz w:val="24"/>
        </w:rPr>
        <w:t> </w:t>
      </w:r>
      <w:r>
        <w:rPr>
          <w:sz w:val="24"/>
        </w:rPr>
        <w:t>la</w:t>
      </w:r>
      <w:r>
        <w:rPr>
          <w:spacing w:val="-4"/>
          <w:sz w:val="24"/>
        </w:rPr>
        <w:t> </w:t>
      </w:r>
      <w:r>
        <w:rPr>
          <w:sz w:val="24"/>
        </w:rPr>
        <w:t>suite</w:t>
      </w:r>
      <w:r>
        <w:rPr>
          <w:spacing w:val="-5"/>
          <w:sz w:val="24"/>
        </w:rPr>
        <w:t> </w:t>
      </w:r>
      <w:r>
        <w:rPr>
          <w:sz w:val="24"/>
        </w:rPr>
        <w:t>de</w:t>
      </w:r>
      <w:r>
        <w:rPr>
          <w:spacing w:val="-5"/>
          <w:sz w:val="24"/>
        </w:rPr>
        <w:t> </w:t>
      </w:r>
      <w:r>
        <w:rPr>
          <w:sz w:val="24"/>
        </w:rPr>
        <w:t>la</w:t>
      </w:r>
      <w:r>
        <w:rPr>
          <w:spacing w:val="-4"/>
          <w:sz w:val="24"/>
        </w:rPr>
        <w:t> </w:t>
      </w:r>
      <w:r>
        <w:rPr>
          <w:sz w:val="24"/>
        </w:rPr>
        <w:t>phase</w:t>
      </w:r>
      <w:r>
        <w:rPr>
          <w:spacing w:val="-2"/>
          <w:sz w:val="24"/>
        </w:rPr>
        <w:t> </w:t>
      </w:r>
      <w:r>
        <w:rPr>
          <w:sz w:val="24"/>
        </w:rPr>
        <w:t>III</w:t>
      </w:r>
      <w:r>
        <w:rPr>
          <w:spacing w:val="-7"/>
          <w:sz w:val="24"/>
        </w:rPr>
        <w:t> </w:t>
      </w:r>
      <w:r>
        <w:rPr>
          <w:sz w:val="24"/>
        </w:rPr>
        <w:t>si les résultats sont</w:t>
      </w:r>
      <w:r>
        <w:rPr>
          <w:spacing w:val="-7"/>
          <w:sz w:val="24"/>
        </w:rPr>
        <w:t> </w:t>
      </w:r>
      <w:r>
        <w:rPr>
          <w:sz w:val="24"/>
        </w:rPr>
        <w:t>favorables.</w:t>
      </w:r>
    </w:p>
    <w:p>
      <w:pPr>
        <w:pStyle w:val="ListParagraph"/>
        <w:numPr>
          <w:ilvl w:val="1"/>
          <w:numId w:val="6"/>
        </w:numPr>
        <w:tabs>
          <w:tab w:pos="837" w:val="left" w:leader="none"/>
        </w:tabs>
        <w:spacing w:line="273" w:lineRule="auto" w:before="0" w:after="0"/>
        <w:ind w:left="836" w:right="115" w:hanging="360"/>
        <w:jc w:val="both"/>
        <w:rPr>
          <w:sz w:val="24"/>
        </w:rPr>
      </w:pPr>
      <w:r>
        <w:rPr>
          <w:b/>
          <w:sz w:val="24"/>
        </w:rPr>
        <w:t>La phase IV </w:t>
      </w:r>
      <w:r>
        <w:rPr>
          <w:sz w:val="24"/>
        </w:rPr>
        <w:t>consiste en des études post AMM pour évaluer l’efficacité en pratique courante et apporter de nouvelles informations ou des suivis de</w:t>
      </w:r>
      <w:r>
        <w:rPr>
          <w:spacing w:val="-12"/>
          <w:sz w:val="24"/>
        </w:rPr>
        <w:t> </w:t>
      </w:r>
      <w:r>
        <w:rPr>
          <w:sz w:val="24"/>
        </w:rPr>
        <w:t>pharmacovigilance.</w:t>
      </w:r>
    </w:p>
    <w:p>
      <w:pPr>
        <w:pStyle w:val="BodyText"/>
        <w:spacing w:line="276" w:lineRule="auto" w:before="166"/>
        <w:ind w:left="116" w:right="112" w:firstLine="707"/>
        <w:jc w:val="both"/>
      </w:pPr>
      <w:r>
        <w:rPr/>
        <w:t>Les objectifs plus précis des différentes phases ainsi que leur méthodologie sont présentés en annexe 3.</w:t>
      </w:r>
    </w:p>
    <w:p>
      <w:pPr>
        <w:pStyle w:val="BodyText"/>
        <w:spacing w:line="276" w:lineRule="auto" w:before="161"/>
        <w:ind w:left="116" w:right="114" w:firstLine="707"/>
        <w:jc w:val="both"/>
      </w:pPr>
      <w:r>
        <w:rPr/>
        <w:t>L’état des lieux réalisé dans le préalable à l’étude (Partie 2, I.) montre que des données de pharmacocinétique et pharmacodynamique existent pour la MET, le DCA, l’OMP, le CIT (études de phase I et II déjà réalisée, cf. tableau 4). En revanche, ces données manquent pour l’ALA et l’HCA (seuls des rapports de cas sont disponibles).</w:t>
      </w:r>
    </w:p>
    <w:p>
      <w:pPr>
        <w:pStyle w:val="BodyText"/>
        <w:spacing w:line="276" w:lineRule="auto" w:before="163"/>
        <w:ind w:left="116" w:right="116" w:firstLine="707"/>
        <w:jc w:val="both"/>
      </w:pPr>
      <w:r>
        <w:rPr/>
        <w:t>L’idéal serait de réaliser un essai clinique de phase 0 chez le chien afin de préciser les différents mécanismes pharmacologiques et pharmacocinétiques (biodisponibilité chez l’animal, distribution dans la tumeur). Si le rapport de cas (Partie 2, II.) a permis de montrer la tolérance</w:t>
      </w:r>
      <w:r>
        <w:rPr>
          <w:spacing w:val="-11"/>
        </w:rPr>
        <w:t> </w:t>
      </w:r>
      <w:r>
        <w:rPr/>
        <w:t>à</w:t>
      </w:r>
      <w:r>
        <w:rPr>
          <w:spacing w:val="-8"/>
        </w:rPr>
        <w:t> </w:t>
      </w:r>
      <w:r>
        <w:rPr/>
        <w:t>court</w:t>
      </w:r>
      <w:r>
        <w:rPr>
          <w:spacing w:val="-10"/>
        </w:rPr>
        <w:t> </w:t>
      </w:r>
      <w:r>
        <w:rPr/>
        <w:t>terme</w:t>
      </w:r>
      <w:r>
        <w:rPr>
          <w:spacing w:val="-10"/>
        </w:rPr>
        <w:t> </w:t>
      </w:r>
      <w:r>
        <w:rPr/>
        <w:t>des</w:t>
      </w:r>
      <w:r>
        <w:rPr>
          <w:spacing w:val="-9"/>
        </w:rPr>
        <w:t> </w:t>
      </w:r>
      <w:r>
        <w:rPr/>
        <w:t>molécules</w:t>
      </w:r>
      <w:r>
        <w:rPr>
          <w:spacing w:val="-10"/>
        </w:rPr>
        <w:t> </w:t>
      </w:r>
      <w:r>
        <w:rPr/>
        <w:t>utilisées,</w:t>
      </w:r>
      <w:r>
        <w:rPr>
          <w:spacing w:val="-9"/>
        </w:rPr>
        <w:t> </w:t>
      </w:r>
      <w:r>
        <w:rPr/>
        <w:t>il</w:t>
      </w:r>
      <w:r>
        <w:rPr>
          <w:spacing w:val="-11"/>
        </w:rPr>
        <w:t> </w:t>
      </w:r>
      <w:r>
        <w:rPr/>
        <w:t>ne</w:t>
      </w:r>
      <w:r>
        <w:rPr>
          <w:spacing w:val="-11"/>
        </w:rPr>
        <w:t> </w:t>
      </w:r>
      <w:r>
        <w:rPr/>
        <w:t>peut</w:t>
      </w:r>
      <w:r>
        <w:rPr>
          <w:spacing w:val="-9"/>
        </w:rPr>
        <w:t> </w:t>
      </w:r>
      <w:r>
        <w:rPr/>
        <w:t>en</w:t>
      </w:r>
      <w:r>
        <w:rPr>
          <w:spacing w:val="-10"/>
        </w:rPr>
        <w:t> </w:t>
      </w:r>
      <w:r>
        <w:rPr/>
        <w:t>aucun</w:t>
      </w:r>
      <w:r>
        <w:rPr>
          <w:spacing w:val="-10"/>
        </w:rPr>
        <w:t> </w:t>
      </w:r>
      <w:r>
        <w:rPr/>
        <w:t>cas</w:t>
      </w:r>
      <w:r>
        <w:rPr>
          <w:spacing w:val="-9"/>
        </w:rPr>
        <w:t> </w:t>
      </w:r>
      <w:r>
        <w:rPr/>
        <w:t>être</w:t>
      </w:r>
      <w:r>
        <w:rPr>
          <w:spacing w:val="-11"/>
        </w:rPr>
        <w:t> </w:t>
      </w:r>
      <w:r>
        <w:rPr/>
        <w:t>assimilé</w:t>
      </w:r>
      <w:r>
        <w:rPr>
          <w:spacing w:val="-10"/>
        </w:rPr>
        <w:t> </w:t>
      </w:r>
      <w:r>
        <w:rPr/>
        <w:t>à</w:t>
      </w:r>
      <w:r>
        <w:rPr>
          <w:spacing w:val="-11"/>
        </w:rPr>
        <w:t> </w:t>
      </w:r>
      <w:r>
        <w:rPr/>
        <w:t>une</w:t>
      </w:r>
      <w:r>
        <w:rPr>
          <w:spacing w:val="-11"/>
        </w:rPr>
        <w:t> </w:t>
      </w:r>
      <w:r>
        <w:rPr/>
        <w:t>phase I d’essai clinique, car la réalisation d’une phase I complète avec des doses croissantes est nécessaire.</w:t>
      </w:r>
    </w:p>
    <w:p>
      <w:pPr>
        <w:pStyle w:val="BodyText"/>
        <w:spacing w:line="276" w:lineRule="auto" w:before="163"/>
        <w:ind w:left="116" w:right="116" w:firstLine="707"/>
        <w:jc w:val="both"/>
      </w:pPr>
      <w:r>
        <w:rPr/>
        <w:t>Néanmoins, il est possible d’envisager un essai clinique de phase II réalisé avec les informations dégagées de notre travail. Si des phases 0 et I rigoureuses sont évidemment nécessaires,</w:t>
      </w:r>
      <w:r>
        <w:rPr>
          <w:spacing w:val="-7"/>
        </w:rPr>
        <w:t> </w:t>
      </w:r>
      <w:r>
        <w:rPr/>
        <w:t>il</w:t>
      </w:r>
      <w:r>
        <w:rPr>
          <w:spacing w:val="-7"/>
        </w:rPr>
        <w:t> </w:t>
      </w:r>
      <w:r>
        <w:rPr/>
        <w:t>est</w:t>
      </w:r>
      <w:r>
        <w:rPr>
          <w:spacing w:val="-7"/>
        </w:rPr>
        <w:t> </w:t>
      </w:r>
      <w:r>
        <w:rPr/>
        <w:t>possible</w:t>
      </w:r>
      <w:r>
        <w:rPr>
          <w:spacing w:val="-8"/>
        </w:rPr>
        <w:t> </w:t>
      </w:r>
      <w:r>
        <w:rPr/>
        <w:t>de</w:t>
      </w:r>
      <w:r>
        <w:rPr>
          <w:spacing w:val="-6"/>
        </w:rPr>
        <w:t> </w:t>
      </w:r>
      <w:r>
        <w:rPr/>
        <w:t>gagner</w:t>
      </w:r>
      <w:r>
        <w:rPr>
          <w:spacing w:val="-8"/>
        </w:rPr>
        <w:t> </w:t>
      </w:r>
      <w:r>
        <w:rPr/>
        <w:t>du</w:t>
      </w:r>
      <w:r>
        <w:rPr>
          <w:spacing w:val="-7"/>
        </w:rPr>
        <w:t> </w:t>
      </w:r>
      <w:r>
        <w:rPr/>
        <w:t>temps</w:t>
      </w:r>
      <w:r>
        <w:rPr>
          <w:spacing w:val="-7"/>
        </w:rPr>
        <w:t> </w:t>
      </w:r>
      <w:r>
        <w:rPr/>
        <w:t>en</w:t>
      </w:r>
      <w:r>
        <w:rPr>
          <w:spacing w:val="-7"/>
        </w:rPr>
        <w:t> </w:t>
      </w:r>
      <w:r>
        <w:rPr/>
        <w:t>se</w:t>
      </w:r>
      <w:r>
        <w:rPr>
          <w:spacing w:val="-8"/>
        </w:rPr>
        <w:t> </w:t>
      </w:r>
      <w:r>
        <w:rPr/>
        <w:t>posant</w:t>
      </w:r>
      <w:r>
        <w:rPr>
          <w:spacing w:val="-7"/>
        </w:rPr>
        <w:t> </w:t>
      </w:r>
      <w:r>
        <w:rPr/>
        <w:t>la</w:t>
      </w:r>
      <w:r>
        <w:rPr>
          <w:spacing w:val="-8"/>
        </w:rPr>
        <w:t> </w:t>
      </w:r>
      <w:r>
        <w:rPr/>
        <w:t>question</w:t>
      </w:r>
      <w:r>
        <w:rPr>
          <w:spacing w:val="-7"/>
        </w:rPr>
        <w:t> </w:t>
      </w:r>
      <w:r>
        <w:rPr/>
        <w:t>de</w:t>
      </w:r>
      <w:r>
        <w:rPr>
          <w:spacing w:val="-8"/>
        </w:rPr>
        <w:t> </w:t>
      </w:r>
      <w:r>
        <w:rPr/>
        <w:t>l’efficacité</w:t>
      </w:r>
      <w:r>
        <w:rPr>
          <w:spacing w:val="-8"/>
        </w:rPr>
        <w:t> </w:t>
      </w:r>
      <w:r>
        <w:rPr/>
        <w:t>(phase</w:t>
      </w:r>
      <w:r>
        <w:rPr>
          <w:spacing w:val="-6"/>
        </w:rPr>
        <w:t> </w:t>
      </w:r>
      <w:r>
        <w:rPr/>
        <w:t>II) de la thérapie métabolique aujourd’hui. C’est ce que nous proposons dans le protocole d’étude suivant.</w:t>
      </w:r>
    </w:p>
    <w:p>
      <w:pPr>
        <w:spacing w:after="0" w:line="276" w:lineRule="auto"/>
        <w:jc w:val="both"/>
        <w:sectPr>
          <w:pgSz w:w="11910" w:h="16840"/>
          <w:pgMar w:header="0" w:footer="1055" w:top="1340" w:bottom="1240" w:left="1300" w:right="1300"/>
        </w:sectPr>
      </w:pPr>
    </w:p>
    <w:p>
      <w:pPr>
        <w:pStyle w:val="Heading3"/>
        <w:numPr>
          <w:ilvl w:val="1"/>
          <w:numId w:val="21"/>
        </w:numPr>
        <w:tabs>
          <w:tab w:pos="1535" w:val="left" w:leader="none"/>
        </w:tabs>
        <w:spacing w:line="240" w:lineRule="auto" w:before="75" w:after="0"/>
        <w:ind w:left="1534" w:right="0" w:hanging="360"/>
        <w:jc w:val="left"/>
      </w:pPr>
      <w:bookmarkStart w:name="_bookmark193" w:id="326"/>
      <w:bookmarkEnd w:id="326"/>
      <w:r>
        <w:rPr>
          <w:b w:val="0"/>
        </w:rPr>
      </w:r>
      <w:bookmarkStart w:name="_bookmark189" w:id="327"/>
      <w:bookmarkEnd w:id="327"/>
      <w:r>
        <w:rPr>
          <w:b w:val="0"/>
        </w:rPr>
      </w:r>
      <w:bookmarkStart w:name="_bookmark189" w:id="328"/>
      <w:bookmarkEnd w:id="328"/>
      <w:r>
        <w:rPr/>
        <w:t>P</w:t>
      </w:r>
      <w:r>
        <w:rPr/>
        <w:t>rotocole</w:t>
      </w:r>
      <w:r>
        <w:rPr>
          <w:spacing w:val="-10"/>
        </w:rPr>
        <w:t> </w:t>
      </w:r>
      <w:r>
        <w:rPr/>
        <w:t>d’étude</w:t>
      </w:r>
    </w:p>
    <w:p>
      <w:pPr>
        <w:pStyle w:val="BodyText"/>
        <w:rPr>
          <w:b/>
          <w:sz w:val="30"/>
        </w:rPr>
      </w:pPr>
    </w:p>
    <w:p>
      <w:pPr>
        <w:pStyle w:val="BodyText"/>
        <w:spacing w:line="273" w:lineRule="auto" w:before="178"/>
        <w:ind w:left="116" w:right="113" w:firstLine="707"/>
        <w:jc w:val="both"/>
      </w:pPr>
      <w:r>
        <w:rPr/>
        <w:t>Il est nécessaire de respecter différents critères dans la réalisation de cette étude afin de limiter au maximum les différents biais inhérents aux essais cliniques (biais de sélection</w:t>
      </w:r>
      <w:r>
        <w:rPr>
          <w:spacing w:val="-23"/>
        </w:rPr>
        <w:t> </w:t>
      </w:r>
      <w:r>
        <w:rPr/>
        <w:t>limité par une bonne planification de l’étude, biais de mesure, biais de confusion, biais de</w:t>
      </w:r>
      <w:r>
        <w:rPr>
          <w:spacing w:val="-7"/>
        </w:rPr>
        <w:t> </w:t>
      </w:r>
      <w:r>
        <w:rPr/>
        <w:t>suivi…).</w:t>
      </w:r>
    </w:p>
    <w:p>
      <w:pPr>
        <w:pStyle w:val="BodyText"/>
        <w:spacing w:line="276" w:lineRule="auto" w:before="166"/>
        <w:ind w:left="116" w:right="114" w:firstLine="707"/>
        <w:jc w:val="both"/>
      </w:pPr>
      <w:r>
        <w:rPr/>
        <w:t>Ce protocole a été inspiré des règles de conduite du site de l’Agence Européenne pour l’Evaluation des Produits Médicaux (European Agency for the Evaluation of Medicinal Products - VICH Topic GL9), ainsi que de la publication de l’OMS (Organization, World Health, n°48, 1979).</w:t>
      </w:r>
    </w:p>
    <w:p>
      <w:pPr>
        <w:pStyle w:val="BodyText"/>
        <w:rPr>
          <w:sz w:val="26"/>
        </w:rPr>
      </w:pPr>
    </w:p>
    <w:p>
      <w:pPr>
        <w:pStyle w:val="BodyText"/>
        <w:spacing w:before="9"/>
        <w:rPr>
          <w:sz w:val="29"/>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190" w:id="329"/>
      <w:bookmarkEnd w:id="329"/>
      <w:r>
        <w:rPr/>
      </w:r>
      <w:bookmarkStart w:name="_bookmark190" w:id="330"/>
      <w:bookmarkEnd w:id="330"/>
      <w:r>
        <w:rPr>
          <w:sz w:val="24"/>
          <w:u w:val="single"/>
        </w:rPr>
        <w:t>Obj</w:t>
      </w:r>
      <w:r>
        <w:rPr>
          <w:sz w:val="24"/>
          <w:u w:val="single"/>
        </w:rPr>
        <w:t>ectifs</w:t>
      </w:r>
    </w:p>
    <w:p>
      <w:pPr>
        <w:pStyle w:val="BodyText"/>
        <w:rPr>
          <w:sz w:val="20"/>
        </w:rPr>
      </w:pPr>
    </w:p>
    <w:p>
      <w:pPr>
        <w:pStyle w:val="BodyText"/>
        <w:spacing w:before="2"/>
        <w:rPr>
          <w:sz w:val="17"/>
        </w:rPr>
      </w:pPr>
    </w:p>
    <w:p>
      <w:pPr>
        <w:pStyle w:val="BodyText"/>
        <w:spacing w:line="273" w:lineRule="auto" w:before="90"/>
        <w:ind w:left="116" w:right="121" w:firstLine="707"/>
        <w:jc w:val="both"/>
      </w:pPr>
      <w:r>
        <w:rPr/>
        <w:t>Le but de l’étude est d’évaluer l’efficacité de la thérapie métabolique (TM) en association avec un protocole de chimiothérapie conventionnelle sur la survie des animaux cancéreux.</w:t>
      </w:r>
    </w:p>
    <w:p>
      <w:pPr>
        <w:pStyle w:val="BodyText"/>
        <w:rPr>
          <w:sz w:val="26"/>
        </w:rPr>
      </w:pPr>
    </w:p>
    <w:p>
      <w:pPr>
        <w:pStyle w:val="BodyText"/>
        <w:rPr>
          <w:sz w:val="30"/>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191" w:id="331"/>
      <w:bookmarkEnd w:id="331"/>
      <w:r>
        <w:rPr/>
      </w:r>
      <w:bookmarkStart w:name="_bookmark191" w:id="332"/>
      <w:bookmarkEnd w:id="332"/>
      <w:r>
        <w:rPr>
          <w:sz w:val="24"/>
          <w:u w:val="single"/>
        </w:rPr>
        <w:t>C</w:t>
      </w:r>
      <w:r>
        <w:rPr>
          <w:sz w:val="24"/>
          <w:u w:val="single"/>
        </w:rPr>
        <w:t>ontacts – sites de</w:t>
      </w:r>
      <w:r>
        <w:rPr>
          <w:spacing w:val="-9"/>
          <w:sz w:val="24"/>
          <w:u w:val="single"/>
        </w:rPr>
        <w:t> </w:t>
      </w:r>
      <w:r>
        <w:rPr>
          <w:sz w:val="24"/>
          <w:u w:val="single"/>
        </w:rPr>
        <w:t>l’étude</w:t>
      </w:r>
    </w:p>
    <w:p>
      <w:pPr>
        <w:pStyle w:val="BodyText"/>
        <w:spacing w:before="1"/>
        <w:rPr>
          <w:sz w:val="23"/>
        </w:rPr>
      </w:pPr>
    </w:p>
    <w:p>
      <w:pPr>
        <w:pStyle w:val="BodyText"/>
        <w:spacing w:before="90"/>
        <w:ind w:left="824"/>
      </w:pPr>
      <w:r>
        <w:rPr/>
        <w:t>Les personnes responsables de l’essai clinique doivent être mentionnées, notamment :</w:t>
      </w:r>
    </w:p>
    <w:p>
      <w:pPr>
        <w:pStyle w:val="ListParagraph"/>
        <w:numPr>
          <w:ilvl w:val="1"/>
          <w:numId w:val="6"/>
        </w:numPr>
        <w:tabs>
          <w:tab w:pos="836" w:val="left" w:leader="none"/>
          <w:tab w:pos="837" w:val="left" w:leader="none"/>
        </w:tabs>
        <w:spacing w:line="240" w:lineRule="auto" w:before="204" w:after="0"/>
        <w:ind w:left="836" w:right="0" w:hanging="360"/>
        <w:jc w:val="left"/>
        <w:rPr>
          <w:sz w:val="24"/>
        </w:rPr>
      </w:pPr>
      <w:r>
        <w:rPr>
          <w:sz w:val="24"/>
          <w:u w:val="single"/>
        </w:rPr>
        <w:t>L’investigateur</w:t>
      </w:r>
      <w:r>
        <w:rPr>
          <w:sz w:val="24"/>
        </w:rPr>
        <w:t> : personne responsable de tous les aspects de la réalisation de</w:t>
      </w:r>
      <w:r>
        <w:rPr>
          <w:spacing w:val="-18"/>
          <w:sz w:val="24"/>
        </w:rPr>
        <w:t> </w:t>
      </w:r>
      <w:r>
        <w:rPr>
          <w:sz w:val="24"/>
        </w:rPr>
        <w:t>l’étude.</w:t>
      </w:r>
    </w:p>
    <w:p>
      <w:pPr>
        <w:pStyle w:val="ListParagraph"/>
        <w:numPr>
          <w:ilvl w:val="1"/>
          <w:numId w:val="6"/>
        </w:numPr>
        <w:tabs>
          <w:tab w:pos="837" w:val="left" w:leader="none"/>
        </w:tabs>
        <w:spacing w:line="276" w:lineRule="auto" w:before="43" w:after="0"/>
        <w:ind w:left="836" w:right="114" w:hanging="360"/>
        <w:jc w:val="both"/>
        <w:rPr>
          <w:sz w:val="24"/>
        </w:rPr>
      </w:pPr>
      <w:r>
        <w:rPr>
          <w:sz w:val="24"/>
          <w:u w:val="single"/>
        </w:rPr>
        <w:t>Le sponsor</w:t>
      </w:r>
      <w:r>
        <w:rPr>
          <w:sz w:val="24"/>
        </w:rPr>
        <w:t> : individu ou compagnie pouvant être responsable de l’initiation et du management et qui finance l’étude clinique en</w:t>
      </w:r>
      <w:r>
        <w:rPr>
          <w:spacing w:val="-8"/>
          <w:sz w:val="24"/>
        </w:rPr>
        <w:t> </w:t>
      </w:r>
      <w:r>
        <w:rPr>
          <w:sz w:val="24"/>
        </w:rPr>
        <w:t>cours.</w:t>
      </w:r>
    </w:p>
    <w:p>
      <w:pPr>
        <w:pStyle w:val="ListParagraph"/>
        <w:numPr>
          <w:ilvl w:val="1"/>
          <w:numId w:val="6"/>
        </w:numPr>
        <w:tabs>
          <w:tab w:pos="837" w:val="left" w:leader="none"/>
        </w:tabs>
        <w:spacing w:line="276" w:lineRule="auto" w:before="0" w:after="0"/>
        <w:ind w:left="836" w:right="114" w:hanging="360"/>
        <w:jc w:val="both"/>
        <w:rPr>
          <w:sz w:val="24"/>
        </w:rPr>
      </w:pPr>
      <w:r>
        <w:rPr>
          <w:sz w:val="24"/>
          <w:u w:val="single"/>
        </w:rPr>
        <w:t>La personne moniteur</w:t>
      </w:r>
      <w:r>
        <w:rPr>
          <w:sz w:val="24"/>
        </w:rPr>
        <w:t> : désignée par le sponsor pour monitorer et suivre les progrès de l’étude clinique. Il vérifie que les bonnes pratiques cliniques sont appliquées. Il fait le lien entre le sponsor et</w:t>
      </w:r>
      <w:r>
        <w:rPr>
          <w:spacing w:val="-19"/>
          <w:sz w:val="24"/>
        </w:rPr>
        <w:t> </w:t>
      </w:r>
      <w:r>
        <w:rPr>
          <w:sz w:val="24"/>
        </w:rPr>
        <w:t>l’investigateur.</w:t>
      </w:r>
    </w:p>
    <w:p>
      <w:pPr>
        <w:pStyle w:val="BodyText"/>
        <w:spacing w:line="276" w:lineRule="auto" w:before="161"/>
        <w:ind w:left="116" w:firstLine="707"/>
      </w:pPr>
      <w:r>
        <w:rPr/>
        <w:t>Les adresses des différentes universités et cliniques vétérinaires participant à l’étude doivent être mentionnées.</w:t>
      </w:r>
    </w:p>
    <w:p>
      <w:pPr>
        <w:pStyle w:val="BodyText"/>
        <w:rPr>
          <w:sz w:val="26"/>
        </w:rPr>
      </w:pPr>
    </w:p>
    <w:p>
      <w:pPr>
        <w:pStyle w:val="BodyText"/>
        <w:spacing w:before="6"/>
        <w:rPr>
          <w:sz w:val="29"/>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192" w:id="333"/>
      <w:bookmarkEnd w:id="333"/>
      <w:r>
        <w:rPr/>
      </w:r>
      <w:bookmarkStart w:name="_bookmark192" w:id="334"/>
      <w:bookmarkEnd w:id="334"/>
      <w:r>
        <w:rPr>
          <w:sz w:val="24"/>
          <w:u w:val="single"/>
        </w:rPr>
        <w:t>J</w:t>
      </w:r>
      <w:r>
        <w:rPr>
          <w:sz w:val="24"/>
          <w:u w:val="single"/>
        </w:rPr>
        <w:t>ustifications</w:t>
      </w:r>
    </w:p>
    <w:p>
      <w:pPr>
        <w:pStyle w:val="BodyText"/>
        <w:rPr>
          <w:sz w:val="20"/>
        </w:rPr>
      </w:pPr>
    </w:p>
    <w:p>
      <w:pPr>
        <w:pStyle w:val="BodyText"/>
        <w:spacing w:before="4"/>
        <w:rPr>
          <w:sz w:val="17"/>
        </w:rPr>
      </w:pPr>
    </w:p>
    <w:p>
      <w:pPr>
        <w:pStyle w:val="BodyText"/>
        <w:spacing w:line="273" w:lineRule="auto" w:before="90"/>
        <w:ind w:left="116" w:right="117" w:firstLine="707"/>
        <w:jc w:val="both"/>
      </w:pPr>
      <w:r>
        <w:rPr/>
        <w:t>Les données précliniques (partie 1) et cliniques (partie 2, I. et II.) générales exposées dans</w:t>
      </w:r>
      <w:r>
        <w:rPr>
          <w:spacing w:val="-8"/>
        </w:rPr>
        <w:t> </w:t>
      </w:r>
      <w:r>
        <w:rPr/>
        <w:t>ce</w:t>
      </w:r>
      <w:r>
        <w:rPr>
          <w:spacing w:val="-10"/>
        </w:rPr>
        <w:t> </w:t>
      </w:r>
      <w:r>
        <w:rPr/>
        <w:t>travail</w:t>
      </w:r>
      <w:r>
        <w:rPr>
          <w:spacing w:val="-8"/>
        </w:rPr>
        <w:t> </w:t>
      </w:r>
      <w:r>
        <w:rPr/>
        <w:t>justifient</w:t>
      </w:r>
      <w:r>
        <w:rPr>
          <w:spacing w:val="-8"/>
        </w:rPr>
        <w:t> </w:t>
      </w:r>
      <w:r>
        <w:rPr/>
        <w:t>l’intérêt</w:t>
      </w:r>
      <w:r>
        <w:rPr>
          <w:spacing w:val="-8"/>
        </w:rPr>
        <w:t> </w:t>
      </w:r>
      <w:r>
        <w:rPr/>
        <w:t>d’une</w:t>
      </w:r>
      <w:r>
        <w:rPr>
          <w:spacing w:val="-10"/>
        </w:rPr>
        <w:t> </w:t>
      </w:r>
      <w:r>
        <w:rPr/>
        <w:t>évaluation</w:t>
      </w:r>
      <w:r>
        <w:rPr>
          <w:spacing w:val="-9"/>
        </w:rPr>
        <w:t> </w:t>
      </w:r>
      <w:r>
        <w:rPr/>
        <w:t>rigoureuse</w:t>
      </w:r>
      <w:r>
        <w:rPr>
          <w:spacing w:val="-9"/>
        </w:rPr>
        <w:t> </w:t>
      </w:r>
      <w:r>
        <w:rPr/>
        <w:t>de</w:t>
      </w:r>
      <w:r>
        <w:rPr>
          <w:spacing w:val="-10"/>
        </w:rPr>
        <w:t> </w:t>
      </w:r>
      <w:r>
        <w:rPr/>
        <w:t>l’efficacité</w:t>
      </w:r>
      <w:r>
        <w:rPr>
          <w:spacing w:val="-7"/>
        </w:rPr>
        <w:t> </w:t>
      </w:r>
      <w:r>
        <w:rPr/>
        <w:t>de</w:t>
      </w:r>
      <w:r>
        <w:rPr>
          <w:spacing w:val="-10"/>
        </w:rPr>
        <w:t> </w:t>
      </w:r>
      <w:r>
        <w:rPr/>
        <w:t>la</w:t>
      </w:r>
      <w:r>
        <w:rPr>
          <w:spacing w:val="-9"/>
        </w:rPr>
        <w:t> </w:t>
      </w:r>
      <w:r>
        <w:rPr/>
        <w:t>TM</w:t>
      </w:r>
      <w:r>
        <w:rPr>
          <w:spacing w:val="-9"/>
        </w:rPr>
        <w:t> </w:t>
      </w:r>
      <w:r>
        <w:rPr/>
        <w:t>en</w:t>
      </w:r>
      <w:r>
        <w:rPr>
          <w:spacing w:val="-9"/>
        </w:rPr>
        <w:t> </w:t>
      </w:r>
      <w:r>
        <w:rPr/>
        <w:t>termes de survie des animaux atteints de</w:t>
      </w:r>
      <w:r>
        <w:rPr>
          <w:spacing w:val="-9"/>
        </w:rPr>
        <w:t> </w:t>
      </w:r>
      <w:r>
        <w:rPr/>
        <w:t>cancer.</w:t>
      </w:r>
    </w:p>
    <w:p>
      <w:pPr>
        <w:spacing w:after="0" w:line="273" w:lineRule="auto"/>
        <w:jc w:val="both"/>
        <w:sectPr>
          <w:pgSz w:w="11910" w:h="16840"/>
          <w:pgMar w:header="0" w:footer="1055" w:top="1320" w:bottom="1240" w:left="1300" w:right="1300"/>
        </w:sectPr>
      </w:pPr>
    </w:p>
    <w:p>
      <w:pPr>
        <w:pStyle w:val="Heading5"/>
        <w:numPr>
          <w:ilvl w:val="1"/>
          <w:numId w:val="30"/>
        </w:numPr>
        <w:tabs>
          <w:tab w:pos="2242" w:val="left" w:leader="none"/>
          <w:tab w:pos="2243" w:val="left" w:leader="none"/>
        </w:tabs>
        <w:spacing w:line="240" w:lineRule="auto" w:before="77" w:after="0"/>
        <w:ind w:left="2242" w:right="0" w:hanging="708"/>
        <w:jc w:val="left"/>
        <w:rPr>
          <w:i/>
        </w:rPr>
      </w:pPr>
      <w:r>
        <w:rPr>
          <w:i/>
        </w:rPr>
        <w:t>Justification du choix des</w:t>
      </w:r>
      <w:r>
        <w:rPr>
          <w:i/>
          <w:spacing w:val="-10"/>
        </w:rPr>
        <w:t> </w:t>
      </w:r>
      <w:r>
        <w:rPr>
          <w:i/>
        </w:rPr>
        <w:t>molécules</w:t>
      </w:r>
    </w:p>
    <w:p>
      <w:pPr>
        <w:pStyle w:val="BodyText"/>
        <w:rPr>
          <w:b/>
          <w:i/>
          <w:sz w:val="26"/>
        </w:rPr>
      </w:pPr>
    </w:p>
    <w:p>
      <w:pPr>
        <w:pStyle w:val="BodyText"/>
        <w:spacing w:line="276" w:lineRule="auto" w:before="217"/>
        <w:ind w:left="116" w:right="115" w:firstLine="707"/>
        <w:jc w:val="both"/>
      </w:pPr>
      <w:r>
        <w:rPr/>
        <w:t>L’étude de la littérature ne permet pas d’orienter notre choix vers une molécule plutôt qu’une autre en médecine vétérinaire. Les molécules étudiées possèdent en majorité un rôle de sensibilisation à la chimiothérapie </w:t>
      </w:r>
      <w:r>
        <w:rPr>
          <w:i/>
        </w:rPr>
        <w:t>in vitro</w:t>
      </w:r>
      <w:r>
        <w:rPr/>
        <w:t>. Il n’existe pas de rationnel d’utilisation des molécules en association.</w:t>
      </w:r>
    </w:p>
    <w:p>
      <w:pPr>
        <w:pStyle w:val="BodyText"/>
        <w:spacing w:before="162"/>
        <w:ind w:left="824"/>
      </w:pPr>
      <w:r>
        <w:rPr/>
        <w:t>Il faut donc prendre en compte d’autres critères, comme par exemple :</w:t>
      </w:r>
    </w:p>
    <w:p>
      <w:pPr>
        <w:pStyle w:val="ListParagraph"/>
        <w:numPr>
          <w:ilvl w:val="1"/>
          <w:numId w:val="6"/>
        </w:numPr>
        <w:tabs>
          <w:tab w:pos="837" w:val="left" w:leader="none"/>
        </w:tabs>
        <w:spacing w:line="276" w:lineRule="auto" w:before="204" w:after="0"/>
        <w:ind w:left="836" w:right="115" w:hanging="360"/>
        <w:jc w:val="both"/>
        <w:rPr>
          <w:sz w:val="24"/>
        </w:rPr>
      </w:pPr>
      <w:r>
        <w:rPr>
          <w:b/>
          <w:sz w:val="24"/>
        </w:rPr>
        <w:t>Les facilités d’approvisionnement, de reconditionnement </w:t>
      </w:r>
      <w:r>
        <w:rPr>
          <w:sz w:val="24"/>
        </w:rPr>
        <w:t>; il est plus facile de s’approvisionner</w:t>
      </w:r>
      <w:r>
        <w:rPr>
          <w:spacing w:val="-8"/>
          <w:sz w:val="24"/>
        </w:rPr>
        <w:t> </w:t>
      </w:r>
      <w:r>
        <w:rPr>
          <w:sz w:val="24"/>
        </w:rPr>
        <w:t>des</w:t>
      </w:r>
      <w:r>
        <w:rPr>
          <w:spacing w:val="-7"/>
          <w:sz w:val="24"/>
        </w:rPr>
        <w:t> </w:t>
      </w:r>
      <w:r>
        <w:rPr>
          <w:sz w:val="24"/>
        </w:rPr>
        <w:t>molécules</w:t>
      </w:r>
      <w:r>
        <w:rPr>
          <w:spacing w:val="-8"/>
          <w:sz w:val="24"/>
        </w:rPr>
        <w:t> </w:t>
      </w:r>
      <w:r>
        <w:rPr>
          <w:sz w:val="24"/>
        </w:rPr>
        <w:t>utilisées</w:t>
      </w:r>
      <w:r>
        <w:rPr>
          <w:spacing w:val="-7"/>
          <w:sz w:val="24"/>
        </w:rPr>
        <w:t> </w:t>
      </w:r>
      <w:r>
        <w:rPr>
          <w:sz w:val="24"/>
        </w:rPr>
        <w:t>en</w:t>
      </w:r>
      <w:r>
        <w:rPr>
          <w:spacing w:val="-7"/>
          <w:sz w:val="24"/>
        </w:rPr>
        <w:t> </w:t>
      </w:r>
      <w:r>
        <w:rPr>
          <w:sz w:val="24"/>
        </w:rPr>
        <w:t>médecine</w:t>
      </w:r>
      <w:r>
        <w:rPr>
          <w:spacing w:val="-8"/>
          <w:sz w:val="24"/>
        </w:rPr>
        <w:t> </w:t>
      </w:r>
      <w:r>
        <w:rPr>
          <w:sz w:val="24"/>
        </w:rPr>
        <w:t>humaine</w:t>
      </w:r>
      <w:r>
        <w:rPr>
          <w:spacing w:val="-8"/>
          <w:sz w:val="24"/>
        </w:rPr>
        <w:t> </w:t>
      </w:r>
      <w:r>
        <w:rPr>
          <w:sz w:val="24"/>
        </w:rPr>
        <w:t>en</w:t>
      </w:r>
      <w:r>
        <w:rPr>
          <w:spacing w:val="-7"/>
          <w:sz w:val="24"/>
        </w:rPr>
        <w:t> </w:t>
      </w:r>
      <w:r>
        <w:rPr>
          <w:sz w:val="24"/>
        </w:rPr>
        <w:t>pharmacie.</w:t>
      </w:r>
      <w:r>
        <w:rPr>
          <w:spacing w:val="-5"/>
          <w:sz w:val="24"/>
        </w:rPr>
        <w:t> </w:t>
      </w:r>
      <w:r>
        <w:rPr>
          <w:sz w:val="24"/>
        </w:rPr>
        <w:t>La</w:t>
      </w:r>
      <w:r>
        <w:rPr>
          <w:spacing w:val="-8"/>
          <w:sz w:val="24"/>
        </w:rPr>
        <w:t> </w:t>
      </w:r>
      <w:r>
        <w:rPr>
          <w:sz w:val="24"/>
        </w:rPr>
        <w:t>pureté des</w:t>
      </w:r>
      <w:r>
        <w:rPr>
          <w:spacing w:val="-6"/>
          <w:sz w:val="24"/>
        </w:rPr>
        <w:t> </w:t>
      </w:r>
      <w:r>
        <w:rPr>
          <w:sz w:val="24"/>
        </w:rPr>
        <w:t>molécules</w:t>
      </w:r>
      <w:r>
        <w:rPr>
          <w:spacing w:val="-7"/>
          <w:sz w:val="24"/>
        </w:rPr>
        <w:t> </w:t>
      </w:r>
      <w:r>
        <w:rPr>
          <w:sz w:val="24"/>
        </w:rPr>
        <w:t>provenant</w:t>
      </w:r>
      <w:r>
        <w:rPr>
          <w:spacing w:val="-3"/>
          <w:sz w:val="24"/>
        </w:rPr>
        <w:t> </w:t>
      </w:r>
      <w:r>
        <w:rPr>
          <w:sz w:val="24"/>
        </w:rPr>
        <w:t>d’une</w:t>
      </w:r>
      <w:r>
        <w:rPr>
          <w:spacing w:val="-8"/>
          <w:sz w:val="24"/>
        </w:rPr>
        <w:t> </w:t>
      </w:r>
      <w:r>
        <w:rPr>
          <w:sz w:val="24"/>
        </w:rPr>
        <w:t>commande</w:t>
      </w:r>
      <w:r>
        <w:rPr>
          <w:spacing w:val="-7"/>
          <w:sz w:val="24"/>
        </w:rPr>
        <w:t> </w:t>
      </w:r>
      <w:r>
        <w:rPr>
          <w:sz w:val="24"/>
        </w:rPr>
        <w:t>sur</w:t>
      </w:r>
      <w:r>
        <w:rPr>
          <w:spacing w:val="-7"/>
          <w:sz w:val="24"/>
        </w:rPr>
        <w:t> </w:t>
      </w:r>
      <w:r>
        <w:rPr>
          <w:sz w:val="24"/>
        </w:rPr>
        <w:t>internet</w:t>
      </w:r>
      <w:r>
        <w:rPr>
          <w:spacing w:val="-6"/>
          <w:sz w:val="24"/>
        </w:rPr>
        <w:t> </w:t>
      </w:r>
      <w:r>
        <w:rPr>
          <w:sz w:val="24"/>
        </w:rPr>
        <w:t>est</w:t>
      </w:r>
      <w:r>
        <w:rPr>
          <w:spacing w:val="-6"/>
          <w:sz w:val="24"/>
        </w:rPr>
        <w:t> </w:t>
      </w:r>
      <w:r>
        <w:rPr>
          <w:sz w:val="24"/>
        </w:rPr>
        <w:t>toujours</w:t>
      </w:r>
      <w:r>
        <w:rPr>
          <w:spacing w:val="-4"/>
          <w:sz w:val="24"/>
        </w:rPr>
        <w:t> </w:t>
      </w:r>
      <w:r>
        <w:rPr>
          <w:sz w:val="24"/>
        </w:rPr>
        <w:t>à</w:t>
      </w:r>
      <w:r>
        <w:rPr>
          <w:spacing w:val="-7"/>
          <w:sz w:val="24"/>
        </w:rPr>
        <w:t> </w:t>
      </w:r>
      <w:r>
        <w:rPr>
          <w:sz w:val="24"/>
        </w:rPr>
        <w:t>vérifier.</w:t>
      </w:r>
      <w:r>
        <w:rPr>
          <w:spacing w:val="-7"/>
          <w:sz w:val="24"/>
        </w:rPr>
        <w:t> </w:t>
      </w:r>
      <w:r>
        <w:rPr>
          <w:sz w:val="24"/>
        </w:rPr>
        <w:t>Ce</w:t>
      </w:r>
      <w:r>
        <w:rPr>
          <w:spacing w:val="-7"/>
          <w:sz w:val="24"/>
        </w:rPr>
        <w:t> </w:t>
      </w:r>
      <w:r>
        <w:rPr>
          <w:sz w:val="24"/>
        </w:rPr>
        <w:t>critère sera donc notre critère de sélection majeur afin d’assurer la pureté des</w:t>
      </w:r>
      <w:r>
        <w:rPr>
          <w:spacing w:val="-18"/>
          <w:sz w:val="24"/>
        </w:rPr>
        <w:t> </w:t>
      </w:r>
      <w:r>
        <w:rPr>
          <w:sz w:val="24"/>
        </w:rPr>
        <w:t>molécules.</w:t>
      </w:r>
    </w:p>
    <w:p>
      <w:pPr>
        <w:pStyle w:val="ListParagraph"/>
        <w:numPr>
          <w:ilvl w:val="1"/>
          <w:numId w:val="6"/>
        </w:numPr>
        <w:tabs>
          <w:tab w:pos="837" w:val="left" w:leader="none"/>
        </w:tabs>
        <w:spacing w:line="276" w:lineRule="auto" w:before="0" w:after="0"/>
        <w:ind w:left="836" w:right="115" w:hanging="360"/>
        <w:jc w:val="both"/>
        <w:rPr>
          <w:sz w:val="24"/>
        </w:rPr>
      </w:pPr>
      <w:r>
        <w:rPr>
          <w:b/>
          <w:sz w:val="24"/>
        </w:rPr>
        <w:t>Le mécanisme d’action des molécules </w:t>
      </w:r>
      <w:r>
        <w:rPr>
          <w:sz w:val="24"/>
        </w:rPr>
        <w:t>; il peut être intéressant de cibler différentes voies du métabolisme (combiner des modes d’action différents) afin d’augmenter les chances d’efficacité. La revue de Lee et al. (2015) suggère en effet que l’efficacité thérapeutique maximale de la TM serait atteinte en associant un inhibiteur de</w:t>
      </w:r>
      <w:r>
        <w:rPr>
          <w:spacing w:val="35"/>
          <w:sz w:val="24"/>
        </w:rPr>
        <w:t> </w:t>
      </w:r>
      <w:r>
        <w:rPr>
          <w:sz w:val="24"/>
        </w:rPr>
        <w:t>la glycolyse avec un inhibiteur de la respiration mitochondriale, et un inhibiteur des transporteurs de protons (Lee et al., 2015). C’est ce que nous avons donc</w:t>
      </w:r>
      <w:r>
        <w:rPr>
          <w:spacing w:val="-8"/>
          <w:sz w:val="24"/>
        </w:rPr>
        <w:t> </w:t>
      </w:r>
      <w:r>
        <w:rPr>
          <w:sz w:val="24"/>
        </w:rPr>
        <w:t>choisi.</w:t>
      </w:r>
    </w:p>
    <w:p>
      <w:pPr>
        <w:pStyle w:val="ListParagraph"/>
        <w:numPr>
          <w:ilvl w:val="1"/>
          <w:numId w:val="6"/>
        </w:numPr>
        <w:tabs>
          <w:tab w:pos="836" w:val="left" w:leader="none"/>
          <w:tab w:pos="837" w:val="left" w:leader="none"/>
        </w:tabs>
        <w:spacing w:line="240" w:lineRule="auto" w:before="5" w:after="0"/>
        <w:ind w:left="836" w:right="0" w:hanging="360"/>
        <w:jc w:val="left"/>
        <w:rPr>
          <w:b/>
          <w:sz w:val="24"/>
        </w:rPr>
      </w:pPr>
      <w:r>
        <w:rPr>
          <w:b/>
          <w:sz w:val="24"/>
        </w:rPr>
        <w:t>La bonne tolérance des</w:t>
      </w:r>
      <w:r>
        <w:rPr>
          <w:b/>
          <w:spacing w:val="-11"/>
          <w:sz w:val="24"/>
        </w:rPr>
        <w:t> </w:t>
      </w:r>
      <w:r>
        <w:rPr>
          <w:b/>
          <w:sz w:val="24"/>
        </w:rPr>
        <w:t>animaux.</w:t>
      </w:r>
    </w:p>
    <w:p>
      <w:pPr>
        <w:pStyle w:val="ListParagraph"/>
        <w:numPr>
          <w:ilvl w:val="1"/>
          <w:numId w:val="6"/>
        </w:numPr>
        <w:tabs>
          <w:tab w:pos="837" w:val="left" w:leader="none"/>
        </w:tabs>
        <w:spacing w:line="273" w:lineRule="auto" w:before="38" w:after="0"/>
        <w:ind w:left="836" w:right="120" w:hanging="360"/>
        <w:jc w:val="both"/>
        <w:rPr>
          <w:sz w:val="24"/>
        </w:rPr>
      </w:pPr>
      <w:r>
        <w:rPr>
          <w:b/>
          <w:sz w:val="24"/>
        </w:rPr>
        <w:t>Les facilités d’administration </w:t>
      </w:r>
      <w:r>
        <w:rPr>
          <w:sz w:val="24"/>
        </w:rPr>
        <w:t>(par voie orale, BID au maximum pour une meilleure observance des propriétaires, pas plus de trois molécules à</w:t>
      </w:r>
      <w:r>
        <w:rPr>
          <w:spacing w:val="-11"/>
          <w:sz w:val="24"/>
        </w:rPr>
        <w:t> </w:t>
      </w:r>
      <w:r>
        <w:rPr>
          <w:sz w:val="24"/>
        </w:rPr>
        <w:t>associer).</w:t>
      </w:r>
    </w:p>
    <w:p>
      <w:pPr>
        <w:pStyle w:val="BodyText"/>
        <w:spacing w:line="273" w:lineRule="auto" w:before="166"/>
        <w:ind w:left="116" w:right="113" w:firstLine="707"/>
        <w:jc w:val="both"/>
      </w:pPr>
      <w:r>
        <w:rPr/>
        <w:t>D’après ces critères et le raisonnement résumé dans le tableau 9, nous choisissons l’utilisation du CIT, de la MET, de l’OMP.</w:t>
      </w:r>
    </w:p>
    <w:p>
      <w:pPr>
        <w:spacing w:after="0" w:line="273" w:lineRule="auto"/>
        <w:jc w:val="both"/>
        <w:sectPr>
          <w:pgSz w:w="11910" w:h="16840"/>
          <w:pgMar w:header="0" w:footer="1055" w:top="1320" w:bottom="1240" w:left="1300" w:right="1300"/>
        </w:sectPr>
      </w:pPr>
    </w:p>
    <w:p>
      <w:pPr>
        <w:pStyle w:val="BodyText"/>
        <w:spacing w:before="2"/>
        <w:rPr>
          <w:sz w:val="17"/>
        </w:rPr>
      </w:pPr>
    </w:p>
    <w:p>
      <w:pPr>
        <w:spacing w:before="93" w:after="21"/>
        <w:ind w:left="116" w:right="0" w:firstLine="0"/>
        <w:jc w:val="left"/>
        <w:rPr>
          <w:i/>
          <w:sz w:val="18"/>
        </w:rPr>
      </w:pPr>
      <w:bookmarkStart w:name="_bookmark194" w:id="335"/>
      <w:bookmarkEnd w:id="335"/>
      <w:r>
        <w:rPr/>
      </w:r>
      <w:r>
        <w:rPr>
          <w:i/>
          <w:color w:val="44536A"/>
          <w:sz w:val="18"/>
        </w:rPr>
        <w:t>Tableau 9 : Justification des molécules choisies</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275"/>
        <w:gridCol w:w="1277"/>
        <w:gridCol w:w="1277"/>
        <w:gridCol w:w="1274"/>
        <w:gridCol w:w="1561"/>
        <w:gridCol w:w="1416"/>
      </w:tblGrid>
      <w:tr>
        <w:trPr>
          <w:trHeight w:val="280" w:hRule="atLeast"/>
        </w:trPr>
        <w:tc>
          <w:tcPr>
            <w:tcW w:w="1702" w:type="dxa"/>
          </w:tcPr>
          <w:p>
            <w:pPr>
              <w:pStyle w:val="TableParagraph"/>
              <w:rPr>
                <w:sz w:val="20"/>
              </w:rPr>
            </w:pPr>
          </w:p>
        </w:tc>
        <w:tc>
          <w:tcPr>
            <w:tcW w:w="1275" w:type="dxa"/>
          </w:tcPr>
          <w:p>
            <w:pPr>
              <w:pStyle w:val="TableParagraph"/>
              <w:spacing w:line="249" w:lineRule="exact"/>
              <w:ind w:left="102" w:right="102"/>
              <w:jc w:val="center"/>
              <w:rPr>
                <w:sz w:val="22"/>
              </w:rPr>
            </w:pPr>
            <w:r>
              <w:rPr>
                <w:sz w:val="22"/>
              </w:rPr>
              <w:t>OMP</w:t>
            </w:r>
          </w:p>
        </w:tc>
        <w:tc>
          <w:tcPr>
            <w:tcW w:w="1277" w:type="dxa"/>
          </w:tcPr>
          <w:p>
            <w:pPr>
              <w:pStyle w:val="TableParagraph"/>
              <w:spacing w:line="249" w:lineRule="exact"/>
              <w:ind w:left="140" w:right="135"/>
              <w:jc w:val="center"/>
              <w:rPr>
                <w:sz w:val="22"/>
              </w:rPr>
            </w:pPr>
            <w:r>
              <w:rPr>
                <w:sz w:val="22"/>
              </w:rPr>
              <w:t>MET</w:t>
            </w:r>
          </w:p>
        </w:tc>
        <w:tc>
          <w:tcPr>
            <w:tcW w:w="1277" w:type="dxa"/>
          </w:tcPr>
          <w:p>
            <w:pPr>
              <w:pStyle w:val="TableParagraph"/>
              <w:spacing w:line="249" w:lineRule="exact"/>
              <w:ind w:right="401"/>
              <w:jc w:val="right"/>
              <w:rPr>
                <w:sz w:val="22"/>
              </w:rPr>
            </w:pPr>
            <w:r>
              <w:rPr>
                <w:sz w:val="22"/>
              </w:rPr>
              <w:t>HCA</w:t>
            </w:r>
          </w:p>
        </w:tc>
        <w:tc>
          <w:tcPr>
            <w:tcW w:w="1274" w:type="dxa"/>
          </w:tcPr>
          <w:p>
            <w:pPr>
              <w:pStyle w:val="TableParagraph"/>
              <w:spacing w:line="249" w:lineRule="exact"/>
              <w:ind w:right="404"/>
              <w:jc w:val="right"/>
              <w:rPr>
                <w:sz w:val="22"/>
              </w:rPr>
            </w:pPr>
            <w:r>
              <w:rPr>
                <w:sz w:val="22"/>
              </w:rPr>
              <w:t>ALA</w:t>
            </w:r>
          </w:p>
        </w:tc>
        <w:tc>
          <w:tcPr>
            <w:tcW w:w="1561" w:type="dxa"/>
          </w:tcPr>
          <w:p>
            <w:pPr>
              <w:pStyle w:val="TableParagraph"/>
              <w:spacing w:line="249" w:lineRule="exact"/>
              <w:ind w:left="104" w:right="105"/>
              <w:jc w:val="center"/>
              <w:rPr>
                <w:sz w:val="22"/>
              </w:rPr>
            </w:pPr>
            <w:r>
              <w:rPr>
                <w:sz w:val="22"/>
              </w:rPr>
              <w:t>DCA</w:t>
            </w:r>
          </w:p>
        </w:tc>
        <w:tc>
          <w:tcPr>
            <w:tcW w:w="1416" w:type="dxa"/>
          </w:tcPr>
          <w:p>
            <w:pPr>
              <w:pStyle w:val="TableParagraph"/>
              <w:spacing w:line="249" w:lineRule="exact"/>
              <w:ind w:left="184" w:right="184"/>
              <w:jc w:val="center"/>
              <w:rPr>
                <w:sz w:val="22"/>
              </w:rPr>
            </w:pPr>
            <w:r>
              <w:rPr>
                <w:sz w:val="22"/>
              </w:rPr>
              <w:t>CIT</w:t>
            </w:r>
          </w:p>
        </w:tc>
      </w:tr>
      <w:tr>
        <w:trPr>
          <w:trHeight w:val="1440" w:hRule="atLeast"/>
        </w:trPr>
        <w:tc>
          <w:tcPr>
            <w:tcW w:w="1702" w:type="dxa"/>
          </w:tcPr>
          <w:p>
            <w:pPr>
              <w:pStyle w:val="TableParagraph"/>
              <w:spacing w:line="276" w:lineRule="auto"/>
              <w:ind w:left="105" w:right="104"/>
              <w:jc w:val="center"/>
              <w:rPr>
                <w:b/>
                <w:sz w:val="22"/>
              </w:rPr>
            </w:pPr>
            <w:r>
              <w:rPr>
                <w:b/>
                <w:sz w:val="22"/>
              </w:rPr>
              <w:t>Facilités d’approvisionn ement ou de reconditionnem</w:t>
            </w:r>
          </w:p>
          <w:p>
            <w:pPr>
              <w:pStyle w:val="TableParagraph"/>
              <w:spacing w:before="2"/>
              <w:ind w:left="104" w:right="104"/>
              <w:jc w:val="center"/>
              <w:rPr>
                <w:b/>
                <w:sz w:val="22"/>
              </w:rPr>
            </w:pPr>
            <w:r>
              <w:rPr>
                <w:b/>
                <w:sz w:val="22"/>
              </w:rPr>
              <w:t>ent</w:t>
            </w:r>
          </w:p>
        </w:tc>
        <w:tc>
          <w:tcPr>
            <w:tcW w:w="1275" w:type="dxa"/>
            <w:shd w:val="clear" w:color="auto" w:fill="E1EED9"/>
          </w:tcPr>
          <w:p>
            <w:pPr>
              <w:pStyle w:val="TableParagraph"/>
              <w:spacing w:line="276" w:lineRule="auto"/>
              <w:ind w:left="254" w:right="149" w:hanging="87"/>
              <w:rPr>
                <w:sz w:val="22"/>
              </w:rPr>
            </w:pPr>
            <w:r>
              <w:rPr>
                <w:sz w:val="22"/>
              </w:rPr>
              <w:t>Pharmacie humaine</w:t>
            </w:r>
          </w:p>
        </w:tc>
        <w:tc>
          <w:tcPr>
            <w:tcW w:w="1277" w:type="dxa"/>
            <w:shd w:val="clear" w:color="auto" w:fill="E1EED9"/>
          </w:tcPr>
          <w:p>
            <w:pPr>
              <w:pStyle w:val="TableParagraph"/>
              <w:spacing w:line="276" w:lineRule="auto"/>
              <w:ind w:left="256" w:right="149" w:hanging="87"/>
              <w:rPr>
                <w:sz w:val="22"/>
              </w:rPr>
            </w:pPr>
            <w:r>
              <w:rPr>
                <w:sz w:val="22"/>
              </w:rPr>
              <w:t>Pharmacie humaine</w:t>
            </w:r>
          </w:p>
        </w:tc>
        <w:tc>
          <w:tcPr>
            <w:tcW w:w="1277" w:type="dxa"/>
            <w:shd w:val="clear" w:color="auto" w:fill="FAE3D4"/>
          </w:tcPr>
          <w:p>
            <w:pPr>
              <w:pStyle w:val="TableParagraph"/>
              <w:spacing w:line="276" w:lineRule="auto"/>
              <w:ind w:left="129" w:right="106" w:hanging="3"/>
              <w:rPr>
                <w:sz w:val="22"/>
              </w:rPr>
            </w:pPr>
            <w:r>
              <w:rPr>
                <w:sz w:val="22"/>
              </w:rPr>
              <w:t>Commande sur Internet</w:t>
            </w:r>
          </w:p>
        </w:tc>
        <w:tc>
          <w:tcPr>
            <w:tcW w:w="1274" w:type="dxa"/>
            <w:shd w:val="clear" w:color="auto" w:fill="FAE3D4"/>
          </w:tcPr>
          <w:p>
            <w:pPr>
              <w:pStyle w:val="TableParagraph"/>
              <w:spacing w:line="276" w:lineRule="auto"/>
              <w:ind w:left="113" w:right="114"/>
              <w:jc w:val="center"/>
              <w:rPr>
                <w:sz w:val="22"/>
              </w:rPr>
            </w:pPr>
            <w:r>
              <w:rPr>
                <w:sz w:val="22"/>
              </w:rPr>
              <w:t>Commande sur</w:t>
            </w:r>
          </w:p>
          <w:p>
            <w:pPr>
              <w:pStyle w:val="TableParagraph"/>
              <w:spacing w:before="7"/>
              <w:ind w:left="113" w:right="113"/>
              <w:jc w:val="center"/>
              <w:rPr>
                <w:sz w:val="22"/>
              </w:rPr>
            </w:pPr>
            <w:r>
              <w:rPr>
                <w:sz w:val="22"/>
              </w:rPr>
              <w:t>Internet</w:t>
            </w:r>
          </w:p>
        </w:tc>
        <w:tc>
          <w:tcPr>
            <w:tcW w:w="1561" w:type="dxa"/>
            <w:shd w:val="clear" w:color="auto" w:fill="FAE3D4"/>
          </w:tcPr>
          <w:p>
            <w:pPr>
              <w:pStyle w:val="TableParagraph"/>
              <w:spacing w:line="276" w:lineRule="auto"/>
              <w:ind w:left="105" w:right="105"/>
              <w:jc w:val="center"/>
              <w:rPr>
                <w:sz w:val="22"/>
              </w:rPr>
            </w:pPr>
            <w:r>
              <w:rPr>
                <w:sz w:val="22"/>
              </w:rPr>
              <w:t>Commande sur Internet – à reconditionner</w:t>
            </w:r>
          </w:p>
        </w:tc>
        <w:tc>
          <w:tcPr>
            <w:tcW w:w="1416" w:type="dxa"/>
            <w:shd w:val="clear" w:color="auto" w:fill="E1EED9"/>
          </w:tcPr>
          <w:p>
            <w:pPr>
              <w:pStyle w:val="TableParagraph"/>
              <w:spacing w:line="276" w:lineRule="auto"/>
              <w:ind w:left="323" w:right="221" w:hanging="87"/>
              <w:rPr>
                <w:sz w:val="22"/>
              </w:rPr>
            </w:pPr>
            <w:r>
              <w:rPr>
                <w:sz w:val="22"/>
              </w:rPr>
              <w:t>Pharmacie humaine</w:t>
            </w:r>
          </w:p>
        </w:tc>
      </w:tr>
      <w:tr>
        <w:trPr>
          <w:trHeight w:val="860" w:hRule="atLeast"/>
        </w:trPr>
        <w:tc>
          <w:tcPr>
            <w:tcW w:w="1702" w:type="dxa"/>
          </w:tcPr>
          <w:p>
            <w:pPr>
              <w:pStyle w:val="TableParagraph"/>
              <w:spacing w:line="276" w:lineRule="auto"/>
              <w:ind w:left="105" w:right="104"/>
              <w:jc w:val="center"/>
              <w:rPr>
                <w:sz w:val="22"/>
              </w:rPr>
            </w:pPr>
            <w:r>
              <w:rPr>
                <w:sz w:val="22"/>
              </w:rPr>
              <w:t>Littérature en cancérologie</w:t>
            </w:r>
          </w:p>
          <w:p>
            <w:pPr>
              <w:pStyle w:val="TableParagraph"/>
              <w:spacing w:before="9"/>
              <w:ind w:left="103" w:right="104"/>
              <w:jc w:val="center"/>
              <w:rPr>
                <w:sz w:val="22"/>
              </w:rPr>
            </w:pPr>
            <w:r>
              <w:rPr>
                <w:sz w:val="22"/>
              </w:rPr>
              <w:t>vétérinaire</w:t>
            </w:r>
          </w:p>
        </w:tc>
        <w:tc>
          <w:tcPr>
            <w:tcW w:w="1275" w:type="dxa"/>
            <w:shd w:val="clear" w:color="auto" w:fill="E1EED9"/>
          </w:tcPr>
          <w:p>
            <w:pPr>
              <w:pStyle w:val="TableParagraph"/>
              <w:spacing w:line="247" w:lineRule="exact"/>
              <w:ind w:left="102" w:right="102"/>
              <w:jc w:val="center"/>
              <w:rPr>
                <w:sz w:val="22"/>
              </w:rPr>
            </w:pPr>
            <w:r>
              <w:rPr>
                <w:sz w:val="22"/>
              </w:rPr>
              <w:t>Oui</w:t>
            </w:r>
          </w:p>
        </w:tc>
        <w:tc>
          <w:tcPr>
            <w:tcW w:w="1277" w:type="dxa"/>
            <w:shd w:val="clear" w:color="auto" w:fill="FFF1CC"/>
          </w:tcPr>
          <w:p>
            <w:pPr>
              <w:pStyle w:val="TableParagraph"/>
              <w:spacing w:line="247" w:lineRule="exact"/>
              <w:ind w:left="139" w:right="135"/>
              <w:jc w:val="center"/>
              <w:rPr>
                <w:sz w:val="22"/>
              </w:rPr>
            </w:pPr>
            <w:r>
              <w:rPr>
                <w:sz w:val="22"/>
              </w:rPr>
              <w:t>En cours</w:t>
            </w:r>
          </w:p>
        </w:tc>
        <w:tc>
          <w:tcPr>
            <w:tcW w:w="1277" w:type="dxa"/>
            <w:shd w:val="clear" w:color="auto" w:fill="FAE3D4"/>
          </w:tcPr>
          <w:p>
            <w:pPr>
              <w:pStyle w:val="TableParagraph"/>
              <w:spacing w:line="247" w:lineRule="exact"/>
              <w:ind w:left="424" w:right="424"/>
              <w:jc w:val="center"/>
              <w:rPr>
                <w:sz w:val="22"/>
              </w:rPr>
            </w:pPr>
            <w:r>
              <w:rPr>
                <w:sz w:val="22"/>
              </w:rPr>
              <w:t>Non</w:t>
            </w:r>
          </w:p>
        </w:tc>
        <w:tc>
          <w:tcPr>
            <w:tcW w:w="1274" w:type="dxa"/>
            <w:shd w:val="clear" w:color="auto" w:fill="FAE3D4"/>
          </w:tcPr>
          <w:p>
            <w:pPr>
              <w:pStyle w:val="TableParagraph"/>
              <w:spacing w:line="247" w:lineRule="exact"/>
              <w:ind w:left="113" w:right="113"/>
              <w:jc w:val="center"/>
              <w:rPr>
                <w:sz w:val="22"/>
              </w:rPr>
            </w:pPr>
            <w:r>
              <w:rPr>
                <w:sz w:val="22"/>
              </w:rPr>
              <w:t>Non</w:t>
            </w:r>
          </w:p>
        </w:tc>
        <w:tc>
          <w:tcPr>
            <w:tcW w:w="1561" w:type="dxa"/>
            <w:shd w:val="clear" w:color="auto" w:fill="FAE3D4"/>
          </w:tcPr>
          <w:p>
            <w:pPr>
              <w:pStyle w:val="TableParagraph"/>
              <w:spacing w:line="247" w:lineRule="exact"/>
              <w:ind w:left="105" w:right="105"/>
              <w:jc w:val="center"/>
              <w:rPr>
                <w:sz w:val="22"/>
              </w:rPr>
            </w:pPr>
            <w:r>
              <w:rPr>
                <w:sz w:val="22"/>
              </w:rPr>
              <w:t>Non</w:t>
            </w:r>
          </w:p>
        </w:tc>
        <w:tc>
          <w:tcPr>
            <w:tcW w:w="1416" w:type="dxa"/>
            <w:shd w:val="clear" w:color="auto" w:fill="FAE3D4"/>
          </w:tcPr>
          <w:p>
            <w:pPr>
              <w:pStyle w:val="TableParagraph"/>
              <w:spacing w:line="247" w:lineRule="exact"/>
              <w:ind w:left="184" w:right="184"/>
              <w:jc w:val="center"/>
              <w:rPr>
                <w:sz w:val="22"/>
              </w:rPr>
            </w:pPr>
            <w:r>
              <w:rPr>
                <w:sz w:val="22"/>
              </w:rPr>
              <w:t>Non</w:t>
            </w:r>
          </w:p>
        </w:tc>
      </w:tr>
      <w:tr>
        <w:trPr>
          <w:trHeight w:val="1160" w:hRule="atLeast"/>
        </w:trPr>
        <w:tc>
          <w:tcPr>
            <w:tcW w:w="1702" w:type="dxa"/>
          </w:tcPr>
          <w:p>
            <w:pPr>
              <w:pStyle w:val="TableParagraph"/>
              <w:spacing w:line="276" w:lineRule="auto"/>
              <w:ind w:left="119" w:right="121"/>
              <w:jc w:val="center"/>
              <w:rPr>
                <w:sz w:val="22"/>
              </w:rPr>
            </w:pPr>
            <w:r>
              <w:rPr>
                <w:sz w:val="22"/>
              </w:rPr>
              <w:t>Sensibilisation à la         chimiothérapie</w:t>
            </w:r>
          </w:p>
          <w:p>
            <w:pPr>
              <w:pStyle w:val="TableParagraph"/>
              <w:spacing w:before="9"/>
              <w:ind w:left="105" w:right="104"/>
              <w:jc w:val="center"/>
              <w:rPr>
                <w:i/>
                <w:sz w:val="22"/>
              </w:rPr>
            </w:pPr>
            <w:r>
              <w:rPr>
                <w:i/>
                <w:sz w:val="22"/>
              </w:rPr>
              <w:t>in vitro</w:t>
            </w:r>
          </w:p>
        </w:tc>
        <w:tc>
          <w:tcPr>
            <w:tcW w:w="1275" w:type="dxa"/>
            <w:shd w:val="clear" w:color="auto" w:fill="E1EED9"/>
          </w:tcPr>
          <w:p>
            <w:pPr>
              <w:pStyle w:val="TableParagraph"/>
              <w:spacing w:line="247" w:lineRule="exact"/>
              <w:ind w:left="102" w:right="102"/>
              <w:jc w:val="center"/>
              <w:rPr>
                <w:sz w:val="22"/>
              </w:rPr>
            </w:pPr>
            <w:r>
              <w:rPr>
                <w:sz w:val="22"/>
              </w:rPr>
              <w:t>Oui</w:t>
            </w:r>
          </w:p>
        </w:tc>
        <w:tc>
          <w:tcPr>
            <w:tcW w:w="1277" w:type="dxa"/>
            <w:shd w:val="clear" w:color="auto" w:fill="E1EED9"/>
          </w:tcPr>
          <w:p>
            <w:pPr>
              <w:pStyle w:val="TableParagraph"/>
              <w:spacing w:line="247" w:lineRule="exact"/>
              <w:ind w:left="138" w:right="135"/>
              <w:jc w:val="center"/>
              <w:rPr>
                <w:sz w:val="22"/>
              </w:rPr>
            </w:pPr>
            <w:r>
              <w:rPr>
                <w:sz w:val="22"/>
              </w:rPr>
              <w:t>Oui</w:t>
            </w:r>
          </w:p>
        </w:tc>
        <w:tc>
          <w:tcPr>
            <w:tcW w:w="1277" w:type="dxa"/>
            <w:shd w:val="clear" w:color="auto" w:fill="E1EED9"/>
          </w:tcPr>
          <w:p>
            <w:pPr>
              <w:pStyle w:val="TableParagraph"/>
              <w:spacing w:line="247" w:lineRule="exact"/>
              <w:ind w:left="423" w:right="424"/>
              <w:jc w:val="center"/>
              <w:rPr>
                <w:sz w:val="22"/>
              </w:rPr>
            </w:pPr>
            <w:r>
              <w:rPr>
                <w:sz w:val="22"/>
              </w:rPr>
              <w:t>Oui</w:t>
            </w:r>
          </w:p>
        </w:tc>
        <w:tc>
          <w:tcPr>
            <w:tcW w:w="1274" w:type="dxa"/>
            <w:shd w:val="clear" w:color="auto" w:fill="E1EED9"/>
          </w:tcPr>
          <w:p>
            <w:pPr>
              <w:pStyle w:val="TableParagraph"/>
              <w:spacing w:line="247" w:lineRule="exact"/>
              <w:ind w:left="113" w:right="114"/>
              <w:jc w:val="center"/>
              <w:rPr>
                <w:sz w:val="22"/>
              </w:rPr>
            </w:pPr>
            <w:r>
              <w:rPr>
                <w:sz w:val="22"/>
              </w:rPr>
              <w:t>Oui</w:t>
            </w:r>
          </w:p>
        </w:tc>
        <w:tc>
          <w:tcPr>
            <w:tcW w:w="1561" w:type="dxa"/>
            <w:shd w:val="clear" w:color="auto" w:fill="E1EED9"/>
          </w:tcPr>
          <w:p>
            <w:pPr>
              <w:pStyle w:val="TableParagraph"/>
              <w:spacing w:line="247" w:lineRule="exact"/>
              <w:ind w:left="104" w:right="105"/>
              <w:jc w:val="center"/>
              <w:rPr>
                <w:sz w:val="22"/>
              </w:rPr>
            </w:pPr>
            <w:r>
              <w:rPr>
                <w:sz w:val="22"/>
              </w:rPr>
              <w:t>Oui</w:t>
            </w:r>
          </w:p>
        </w:tc>
        <w:tc>
          <w:tcPr>
            <w:tcW w:w="1416" w:type="dxa"/>
            <w:shd w:val="clear" w:color="auto" w:fill="FAE3D4"/>
          </w:tcPr>
          <w:p>
            <w:pPr>
              <w:pStyle w:val="TableParagraph"/>
              <w:spacing w:line="247" w:lineRule="exact"/>
              <w:ind w:left="184" w:right="184"/>
              <w:jc w:val="center"/>
              <w:rPr>
                <w:sz w:val="22"/>
              </w:rPr>
            </w:pPr>
            <w:r>
              <w:rPr>
                <w:sz w:val="22"/>
              </w:rPr>
              <w:t>Non</w:t>
            </w:r>
          </w:p>
        </w:tc>
      </w:tr>
      <w:tr>
        <w:trPr>
          <w:trHeight w:val="860" w:hRule="atLeast"/>
        </w:trPr>
        <w:tc>
          <w:tcPr>
            <w:tcW w:w="1702" w:type="dxa"/>
          </w:tcPr>
          <w:p>
            <w:pPr>
              <w:pStyle w:val="TableParagraph"/>
              <w:spacing w:line="276" w:lineRule="auto"/>
              <w:ind w:left="417" w:right="309" w:hanging="94"/>
              <w:rPr>
                <w:sz w:val="22"/>
              </w:rPr>
            </w:pPr>
            <w:r>
              <w:rPr>
                <w:sz w:val="22"/>
              </w:rPr>
              <w:t>Association dans la</w:t>
            </w:r>
          </w:p>
          <w:p>
            <w:pPr>
              <w:pStyle w:val="TableParagraph"/>
              <w:spacing w:before="9"/>
              <w:ind w:left="417"/>
              <w:rPr>
                <w:sz w:val="22"/>
              </w:rPr>
            </w:pPr>
            <w:r>
              <w:rPr>
                <w:sz w:val="22"/>
              </w:rPr>
              <w:t>littérature</w:t>
            </w:r>
          </w:p>
        </w:tc>
        <w:tc>
          <w:tcPr>
            <w:tcW w:w="1275" w:type="dxa"/>
            <w:shd w:val="clear" w:color="auto" w:fill="E1EED9"/>
          </w:tcPr>
          <w:p>
            <w:pPr>
              <w:pStyle w:val="TableParagraph"/>
              <w:spacing w:line="247" w:lineRule="exact"/>
              <w:ind w:left="102" w:right="102"/>
              <w:jc w:val="center"/>
              <w:rPr>
                <w:sz w:val="22"/>
              </w:rPr>
            </w:pPr>
            <w:r>
              <w:rPr>
                <w:sz w:val="22"/>
              </w:rPr>
              <w:t>Avec CIT</w:t>
            </w:r>
          </w:p>
        </w:tc>
        <w:tc>
          <w:tcPr>
            <w:tcW w:w="1277" w:type="dxa"/>
            <w:shd w:val="clear" w:color="auto" w:fill="E1EED9"/>
          </w:tcPr>
          <w:p>
            <w:pPr>
              <w:pStyle w:val="TableParagraph"/>
              <w:spacing w:line="276" w:lineRule="auto"/>
              <w:ind w:left="403" w:right="379"/>
              <w:rPr>
                <w:sz w:val="22"/>
              </w:rPr>
            </w:pPr>
            <w:r>
              <w:rPr>
                <w:sz w:val="22"/>
              </w:rPr>
              <w:t>Avec DCA</w:t>
            </w:r>
          </w:p>
        </w:tc>
        <w:tc>
          <w:tcPr>
            <w:tcW w:w="1277" w:type="dxa"/>
            <w:shd w:val="clear" w:color="auto" w:fill="E1EED9"/>
          </w:tcPr>
          <w:p>
            <w:pPr>
              <w:pStyle w:val="TableParagraph"/>
              <w:spacing w:line="276" w:lineRule="auto"/>
              <w:ind w:left="407" w:right="384" w:hanging="8"/>
              <w:rPr>
                <w:sz w:val="22"/>
              </w:rPr>
            </w:pPr>
            <w:r>
              <w:rPr>
                <w:sz w:val="22"/>
              </w:rPr>
              <w:t>Avec ALA</w:t>
            </w:r>
          </w:p>
        </w:tc>
        <w:tc>
          <w:tcPr>
            <w:tcW w:w="1274" w:type="dxa"/>
            <w:shd w:val="clear" w:color="auto" w:fill="E1EED9"/>
          </w:tcPr>
          <w:p>
            <w:pPr>
              <w:pStyle w:val="TableParagraph"/>
              <w:spacing w:line="276" w:lineRule="auto"/>
              <w:ind w:left="398" w:right="380" w:firstLine="2"/>
              <w:rPr>
                <w:sz w:val="22"/>
              </w:rPr>
            </w:pPr>
            <w:r>
              <w:rPr>
                <w:sz w:val="22"/>
              </w:rPr>
              <w:t>Avec HCA</w:t>
            </w:r>
          </w:p>
        </w:tc>
        <w:tc>
          <w:tcPr>
            <w:tcW w:w="1561" w:type="dxa"/>
            <w:shd w:val="clear" w:color="auto" w:fill="E1EED9"/>
          </w:tcPr>
          <w:p>
            <w:pPr>
              <w:pStyle w:val="TableParagraph"/>
              <w:spacing w:line="276" w:lineRule="auto"/>
              <w:ind w:left="542" w:right="540" w:hanging="4"/>
              <w:jc w:val="center"/>
              <w:rPr>
                <w:sz w:val="22"/>
              </w:rPr>
            </w:pPr>
            <w:r>
              <w:rPr>
                <w:sz w:val="22"/>
              </w:rPr>
              <w:t>Avec MET</w:t>
            </w:r>
          </w:p>
        </w:tc>
        <w:tc>
          <w:tcPr>
            <w:tcW w:w="1416" w:type="dxa"/>
            <w:shd w:val="clear" w:color="auto" w:fill="E1EED9"/>
          </w:tcPr>
          <w:p>
            <w:pPr>
              <w:pStyle w:val="TableParagraph"/>
              <w:spacing w:line="247" w:lineRule="exact"/>
              <w:ind w:left="184" w:right="185"/>
              <w:jc w:val="center"/>
              <w:rPr>
                <w:sz w:val="22"/>
              </w:rPr>
            </w:pPr>
            <w:r>
              <w:rPr>
                <w:sz w:val="22"/>
              </w:rPr>
              <w:t>Avec OMP</w:t>
            </w:r>
          </w:p>
        </w:tc>
      </w:tr>
      <w:tr>
        <w:trPr>
          <w:trHeight w:val="580" w:hRule="atLeast"/>
        </w:trPr>
        <w:tc>
          <w:tcPr>
            <w:tcW w:w="1702" w:type="dxa"/>
          </w:tcPr>
          <w:p>
            <w:pPr>
              <w:pStyle w:val="TableParagraph"/>
              <w:spacing w:line="247" w:lineRule="exact"/>
              <w:ind w:left="104" w:right="104"/>
              <w:jc w:val="center"/>
              <w:rPr>
                <w:sz w:val="22"/>
              </w:rPr>
            </w:pPr>
            <w:r>
              <w:rPr>
                <w:sz w:val="22"/>
              </w:rPr>
              <w:t>Tolérance</w:t>
            </w:r>
          </w:p>
        </w:tc>
        <w:tc>
          <w:tcPr>
            <w:tcW w:w="1275" w:type="dxa"/>
            <w:shd w:val="clear" w:color="auto" w:fill="E1EED9"/>
          </w:tcPr>
          <w:p>
            <w:pPr>
              <w:pStyle w:val="TableParagraph"/>
              <w:spacing w:line="247" w:lineRule="exact"/>
              <w:ind w:left="103" w:right="102"/>
              <w:jc w:val="center"/>
              <w:rPr>
                <w:sz w:val="22"/>
              </w:rPr>
            </w:pPr>
            <w:r>
              <w:rPr>
                <w:sz w:val="22"/>
              </w:rPr>
              <w:t>Bonne</w:t>
            </w:r>
          </w:p>
        </w:tc>
        <w:tc>
          <w:tcPr>
            <w:tcW w:w="1277" w:type="dxa"/>
            <w:shd w:val="clear" w:color="auto" w:fill="E1EED9"/>
          </w:tcPr>
          <w:p>
            <w:pPr>
              <w:pStyle w:val="TableParagraph"/>
              <w:spacing w:line="247" w:lineRule="exact"/>
              <w:ind w:left="139" w:right="135"/>
              <w:jc w:val="center"/>
              <w:rPr>
                <w:sz w:val="22"/>
              </w:rPr>
            </w:pPr>
            <w:r>
              <w:rPr>
                <w:sz w:val="22"/>
              </w:rPr>
              <w:t>Bonne</w:t>
            </w:r>
          </w:p>
        </w:tc>
        <w:tc>
          <w:tcPr>
            <w:tcW w:w="1277" w:type="dxa"/>
            <w:shd w:val="clear" w:color="auto" w:fill="E1EED9"/>
          </w:tcPr>
          <w:p>
            <w:pPr>
              <w:pStyle w:val="TableParagraph"/>
              <w:spacing w:line="247" w:lineRule="exact"/>
              <w:ind w:right="344"/>
              <w:jc w:val="right"/>
              <w:rPr>
                <w:sz w:val="22"/>
              </w:rPr>
            </w:pPr>
            <w:r>
              <w:rPr>
                <w:sz w:val="22"/>
              </w:rPr>
              <w:t>Bonne</w:t>
            </w:r>
          </w:p>
        </w:tc>
        <w:tc>
          <w:tcPr>
            <w:tcW w:w="1274" w:type="dxa"/>
            <w:shd w:val="clear" w:color="auto" w:fill="E1EED9"/>
          </w:tcPr>
          <w:p>
            <w:pPr>
              <w:pStyle w:val="TableParagraph"/>
              <w:spacing w:line="247" w:lineRule="exact"/>
              <w:ind w:right="341"/>
              <w:jc w:val="right"/>
              <w:rPr>
                <w:sz w:val="22"/>
              </w:rPr>
            </w:pPr>
            <w:r>
              <w:rPr>
                <w:sz w:val="22"/>
              </w:rPr>
              <w:t>Bonne</w:t>
            </w:r>
          </w:p>
        </w:tc>
        <w:tc>
          <w:tcPr>
            <w:tcW w:w="1561" w:type="dxa"/>
            <w:shd w:val="clear" w:color="auto" w:fill="E1EED9"/>
          </w:tcPr>
          <w:p>
            <w:pPr>
              <w:pStyle w:val="TableParagraph"/>
              <w:spacing w:line="247" w:lineRule="exact"/>
              <w:ind w:left="104" w:right="105"/>
              <w:jc w:val="center"/>
              <w:rPr>
                <w:sz w:val="22"/>
              </w:rPr>
            </w:pPr>
            <w:r>
              <w:rPr>
                <w:sz w:val="22"/>
              </w:rPr>
              <w:t>Bonne à faible</w:t>
            </w:r>
          </w:p>
          <w:p>
            <w:pPr>
              <w:pStyle w:val="TableParagraph"/>
              <w:spacing w:before="37"/>
              <w:ind w:left="105" w:right="105"/>
              <w:jc w:val="center"/>
              <w:rPr>
                <w:sz w:val="22"/>
              </w:rPr>
            </w:pPr>
            <w:r>
              <w:rPr>
                <w:sz w:val="22"/>
              </w:rPr>
              <w:t>dose</w:t>
            </w:r>
          </w:p>
        </w:tc>
        <w:tc>
          <w:tcPr>
            <w:tcW w:w="1416" w:type="dxa"/>
            <w:shd w:val="clear" w:color="auto" w:fill="E1EED9"/>
          </w:tcPr>
          <w:p>
            <w:pPr>
              <w:pStyle w:val="TableParagraph"/>
              <w:spacing w:line="247" w:lineRule="exact"/>
              <w:ind w:left="184" w:right="184"/>
              <w:jc w:val="center"/>
              <w:rPr>
                <w:sz w:val="22"/>
              </w:rPr>
            </w:pPr>
            <w:r>
              <w:rPr>
                <w:sz w:val="22"/>
              </w:rPr>
              <w:t>Bonne</w:t>
            </w:r>
          </w:p>
        </w:tc>
      </w:tr>
      <w:tr>
        <w:trPr>
          <w:trHeight w:val="1440" w:hRule="atLeast"/>
        </w:trPr>
        <w:tc>
          <w:tcPr>
            <w:tcW w:w="1702" w:type="dxa"/>
          </w:tcPr>
          <w:p>
            <w:pPr>
              <w:pStyle w:val="TableParagraph"/>
              <w:spacing w:line="276" w:lineRule="auto"/>
              <w:ind w:left="484" w:right="320" w:hanging="147"/>
              <w:rPr>
                <w:sz w:val="22"/>
              </w:rPr>
            </w:pPr>
            <w:r>
              <w:rPr>
                <w:sz w:val="22"/>
              </w:rPr>
              <w:t>Mécanisme d’action</w:t>
            </w:r>
          </w:p>
        </w:tc>
        <w:tc>
          <w:tcPr>
            <w:tcW w:w="1275" w:type="dxa"/>
          </w:tcPr>
          <w:p>
            <w:pPr>
              <w:pStyle w:val="TableParagraph"/>
              <w:spacing w:line="249" w:lineRule="exact"/>
              <w:ind w:left="104" w:right="102"/>
              <w:jc w:val="center"/>
              <w:rPr>
                <w:sz w:val="22"/>
              </w:rPr>
            </w:pPr>
            <w:r>
              <w:rPr>
                <w:sz w:val="22"/>
              </w:rPr>
              <w:t>IPP</w:t>
            </w:r>
          </w:p>
          <w:p>
            <w:pPr>
              <w:pStyle w:val="TableParagraph"/>
              <w:spacing w:line="276" w:lineRule="auto" w:before="37"/>
              <w:ind w:left="131" w:right="126" w:hanging="5"/>
              <w:jc w:val="center"/>
              <w:rPr>
                <w:sz w:val="22"/>
              </w:rPr>
            </w:pPr>
            <w:r>
              <w:rPr>
                <w:sz w:val="22"/>
              </w:rPr>
              <w:t>(régulation V-ATPase)</w:t>
            </w:r>
          </w:p>
        </w:tc>
        <w:tc>
          <w:tcPr>
            <w:tcW w:w="1277" w:type="dxa"/>
          </w:tcPr>
          <w:p>
            <w:pPr>
              <w:pStyle w:val="TableParagraph"/>
              <w:spacing w:line="276" w:lineRule="auto"/>
              <w:ind w:left="141" w:right="135"/>
              <w:jc w:val="center"/>
              <w:rPr>
                <w:sz w:val="22"/>
              </w:rPr>
            </w:pPr>
            <w:r>
              <w:rPr>
                <w:sz w:val="22"/>
              </w:rPr>
              <w:t>Activation AMPK +</w:t>
            </w:r>
          </w:p>
          <w:p>
            <w:pPr>
              <w:pStyle w:val="TableParagraph"/>
              <w:spacing w:before="5"/>
              <w:ind w:left="136" w:right="135"/>
              <w:jc w:val="center"/>
              <w:rPr>
                <w:sz w:val="22"/>
              </w:rPr>
            </w:pPr>
            <w:r>
              <w:rPr>
                <w:sz w:val="22"/>
              </w:rPr>
              <w:t>Inhibition</w:t>
            </w:r>
          </w:p>
          <w:p>
            <w:pPr>
              <w:pStyle w:val="TableParagraph"/>
              <w:spacing w:line="290" w:lineRule="atLeast"/>
              <w:ind w:left="143" w:right="135"/>
              <w:jc w:val="center"/>
              <w:rPr>
                <w:sz w:val="22"/>
              </w:rPr>
            </w:pPr>
            <w:r>
              <w:rPr>
                <w:sz w:val="22"/>
              </w:rPr>
              <w:t>complexe I OxPhos</w:t>
            </w:r>
          </w:p>
        </w:tc>
        <w:tc>
          <w:tcPr>
            <w:tcW w:w="1277" w:type="dxa"/>
          </w:tcPr>
          <w:p>
            <w:pPr>
              <w:pStyle w:val="TableParagraph"/>
              <w:spacing w:line="276" w:lineRule="auto"/>
              <w:ind w:left="333" w:right="183" w:hanging="137"/>
              <w:rPr>
                <w:sz w:val="22"/>
              </w:rPr>
            </w:pPr>
            <w:r>
              <w:rPr>
                <w:sz w:val="22"/>
              </w:rPr>
              <w:t>Inhibition ACLY</w:t>
            </w:r>
          </w:p>
        </w:tc>
        <w:tc>
          <w:tcPr>
            <w:tcW w:w="1274" w:type="dxa"/>
          </w:tcPr>
          <w:p>
            <w:pPr>
              <w:pStyle w:val="TableParagraph"/>
              <w:spacing w:line="276" w:lineRule="auto"/>
              <w:ind w:left="412" w:right="180" w:hanging="216"/>
              <w:rPr>
                <w:sz w:val="22"/>
              </w:rPr>
            </w:pPr>
            <w:r>
              <w:rPr>
                <w:sz w:val="22"/>
              </w:rPr>
              <w:t>Inhibition PDK</w:t>
            </w:r>
          </w:p>
        </w:tc>
        <w:tc>
          <w:tcPr>
            <w:tcW w:w="1561" w:type="dxa"/>
          </w:tcPr>
          <w:p>
            <w:pPr>
              <w:pStyle w:val="TableParagraph"/>
              <w:spacing w:line="276" w:lineRule="auto"/>
              <w:ind w:left="498" w:right="325" w:hanging="161"/>
              <w:rPr>
                <w:sz w:val="22"/>
              </w:rPr>
            </w:pPr>
            <w:r>
              <w:rPr>
                <w:sz w:val="22"/>
              </w:rPr>
              <w:t>Inhibition PDK1</w:t>
            </w:r>
          </w:p>
        </w:tc>
        <w:tc>
          <w:tcPr>
            <w:tcW w:w="1416" w:type="dxa"/>
          </w:tcPr>
          <w:p>
            <w:pPr>
              <w:pStyle w:val="TableParagraph"/>
              <w:spacing w:line="276" w:lineRule="auto"/>
              <w:ind w:left="501" w:right="253" w:hanging="236"/>
              <w:rPr>
                <w:sz w:val="22"/>
              </w:rPr>
            </w:pPr>
            <w:r>
              <w:rPr>
                <w:sz w:val="22"/>
              </w:rPr>
              <w:t>Inhibition PFK</w:t>
            </w:r>
          </w:p>
        </w:tc>
      </w:tr>
      <w:tr>
        <w:trPr>
          <w:trHeight w:val="1160" w:hRule="atLeast"/>
        </w:trPr>
        <w:tc>
          <w:tcPr>
            <w:tcW w:w="1702" w:type="dxa"/>
          </w:tcPr>
          <w:p>
            <w:pPr>
              <w:pStyle w:val="TableParagraph"/>
              <w:spacing w:line="247" w:lineRule="exact"/>
              <w:ind w:left="103" w:right="104"/>
              <w:jc w:val="center"/>
              <w:rPr>
                <w:sz w:val="22"/>
              </w:rPr>
            </w:pPr>
            <w:r>
              <w:rPr>
                <w:sz w:val="22"/>
              </w:rPr>
              <w:t>Voie ciblée</w:t>
            </w:r>
          </w:p>
        </w:tc>
        <w:tc>
          <w:tcPr>
            <w:tcW w:w="1275" w:type="dxa"/>
          </w:tcPr>
          <w:p>
            <w:pPr>
              <w:pStyle w:val="TableParagraph"/>
              <w:spacing w:line="276" w:lineRule="auto"/>
              <w:ind w:left="107" w:right="102"/>
              <w:jc w:val="center"/>
              <w:rPr>
                <w:sz w:val="22"/>
              </w:rPr>
            </w:pPr>
            <w:r>
              <w:rPr>
                <w:sz w:val="22"/>
              </w:rPr>
              <w:t>Acidificatio n       intracellulai</w:t>
            </w:r>
          </w:p>
          <w:p>
            <w:pPr>
              <w:pStyle w:val="TableParagraph"/>
              <w:spacing w:before="7"/>
              <w:ind w:left="104" w:right="102"/>
              <w:jc w:val="center"/>
              <w:rPr>
                <w:sz w:val="22"/>
              </w:rPr>
            </w:pPr>
            <w:r>
              <w:rPr>
                <w:sz w:val="22"/>
              </w:rPr>
              <w:t>re</w:t>
            </w:r>
          </w:p>
        </w:tc>
        <w:tc>
          <w:tcPr>
            <w:tcW w:w="1277" w:type="dxa"/>
          </w:tcPr>
          <w:p>
            <w:pPr>
              <w:pStyle w:val="TableParagraph"/>
              <w:spacing w:line="276" w:lineRule="auto"/>
              <w:ind w:left="328" w:right="257" w:hanging="48"/>
              <w:rPr>
                <w:sz w:val="22"/>
              </w:rPr>
            </w:pPr>
            <w:r>
              <w:rPr>
                <w:sz w:val="22"/>
              </w:rPr>
              <w:t>AMPK- mTOR</w:t>
            </w:r>
          </w:p>
          <w:p>
            <w:pPr>
              <w:pStyle w:val="TableParagraph"/>
              <w:spacing w:before="7"/>
              <w:ind w:left="287"/>
              <w:rPr>
                <w:sz w:val="22"/>
              </w:rPr>
            </w:pPr>
            <w:r>
              <w:rPr>
                <w:sz w:val="22"/>
              </w:rPr>
              <w:t>OxPhos</w:t>
            </w:r>
          </w:p>
        </w:tc>
        <w:tc>
          <w:tcPr>
            <w:tcW w:w="4112" w:type="dxa"/>
            <w:gridSpan w:val="3"/>
          </w:tcPr>
          <w:p>
            <w:pPr>
              <w:pStyle w:val="TableParagraph"/>
              <w:spacing w:line="247" w:lineRule="exact"/>
              <w:ind w:left="1058"/>
              <w:rPr>
                <w:sz w:val="22"/>
              </w:rPr>
            </w:pPr>
            <w:r>
              <w:rPr>
                <w:sz w:val="22"/>
              </w:rPr>
              <w:t>Formation acétyl-CoA</w:t>
            </w:r>
          </w:p>
        </w:tc>
        <w:tc>
          <w:tcPr>
            <w:tcW w:w="1416" w:type="dxa"/>
          </w:tcPr>
          <w:p>
            <w:pPr>
              <w:pStyle w:val="TableParagraph"/>
              <w:spacing w:line="247" w:lineRule="exact"/>
              <w:ind w:left="184" w:right="185"/>
              <w:jc w:val="center"/>
              <w:rPr>
                <w:sz w:val="22"/>
              </w:rPr>
            </w:pPr>
            <w:r>
              <w:rPr>
                <w:sz w:val="22"/>
              </w:rPr>
              <w:t>Glycolyse</w:t>
            </w:r>
          </w:p>
        </w:tc>
      </w:tr>
    </w:tbl>
    <w:p>
      <w:pPr>
        <w:pStyle w:val="BodyText"/>
        <w:rPr>
          <w:i/>
          <w:sz w:val="20"/>
        </w:rPr>
      </w:pPr>
    </w:p>
    <w:p>
      <w:pPr>
        <w:pStyle w:val="BodyText"/>
        <w:spacing w:before="9"/>
        <w:rPr>
          <w:i/>
          <w:sz w:val="19"/>
        </w:rPr>
      </w:pPr>
    </w:p>
    <w:p>
      <w:pPr>
        <w:pStyle w:val="Heading5"/>
        <w:numPr>
          <w:ilvl w:val="1"/>
          <w:numId w:val="30"/>
        </w:numPr>
        <w:tabs>
          <w:tab w:pos="2242" w:val="left" w:leader="none"/>
          <w:tab w:pos="2243" w:val="left" w:leader="none"/>
        </w:tabs>
        <w:spacing w:line="240" w:lineRule="auto" w:before="0" w:after="0"/>
        <w:ind w:left="2242" w:right="0" w:hanging="720"/>
        <w:jc w:val="left"/>
        <w:rPr>
          <w:i/>
        </w:rPr>
      </w:pPr>
      <w:bookmarkStart w:name="_bookmark195" w:id="336"/>
      <w:bookmarkEnd w:id="336"/>
      <w:r>
        <w:rPr>
          <w:b w:val="0"/>
          <w:i w:val="0"/>
        </w:rPr>
      </w:r>
      <w:bookmarkStart w:name="_bookmark195" w:id="337"/>
      <w:bookmarkEnd w:id="337"/>
      <w:r>
        <w:rPr>
          <w:i/>
        </w:rPr>
        <w:t>Justi</w:t>
      </w:r>
      <w:r>
        <w:rPr>
          <w:i/>
        </w:rPr>
        <w:t>fication du choix du type de cancer</w:t>
      </w:r>
      <w:r>
        <w:rPr>
          <w:i/>
          <w:spacing w:val="-13"/>
        </w:rPr>
        <w:t> </w:t>
      </w:r>
      <w:r>
        <w:rPr>
          <w:i/>
        </w:rPr>
        <w:t>étudié</w:t>
      </w:r>
    </w:p>
    <w:p>
      <w:pPr>
        <w:pStyle w:val="BodyText"/>
        <w:rPr>
          <w:b/>
          <w:i/>
          <w:sz w:val="26"/>
        </w:rPr>
      </w:pPr>
    </w:p>
    <w:p>
      <w:pPr>
        <w:pStyle w:val="BodyText"/>
        <w:spacing w:line="276" w:lineRule="auto" w:before="174"/>
        <w:ind w:left="116" w:right="841" w:firstLine="707"/>
        <w:jc w:val="both"/>
      </w:pPr>
      <w:r>
        <w:rPr/>
        <w:t>Les modifications du métabolisme tumoral se retrouvant dans tous les types histologiques de tumeur, la TM est en théorie utilisable sur tout type de tumeur. Pour notre étude, les critères de choix du cancer à étudier sont :</w:t>
      </w:r>
    </w:p>
    <w:p>
      <w:pPr>
        <w:pStyle w:val="ListParagraph"/>
        <w:numPr>
          <w:ilvl w:val="1"/>
          <w:numId w:val="6"/>
        </w:numPr>
        <w:tabs>
          <w:tab w:pos="836" w:val="left" w:leader="none"/>
          <w:tab w:pos="837" w:val="left" w:leader="none"/>
        </w:tabs>
        <w:spacing w:line="276" w:lineRule="auto" w:before="163" w:after="0"/>
        <w:ind w:left="836" w:right="837" w:hanging="360"/>
        <w:jc w:val="left"/>
        <w:rPr>
          <w:sz w:val="24"/>
        </w:rPr>
      </w:pPr>
      <w:r>
        <w:rPr>
          <w:sz w:val="24"/>
        </w:rPr>
        <w:t>Un</w:t>
      </w:r>
      <w:r>
        <w:rPr>
          <w:spacing w:val="-12"/>
          <w:sz w:val="24"/>
        </w:rPr>
        <w:t> </w:t>
      </w:r>
      <w:r>
        <w:rPr>
          <w:sz w:val="24"/>
        </w:rPr>
        <w:t>mauvais</w:t>
      </w:r>
      <w:r>
        <w:rPr>
          <w:spacing w:val="-10"/>
          <w:sz w:val="24"/>
        </w:rPr>
        <w:t> </w:t>
      </w:r>
      <w:r>
        <w:rPr>
          <w:sz w:val="24"/>
        </w:rPr>
        <w:t>pronostic</w:t>
      </w:r>
      <w:r>
        <w:rPr>
          <w:spacing w:val="-12"/>
          <w:sz w:val="24"/>
        </w:rPr>
        <w:t> </w:t>
      </w:r>
      <w:r>
        <w:rPr>
          <w:sz w:val="24"/>
        </w:rPr>
        <w:t>pour</w:t>
      </w:r>
      <w:r>
        <w:rPr>
          <w:spacing w:val="-12"/>
          <w:sz w:val="24"/>
        </w:rPr>
        <w:t> </w:t>
      </w:r>
      <w:r>
        <w:rPr>
          <w:sz w:val="24"/>
        </w:rPr>
        <w:t>observer</w:t>
      </w:r>
      <w:r>
        <w:rPr>
          <w:spacing w:val="-12"/>
          <w:sz w:val="24"/>
        </w:rPr>
        <w:t> </w:t>
      </w:r>
      <w:r>
        <w:rPr>
          <w:sz w:val="24"/>
        </w:rPr>
        <w:t>un</w:t>
      </w:r>
      <w:r>
        <w:rPr>
          <w:spacing w:val="-11"/>
          <w:sz w:val="24"/>
        </w:rPr>
        <w:t> </w:t>
      </w:r>
      <w:r>
        <w:rPr>
          <w:sz w:val="24"/>
        </w:rPr>
        <w:t>bénéfice</w:t>
      </w:r>
      <w:r>
        <w:rPr>
          <w:spacing w:val="-12"/>
          <w:sz w:val="24"/>
        </w:rPr>
        <w:t> </w:t>
      </w:r>
      <w:r>
        <w:rPr>
          <w:sz w:val="24"/>
        </w:rPr>
        <w:t>réel</w:t>
      </w:r>
      <w:r>
        <w:rPr>
          <w:spacing w:val="-11"/>
          <w:sz w:val="24"/>
        </w:rPr>
        <w:t> </w:t>
      </w:r>
      <w:r>
        <w:rPr>
          <w:sz w:val="24"/>
        </w:rPr>
        <w:t>ou</w:t>
      </w:r>
      <w:r>
        <w:rPr>
          <w:spacing w:val="-11"/>
          <w:sz w:val="24"/>
        </w:rPr>
        <w:t> </w:t>
      </w:r>
      <w:r>
        <w:rPr>
          <w:sz w:val="24"/>
        </w:rPr>
        <w:t>non,</w:t>
      </w:r>
      <w:r>
        <w:rPr>
          <w:spacing w:val="-11"/>
          <w:sz w:val="24"/>
        </w:rPr>
        <w:t> </w:t>
      </w:r>
      <w:r>
        <w:rPr>
          <w:sz w:val="24"/>
        </w:rPr>
        <w:t>ainsi</w:t>
      </w:r>
      <w:r>
        <w:rPr>
          <w:spacing w:val="-10"/>
          <w:sz w:val="24"/>
        </w:rPr>
        <w:t> </w:t>
      </w:r>
      <w:r>
        <w:rPr>
          <w:sz w:val="24"/>
        </w:rPr>
        <w:t>que</w:t>
      </w:r>
      <w:r>
        <w:rPr>
          <w:spacing w:val="-12"/>
          <w:sz w:val="24"/>
        </w:rPr>
        <w:t> </w:t>
      </w:r>
      <w:r>
        <w:rPr>
          <w:sz w:val="24"/>
        </w:rPr>
        <w:t>pour</w:t>
      </w:r>
      <w:r>
        <w:rPr>
          <w:spacing w:val="-10"/>
          <w:sz w:val="24"/>
        </w:rPr>
        <w:t> </w:t>
      </w:r>
      <w:r>
        <w:rPr>
          <w:sz w:val="24"/>
        </w:rPr>
        <w:t>une</w:t>
      </w:r>
      <w:r>
        <w:rPr>
          <w:spacing w:val="-12"/>
          <w:sz w:val="24"/>
        </w:rPr>
        <w:t> </w:t>
      </w:r>
      <w:r>
        <w:rPr>
          <w:sz w:val="24"/>
        </w:rPr>
        <w:t>rapidité d’interprétation des</w:t>
      </w:r>
      <w:r>
        <w:rPr>
          <w:spacing w:val="-5"/>
          <w:sz w:val="24"/>
        </w:rPr>
        <w:t> </w:t>
      </w:r>
      <w:r>
        <w:rPr>
          <w:sz w:val="24"/>
        </w:rPr>
        <w:t>résultats.</w:t>
      </w:r>
    </w:p>
    <w:p>
      <w:pPr>
        <w:pStyle w:val="ListParagraph"/>
        <w:numPr>
          <w:ilvl w:val="1"/>
          <w:numId w:val="6"/>
        </w:numPr>
        <w:tabs>
          <w:tab w:pos="836" w:val="left" w:leader="none"/>
          <w:tab w:pos="837" w:val="left" w:leader="none"/>
        </w:tabs>
        <w:spacing w:line="240" w:lineRule="auto" w:before="0" w:after="0"/>
        <w:ind w:left="836" w:right="0" w:hanging="360"/>
        <w:jc w:val="left"/>
        <w:rPr>
          <w:sz w:val="24"/>
        </w:rPr>
      </w:pPr>
      <w:r>
        <w:rPr>
          <w:sz w:val="24"/>
        </w:rPr>
        <w:t>Une durée de vie suffisante pour pouvoir observer un impact de la</w:t>
      </w:r>
      <w:r>
        <w:rPr>
          <w:spacing w:val="-11"/>
          <w:sz w:val="24"/>
        </w:rPr>
        <w:t> </w:t>
      </w:r>
      <w:r>
        <w:rPr>
          <w:sz w:val="24"/>
        </w:rPr>
        <w:t>thérapie.</w:t>
      </w:r>
    </w:p>
    <w:p>
      <w:pPr>
        <w:pStyle w:val="ListParagraph"/>
        <w:numPr>
          <w:ilvl w:val="1"/>
          <w:numId w:val="6"/>
        </w:numPr>
        <w:tabs>
          <w:tab w:pos="836" w:val="left" w:leader="none"/>
          <w:tab w:pos="837" w:val="left" w:leader="none"/>
        </w:tabs>
        <w:spacing w:line="240" w:lineRule="auto" w:before="43" w:after="0"/>
        <w:ind w:left="836" w:right="0" w:hanging="360"/>
        <w:jc w:val="left"/>
        <w:rPr>
          <w:sz w:val="24"/>
        </w:rPr>
      </w:pPr>
      <w:r>
        <w:rPr>
          <w:sz w:val="24"/>
        </w:rPr>
        <w:t>Une fréquence de la maladie suffisante pour avoir un nombre suffisant de</w:t>
      </w:r>
      <w:r>
        <w:rPr>
          <w:spacing w:val="-9"/>
          <w:sz w:val="24"/>
        </w:rPr>
        <w:t> </w:t>
      </w:r>
      <w:r>
        <w:rPr>
          <w:sz w:val="24"/>
        </w:rPr>
        <w:t>cas.</w:t>
      </w:r>
    </w:p>
    <w:p>
      <w:pPr>
        <w:pStyle w:val="ListParagraph"/>
        <w:numPr>
          <w:ilvl w:val="1"/>
          <w:numId w:val="6"/>
        </w:numPr>
        <w:tabs>
          <w:tab w:pos="836" w:val="left" w:leader="none"/>
          <w:tab w:pos="837" w:val="left" w:leader="none"/>
        </w:tabs>
        <w:spacing w:line="273" w:lineRule="auto" w:before="40" w:after="0"/>
        <w:ind w:left="836" w:right="842" w:hanging="360"/>
        <w:jc w:val="left"/>
        <w:rPr>
          <w:sz w:val="24"/>
        </w:rPr>
      </w:pPr>
      <w:r>
        <w:rPr>
          <w:sz w:val="24"/>
        </w:rPr>
        <w:t>Un aspect comparatif avec un cancer existant chez l’homme (intérêt en recherche comparée).</w:t>
      </w:r>
    </w:p>
    <w:p>
      <w:pPr>
        <w:pStyle w:val="BodyText"/>
        <w:spacing w:line="273" w:lineRule="auto" w:before="166"/>
        <w:ind w:left="116" w:right="834" w:firstLine="707"/>
        <w:jc w:val="both"/>
      </w:pPr>
      <w:r>
        <w:rPr/>
        <w:t>Les deux pistes retenues pour la suite de notre étude sont : l’ostéosarcome (OSA) et les tumeurs mammaires (TMM) de grade III.</w:t>
      </w:r>
    </w:p>
    <w:p>
      <w:pPr>
        <w:spacing w:after="0" w:line="273" w:lineRule="auto"/>
        <w:jc w:val="both"/>
        <w:sectPr>
          <w:pgSz w:w="11910" w:h="16840"/>
          <w:pgMar w:header="0" w:footer="1055" w:top="1580" w:bottom="1240" w:left="1300" w:right="580"/>
        </w:sectPr>
      </w:pPr>
    </w:p>
    <w:p>
      <w:pPr>
        <w:pStyle w:val="Heading5"/>
        <w:numPr>
          <w:ilvl w:val="1"/>
          <w:numId w:val="30"/>
        </w:numPr>
        <w:tabs>
          <w:tab w:pos="2242" w:val="left" w:leader="none"/>
          <w:tab w:pos="2243" w:val="left" w:leader="none"/>
        </w:tabs>
        <w:spacing w:line="240" w:lineRule="auto" w:before="77" w:after="0"/>
        <w:ind w:left="2242" w:right="0" w:hanging="720"/>
        <w:jc w:val="left"/>
        <w:rPr>
          <w:i/>
        </w:rPr>
      </w:pPr>
      <w:bookmarkStart w:name="_bookmark196" w:id="338"/>
      <w:bookmarkEnd w:id="338"/>
      <w:r>
        <w:rPr>
          <w:b w:val="0"/>
          <w:i w:val="0"/>
        </w:rPr>
      </w:r>
      <w:bookmarkStart w:name="_bookmark196" w:id="339"/>
      <w:bookmarkEnd w:id="339"/>
      <w:r>
        <w:rPr>
          <w:i/>
        </w:rPr>
        <w:t>Ju</w:t>
      </w:r>
      <w:r>
        <w:rPr>
          <w:i/>
        </w:rPr>
        <w:t>stification du choix d’une chirurgie pré-étude ou</w:t>
      </w:r>
      <w:r>
        <w:rPr>
          <w:i/>
          <w:spacing w:val="-13"/>
        </w:rPr>
        <w:t> </w:t>
      </w:r>
      <w:r>
        <w:rPr>
          <w:i/>
        </w:rPr>
        <w:t>non</w:t>
      </w:r>
    </w:p>
    <w:p>
      <w:pPr>
        <w:pStyle w:val="BodyText"/>
        <w:rPr>
          <w:b/>
          <w:i/>
          <w:sz w:val="26"/>
        </w:rPr>
      </w:pPr>
    </w:p>
    <w:p>
      <w:pPr>
        <w:pStyle w:val="BodyText"/>
        <w:spacing w:line="273" w:lineRule="auto" w:before="217"/>
        <w:ind w:left="116" w:right="113" w:firstLine="707"/>
        <w:jc w:val="both"/>
      </w:pPr>
      <w:r>
        <w:rPr/>
        <w:t>L’exérèse chirurgicale faisant partie du traitement standard en première intention des deux</w:t>
      </w:r>
      <w:r>
        <w:rPr>
          <w:spacing w:val="-10"/>
        </w:rPr>
        <w:t> </w:t>
      </w:r>
      <w:r>
        <w:rPr/>
        <w:t>types</w:t>
      </w:r>
      <w:r>
        <w:rPr>
          <w:spacing w:val="-12"/>
        </w:rPr>
        <w:t> </w:t>
      </w:r>
      <w:r>
        <w:rPr/>
        <w:t>de</w:t>
      </w:r>
      <w:r>
        <w:rPr>
          <w:spacing w:val="-13"/>
        </w:rPr>
        <w:t> </w:t>
      </w:r>
      <w:r>
        <w:rPr/>
        <w:t>cancers</w:t>
      </w:r>
      <w:r>
        <w:rPr>
          <w:spacing w:val="-13"/>
        </w:rPr>
        <w:t> </w:t>
      </w:r>
      <w:r>
        <w:rPr/>
        <w:t>choisis,</w:t>
      </w:r>
      <w:r>
        <w:rPr>
          <w:spacing w:val="-12"/>
        </w:rPr>
        <w:t> </w:t>
      </w:r>
      <w:r>
        <w:rPr/>
        <w:t>elle</w:t>
      </w:r>
      <w:r>
        <w:rPr>
          <w:spacing w:val="-13"/>
        </w:rPr>
        <w:t> </w:t>
      </w:r>
      <w:r>
        <w:rPr/>
        <w:t>sera</w:t>
      </w:r>
      <w:r>
        <w:rPr>
          <w:spacing w:val="-14"/>
        </w:rPr>
        <w:t> </w:t>
      </w:r>
      <w:r>
        <w:rPr/>
        <w:t>donc</w:t>
      </w:r>
      <w:r>
        <w:rPr>
          <w:spacing w:val="-13"/>
        </w:rPr>
        <w:t> </w:t>
      </w:r>
      <w:r>
        <w:rPr/>
        <w:t>une</w:t>
      </w:r>
      <w:r>
        <w:rPr>
          <w:spacing w:val="-13"/>
        </w:rPr>
        <w:t> </w:t>
      </w:r>
      <w:r>
        <w:rPr/>
        <w:t>condition</w:t>
      </w:r>
      <w:r>
        <w:rPr>
          <w:spacing w:val="-12"/>
        </w:rPr>
        <w:t> </w:t>
      </w:r>
      <w:r>
        <w:rPr/>
        <w:t>nécessaire</w:t>
      </w:r>
      <w:r>
        <w:rPr>
          <w:spacing w:val="-13"/>
        </w:rPr>
        <w:t> </w:t>
      </w:r>
      <w:r>
        <w:rPr/>
        <w:t>à</w:t>
      </w:r>
      <w:r>
        <w:rPr>
          <w:spacing w:val="-13"/>
        </w:rPr>
        <w:t> </w:t>
      </w:r>
      <w:r>
        <w:rPr/>
        <w:t>l’inclusion</w:t>
      </w:r>
      <w:r>
        <w:rPr>
          <w:spacing w:val="-12"/>
        </w:rPr>
        <w:t> </w:t>
      </w:r>
      <w:r>
        <w:rPr/>
        <w:t>dans</w:t>
      </w:r>
      <w:r>
        <w:rPr>
          <w:spacing w:val="-12"/>
        </w:rPr>
        <w:t> </w:t>
      </w:r>
      <w:r>
        <w:rPr/>
        <w:t>l’étude.</w:t>
      </w:r>
    </w:p>
    <w:p>
      <w:pPr>
        <w:pStyle w:val="BodyText"/>
        <w:rPr>
          <w:sz w:val="26"/>
        </w:rPr>
      </w:pPr>
    </w:p>
    <w:p>
      <w:pPr>
        <w:pStyle w:val="BodyText"/>
        <w:spacing w:before="5"/>
        <w:rPr>
          <w:sz w:val="30"/>
        </w:rPr>
      </w:pPr>
    </w:p>
    <w:p>
      <w:pPr>
        <w:pStyle w:val="Heading5"/>
        <w:numPr>
          <w:ilvl w:val="1"/>
          <w:numId w:val="30"/>
        </w:numPr>
        <w:tabs>
          <w:tab w:pos="2242" w:val="left" w:leader="none"/>
          <w:tab w:pos="2243" w:val="left" w:leader="none"/>
        </w:tabs>
        <w:spacing w:line="240" w:lineRule="auto" w:before="0" w:after="0"/>
        <w:ind w:left="2242" w:right="0" w:hanging="720"/>
        <w:jc w:val="left"/>
        <w:rPr>
          <w:i/>
        </w:rPr>
      </w:pPr>
      <w:bookmarkStart w:name="_bookmark197" w:id="340"/>
      <w:bookmarkEnd w:id="340"/>
      <w:r>
        <w:rPr>
          <w:b w:val="0"/>
          <w:i w:val="0"/>
        </w:rPr>
      </w:r>
      <w:bookmarkStart w:name="_bookmark197" w:id="341"/>
      <w:bookmarkEnd w:id="341"/>
      <w:r>
        <w:rPr>
          <w:i/>
        </w:rPr>
        <w:t>Ju</w:t>
      </w:r>
      <w:r>
        <w:rPr>
          <w:i/>
        </w:rPr>
        <w:t>stification du choix de l’espèce</w:t>
      </w:r>
      <w:r>
        <w:rPr>
          <w:i/>
          <w:spacing w:val="-13"/>
        </w:rPr>
        <w:t> </w:t>
      </w:r>
      <w:r>
        <w:rPr>
          <w:i/>
        </w:rPr>
        <w:t>étudiée</w:t>
      </w:r>
    </w:p>
    <w:p>
      <w:pPr>
        <w:pStyle w:val="BodyText"/>
        <w:rPr>
          <w:b/>
          <w:i/>
          <w:sz w:val="26"/>
        </w:rPr>
      </w:pPr>
    </w:p>
    <w:p>
      <w:pPr>
        <w:pStyle w:val="BodyText"/>
        <w:spacing w:line="276" w:lineRule="auto" w:before="214"/>
        <w:ind w:left="116" w:right="112" w:firstLine="707"/>
        <w:jc w:val="both"/>
      </w:pPr>
      <w:r>
        <w:rPr/>
        <w:t>L’étude</w:t>
      </w:r>
      <w:r>
        <w:rPr>
          <w:spacing w:val="-5"/>
        </w:rPr>
        <w:t> </w:t>
      </w:r>
      <w:r>
        <w:rPr/>
        <w:t>se</w:t>
      </w:r>
      <w:r>
        <w:rPr>
          <w:spacing w:val="-6"/>
        </w:rPr>
        <w:t> </w:t>
      </w:r>
      <w:r>
        <w:rPr/>
        <w:t>déroulera</w:t>
      </w:r>
      <w:r>
        <w:rPr>
          <w:spacing w:val="-7"/>
        </w:rPr>
        <w:t> </w:t>
      </w:r>
      <w:r>
        <w:rPr/>
        <w:t>chez</w:t>
      </w:r>
      <w:r>
        <w:rPr>
          <w:spacing w:val="-4"/>
        </w:rPr>
        <w:t> </w:t>
      </w:r>
      <w:r>
        <w:rPr/>
        <w:t>le</w:t>
      </w:r>
      <w:r>
        <w:rPr>
          <w:spacing w:val="-5"/>
        </w:rPr>
        <w:t> </w:t>
      </w:r>
      <w:r>
        <w:rPr/>
        <w:t>chien</w:t>
      </w:r>
      <w:r>
        <w:rPr>
          <w:spacing w:val="-5"/>
        </w:rPr>
        <w:t> </w:t>
      </w:r>
      <w:r>
        <w:rPr/>
        <w:t>car</w:t>
      </w:r>
      <w:r>
        <w:rPr>
          <w:spacing w:val="-6"/>
        </w:rPr>
        <w:t> </w:t>
      </w:r>
      <w:r>
        <w:rPr/>
        <w:t>il</w:t>
      </w:r>
      <w:r>
        <w:rPr>
          <w:spacing w:val="-4"/>
        </w:rPr>
        <w:t> </w:t>
      </w:r>
      <w:r>
        <w:rPr/>
        <w:t>existe</w:t>
      </w:r>
      <w:r>
        <w:rPr>
          <w:spacing w:val="-6"/>
        </w:rPr>
        <w:t> </w:t>
      </w:r>
      <w:r>
        <w:rPr/>
        <w:t>des</w:t>
      </w:r>
      <w:r>
        <w:rPr>
          <w:spacing w:val="-7"/>
        </w:rPr>
        <w:t> </w:t>
      </w:r>
      <w:r>
        <w:rPr/>
        <w:t>standards</w:t>
      </w:r>
      <w:r>
        <w:rPr>
          <w:spacing w:val="-5"/>
        </w:rPr>
        <w:t> </w:t>
      </w:r>
      <w:r>
        <w:rPr/>
        <w:t>de</w:t>
      </w:r>
      <w:r>
        <w:rPr>
          <w:spacing w:val="-6"/>
        </w:rPr>
        <w:t> </w:t>
      </w:r>
      <w:r>
        <w:rPr/>
        <w:t>thérapie</w:t>
      </w:r>
      <w:r>
        <w:rPr>
          <w:spacing w:val="-5"/>
        </w:rPr>
        <w:t> </w:t>
      </w:r>
      <w:r>
        <w:rPr/>
        <w:t>plus</w:t>
      </w:r>
      <w:r>
        <w:rPr>
          <w:spacing w:val="-4"/>
        </w:rPr>
        <w:t> </w:t>
      </w:r>
      <w:r>
        <w:rPr/>
        <w:t>précis</w:t>
      </w:r>
      <w:r>
        <w:rPr>
          <w:spacing w:val="-4"/>
        </w:rPr>
        <w:t> </w:t>
      </w:r>
      <w:r>
        <w:rPr/>
        <w:t>que chez le chat. Le chien est de plus un modèle d’oncologie comparée très intéressant (Paoloni et Khanna, 2007), utilisé par exemple par le Consortium d’Essais Cliniques en Oncologie Comparative</w:t>
      </w:r>
      <w:r>
        <w:rPr>
          <w:spacing w:val="-8"/>
        </w:rPr>
        <w:t> </w:t>
      </w:r>
      <w:r>
        <w:rPr/>
        <w:t>(Comparative</w:t>
      </w:r>
      <w:r>
        <w:rPr>
          <w:spacing w:val="-8"/>
        </w:rPr>
        <w:t> </w:t>
      </w:r>
      <w:r>
        <w:rPr/>
        <w:t>Oncology</w:t>
      </w:r>
      <w:r>
        <w:rPr>
          <w:spacing w:val="-12"/>
        </w:rPr>
        <w:t> </w:t>
      </w:r>
      <w:r>
        <w:rPr/>
        <w:t>Trials</w:t>
      </w:r>
      <w:r>
        <w:rPr>
          <w:spacing w:val="-7"/>
        </w:rPr>
        <w:t> </w:t>
      </w:r>
      <w:r>
        <w:rPr/>
        <w:t>Consortium</w:t>
      </w:r>
      <w:r>
        <w:rPr>
          <w:spacing w:val="-7"/>
        </w:rPr>
        <w:t> </w:t>
      </w:r>
      <w:r>
        <w:rPr/>
        <w:t>(COTC)),</w:t>
      </w:r>
      <w:r>
        <w:rPr>
          <w:spacing w:val="-7"/>
        </w:rPr>
        <w:t> </w:t>
      </w:r>
      <w:r>
        <w:rPr/>
        <w:t>qui</w:t>
      </w:r>
      <w:r>
        <w:rPr>
          <w:spacing w:val="-4"/>
        </w:rPr>
        <w:t> </w:t>
      </w:r>
      <w:r>
        <w:rPr/>
        <w:t>regroupe</w:t>
      </w:r>
      <w:r>
        <w:rPr>
          <w:spacing w:val="-8"/>
        </w:rPr>
        <w:t> </w:t>
      </w:r>
      <w:r>
        <w:rPr/>
        <w:t>22</w:t>
      </w:r>
      <w:r>
        <w:rPr>
          <w:spacing w:val="-7"/>
        </w:rPr>
        <w:t> </w:t>
      </w:r>
      <w:r>
        <w:rPr/>
        <w:t>universités nord américaines mettant en place des essais cliniques de recherche comparée (Gordon et al., 2009).</w:t>
      </w:r>
    </w:p>
    <w:p>
      <w:pPr>
        <w:pStyle w:val="BodyText"/>
        <w:spacing w:line="276" w:lineRule="auto" w:before="164"/>
        <w:ind w:left="116" w:right="112" w:firstLine="707"/>
        <w:jc w:val="both"/>
      </w:pPr>
      <w:r>
        <w:rPr/>
        <w:t>Les</w:t>
      </w:r>
      <w:r>
        <w:rPr>
          <w:spacing w:val="-7"/>
        </w:rPr>
        <w:t> </w:t>
      </w:r>
      <w:r>
        <w:rPr/>
        <w:t>études</w:t>
      </w:r>
      <w:r>
        <w:rPr>
          <w:spacing w:val="-8"/>
        </w:rPr>
        <w:t> </w:t>
      </w:r>
      <w:r>
        <w:rPr/>
        <w:t>chez</w:t>
      </w:r>
      <w:r>
        <w:rPr>
          <w:spacing w:val="-8"/>
        </w:rPr>
        <w:t> </w:t>
      </w:r>
      <w:r>
        <w:rPr/>
        <w:t>le</w:t>
      </w:r>
      <w:r>
        <w:rPr>
          <w:spacing w:val="-8"/>
        </w:rPr>
        <w:t> </w:t>
      </w:r>
      <w:r>
        <w:rPr/>
        <w:t>chien</w:t>
      </w:r>
      <w:r>
        <w:rPr>
          <w:spacing w:val="-8"/>
        </w:rPr>
        <w:t> </w:t>
      </w:r>
      <w:r>
        <w:rPr/>
        <w:t>nous</w:t>
      </w:r>
      <w:r>
        <w:rPr>
          <w:spacing w:val="-9"/>
        </w:rPr>
        <w:t> </w:t>
      </w:r>
      <w:r>
        <w:rPr/>
        <w:t>permettent</w:t>
      </w:r>
      <w:r>
        <w:rPr>
          <w:spacing w:val="-5"/>
        </w:rPr>
        <w:t> </w:t>
      </w:r>
      <w:r>
        <w:rPr/>
        <w:t>en</w:t>
      </w:r>
      <w:r>
        <w:rPr>
          <w:spacing w:val="-7"/>
        </w:rPr>
        <w:t> </w:t>
      </w:r>
      <w:r>
        <w:rPr/>
        <w:t>effet</w:t>
      </w:r>
      <w:r>
        <w:rPr>
          <w:spacing w:val="-6"/>
        </w:rPr>
        <w:t> </w:t>
      </w:r>
      <w:r>
        <w:rPr/>
        <w:t>de</w:t>
      </w:r>
      <w:r>
        <w:rPr>
          <w:spacing w:val="-10"/>
        </w:rPr>
        <w:t> </w:t>
      </w:r>
      <w:r>
        <w:rPr/>
        <w:t>travailler</w:t>
      </w:r>
      <w:r>
        <w:rPr>
          <w:spacing w:val="-10"/>
        </w:rPr>
        <w:t> </w:t>
      </w:r>
      <w:r>
        <w:rPr/>
        <w:t>sur</w:t>
      </w:r>
      <w:r>
        <w:rPr>
          <w:spacing w:val="-8"/>
        </w:rPr>
        <w:t> </w:t>
      </w:r>
      <w:r>
        <w:rPr/>
        <w:t>des</w:t>
      </w:r>
      <w:r>
        <w:rPr>
          <w:spacing w:val="-7"/>
        </w:rPr>
        <w:t> </w:t>
      </w:r>
      <w:r>
        <w:rPr/>
        <w:t>cancers</w:t>
      </w:r>
      <w:r>
        <w:rPr>
          <w:spacing w:val="-9"/>
        </w:rPr>
        <w:t> </w:t>
      </w:r>
      <w:r>
        <w:rPr/>
        <w:t>spontanés (avec un système immunitaire en place) et sur une échelle de temps réduite (les cancers se développent beaucoup plus rapidement que chez l’homme). </w:t>
      </w:r>
      <w:r>
        <w:rPr>
          <w:spacing w:val="-3"/>
        </w:rPr>
        <w:t>Les </w:t>
      </w:r>
      <w:r>
        <w:rPr/>
        <w:t>chiens partagent notre environnement quotidien et sont donc de bons modèles épidémiologiques, qui ont déjà été utilisés (Glickman et al., 2004). Différents paramètres sont facilement contrôlables chez nos animaux de compagnie, comme le régime alimentaire, le statut hormonal, le statut urbain ou rural.</w:t>
      </w:r>
      <w:r>
        <w:rPr>
          <w:spacing w:val="-7"/>
        </w:rPr>
        <w:t> </w:t>
      </w:r>
      <w:r>
        <w:rPr/>
        <w:t>De</w:t>
      </w:r>
      <w:r>
        <w:rPr>
          <w:spacing w:val="-9"/>
        </w:rPr>
        <w:t> </w:t>
      </w:r>
      <w:r>
        <w:rPr/>
        <w:t>nombreux</w:t>
      </w:r>
      <w:r>
        <w:rPr>
          <w:spacing w:val="-5"/>
        </w:rPr>
        <w:t> </w:t>
      </w:r>
      <w:r>
        <w:rPr/>
        <w:t>animaux</w:t>
      </w:r>
      <w:r>
        <w:rPr>
          <w:spacing w:val="-5"/>
        </w:rPr>
        <w:t> </w:t>
      </w:r>
      <w:r>
        <w:rPr/>
        <w:t>de</w:t>
      </w:r>
      <w:r>
        <w:rPr>
          <w:spacing w:val="-8"/>
        </w:rPr>
        <w:t> </w:t>
      </w:r>
      <w:r>
        <w:rPr/>
        <w:t>compagnie</w:t>
      </w:r>
      <w:r>
        <w:rPr>
          <w:spacing w:val="-8"/>
        </w:rPr>
        <w:t> </w:t>
      </w:r>
      <w:r>
        <w:rPr/>
        <w:t>développent</w:t>
      </w:r>
      <w:r>
        <w:rPr>
          <w:spacing w:val="-7"/>
        </w:rPr>
        <w:t> </w:t>
      </w:r>
      <w:r>
        <w:rPr/>
        <w:t>des</w:t>
      </w:r>
      <w:r>
        <w:rPr>
          <w:spacing w:val="-7"/>
        </w:rPr>
        <w:t> </w:t>
      </w:r>
      <w:r>
        <w:rPr/>
        <w:t>cancers</w:t>
      </w:r>
      <w:r>
        <w:rPr>
          <w:spacing w:val="-8"/>
        </w:rPr>
        <w:t> </w:t>
      </w:r>
      <w:r>
        <w:rPr/>
        <w:t>et</w:t>
      </w:r>
      <w:r>
        <w:rPr>
          <w:spacing w:val="-7"/>
        </w:rPr>
        <w:t> </w:t>
      </w:r>
      <w:r>
        <w:rPr/>
        <w:t>les</w:t>
      </w:r>
      <w:r>
        <w:rPr>
          <w:spacing w:val="-7"/>
        </w:rPr>
        <w:t> </w:t>
      </w:r>
      <w:r>
        <w:rPr/>
        <w:t>propriétaires</w:t>
      </w:r>
      <w:r>
        <w:rPr>
          <w:spacing w:val="-7"/>
        </w:rPr>
        <w:t> </w:t>
      </w:r>
      <w:r>
        <w:rPr/>
        <w:t>sont</w:t>
      </w:r>
      <w:r>
        <w:rPr>
          <w:spacing w:val="-7"/>
        </w:rPr>
        <w:t> </w:t>
      </w:r>
      <w:r>
        <w:rPr/>
        <w:t>de plus</w:t>
      </w:r>
      <w:r>
        <w:rPr>
          <w:spacing w:val="-7"/>
        </w:rPr>
        <w:t> </w:t>
      </w:r>
      <w:r>
        <w:rPr/>
        <w:t>en</w:t>
      </w:r>
      <w:r>
        <w:rPr>
          <w:spacing w:val="-7"/>
        </w:rPr>
        <w:t> </w:t>
      </w:r>
      <w:r>
        <w:rPr/>
        <w:t>plus</w:t>
      </w:r>
      <w:r>
        <w:rPr>
          <w:spacing w:val="-7"/>
        </w:rPr>
        <w:t> </w:t>
      </w:r>
      <w:r>
        <w:rPr/>
        <w:t>demandeurs</w:t>
      </w:r>
      <w:r>
        <w:rPr>
          <w:spacing w:val="-8"/>
        </w:rPr>
        <w:t> </w:t>
      </w:r>
      <w:r>
        <w:rPr/>
        <w:t>de</w:t>
      </w:r>
      <w:r>
        <w:rPr>
          <w:spacing w:val="-8"/>
        </w:rPr>
        <w:t> </w:t>
      </w:r>
      <w:r>
        <w:rPr/>
        <w:t>nouveaux</w:t>
      </w:r>
      <w:r>
        <w:rPr>
          <w:spacing w:val="-5"/>
        </w:rPr>
        <w:t> </w:t>
      </w:r>
      <w:r>
        <w:rPr/>
        <w:t>traitements.</w:t>
      </w:r>
      <w:r>
        <w:rPr>
          <w:spacing w:val="-7"/>
        </w:rPr>
        <w:t> </w:t>
      </w:r>
      <w:r>
        <w:rPr/>
        <w:t>Les</w:t>
      </w:r>
      <w:r>
        <w:rPr>
          <w:spacing w:val="-5"/>
        </w:rPr>
        <w:t> </w:t>
      </w:r>
      <w:r>
        <w:rPr/>
        <w:t>cancers</w:t>
      </w:r>
      <w:r>
        <w:rPr>
          <w:spacing w:val="-8"/>
        </w:rPr>
        <w:t> </w:t>
      </w:r>
      <w:r>
        <w:rPr/>
        <w:t>des</w:t>
      </w:r>
      <w:r>
        <w:rPr>
          <w:spacing w:val="-7"/>
        </w:rPr>
        <w:t> </w:t>
      </w:r>
      <w:r>
        <w:rPr/>
        <w:t>chiens</w:t>
      </w:r>
      <w:r>
        <w:rPr>
          <w:spacing w:val="-8"/>
        </w:rPr>
        <w:t> </w:t>
      </w:r>
      <w:r>
        <w:rPr/>
        <w:t>répondent</w:t>
      </w:r>
      <w:r>
        <w:rPr>
          <w:spacing w:val="-7"/>
        </w:rPr>
        <w:t> </w:t>
      </w:r>
      <w:r>
        <w:rPr/>
        <w:t>également à la chimiothérapie, se disséminent, et présentent des phénomènes de chimiorésistance et de récidive comme chez l’homme. De nombreuses tumeurs sont comparables histologiquement entre les deux espèces, comme par exemple le lymphome canin avec le lymphome non Hodgkinien chez l’homme (Seelig et al., 2016). Des similarités génétiques tumorales sont présentes et l’étude comparative du génome du chien et de l’homme réalisé par le Consortium de Génomique et d’Oncologie Comparative Canine (CCOGC) permettra de dégager de nombreux modèles précis (CCOGC « </w:t>
      </w:r>
      <w:r>
        <w:rPr>
          <w:i/>
        </w:rPr>
        <w:t>Home</w:t>
      </w:r>
      <w:r>
        <w:rPr>
          <w:i/>
          <w:spacing w:val="2"/>
        </w:rPr>
        <w:t> </w:t>
      </w:r>
      <w:r>
        <w:rPr>
          <w:spacing w:val="-3"/>
        </w:rPr>
        <w:t>»).</w:t>
      </w:r>
    </w:p>
    <w:p>
      <w:pPr>
        <w:pStyle w:val="BodyText"/>
        <w:rPr>
          <w:sz w:val="26"/>
        </w:rPr>
      </w:pPr>
    </w:p>
    <w:p>
      <w:pPr>
        <w:pStyle w:val="BodyText"/>
        <w:spacing w:before="10"/>
        <w:rPr>
          <w:sz w:val="29"/>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198" w:id="342"/>
      <w:bookmarkEnd w:id="342"/>
      <w:r>
        <w:rPr/>
      </w:r>
      <w:bookmarkStart w:name="_bookmark198" w:id="343"/>
      <w:bookmarkEnd w:id="343"/>
      <w:r>
        <w:rPr>
          <w:sz w:val="24"/>
          <w:u w:val="single"/>
        </w:rPr>
        <w:t>D</w:t>
      </w:r>
      <w:r>
        <w:rPr>
          <w:sz w:val="24"/>
          <w:u w:val="single"/>
        </w:rPr>
        <w:t>éroulé des</w:t>
      </w:r>
      <w:r>
        <w:rPr>
          <w:spacing w:val="-5"/>
          <w:sz w:val="24"/>
          <w:u w:val="single"/>
        </w:rPr>
        <w:t> </w:t>
      </w:r>
      <w:r>
        <w:rPr>
          <w:sz w:val="24"/>
          <w:u w:val="single"/>
        </w:rPr>
        <w:t>événements</w:t>
      </w:r>
    </w:p>
    <w:p>
      <w:pPr>
        <w:pStyle w:val="BodyText"/>
        <w:rPr>
          <w:sz w:val="20"/>
        </w:rPr>
      </w:pPr>
    </w:p>
    <w:p>
      <w:pPr>
        <w:pStyle w:val="BodyText"/>
        <w:spacing w:before="3"/>
        <w:rPr>
          <w:sz w:val="17"/>
        </w:rPr>
      </w:pPr>
    </w:p>
    <w:p>
      <w:pPr>
        <w:pStyle w:val="BodyText"/>
        <w:spacing w:line="273" w:lineRule="auto" w:before="90"/>
        <w:ind w:left="116" w:firstLine="707"/>
      </w:pPr>
      <w:r>
        <w:rPr/>
        <w:t>Il conviendra de fixer une date de début de la réalisation de l’essai, une période d’administration des molécules et une phase d’observation post administration.</w:t>
      </w:r>
    </w:p>
    <w:p>
      <w:pPr>
        <w:pStyle w:val="BodyText"/>
        <w:rPr>
          <w:sz w:val="26"/>
        </w:rPr>
      </w:pPr>
    </w:p>
    <w:p>
      <w:pPr>
        <w:pStyle w:val="BodyText"/>
        <w:rPr>
          <w:sz w:val="30"/>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199" w:id="344"/>
      <w:bookmarkEnd w:id="344"/>
      <w:r>
        <w:rPr/>
      </w:r>
      <w:bookmarkStart w:name="_bookmark199" w:id="345"/>
      <w:bookmarkEnd w:id="345"/>
      <w:r>
        <w:rPr>
          <w:sz w:val="24"/>
          <w:u w:val="single"/>
        </w:rPr>
        <w:t>C</w:t>
      </w:r>
      <w:r>
        <w:rPr>
          <w:sz w:val="24"/>
          <w:u w:val="single"/>
        </w:rPr>
        <w:t>onception de</w:t>
      </w:r>
      <w:r>
        <w:rPr>
          <w:spacing w:val="-5"/>
          <w:sz w:val="24"/>
          <w:u w:val="single"/>
        </w:rPr>
        <w:t> </w:t>
      </w:r>
      <w:r>
        <w:rPr>
          <w:sz w:val="24"/>
          <w:u w:val="single"/>
        </w:rPr>
        <w:t>l’étude</w:t>
      </w:r>
    </w:p>
    <w:p>
      <w:pPr>
        <w:pStyle w:val="BodyText"/>
        <w:rPr>
          <w:sz w:val="20"/>
        </w:rPr>
      </w:pPr>
    </w:p>
    <w:p>
      <w:pPr>
        <w:pStyle w:val="BodyText"/>
        <w:spacing w:before="3"/>
        <w:rPr>
          <w:sz w:val="17"/>
        </w:rPr>
      </w:pPr>
    </w:p>
    <w:p>
      <w:pPr>
        <w:pStyle w:val="BodyText"/>
        <w:spacing w:line="278" w:lineRule="auto" w:before="90"/>
        <w:ind w:left="116" w:firstLine="707"/>
      </w:pPr>
      <w:r>
        <w:rPr/>
        <w:t>L’étude idéale est une étude prospective randomisée en double aveugle (distribution aléatoire</w:t>
      </w:r>
      <w:r>
        <w:rPr>
          <w:spacing w:val="-16"/>
        </w:rPr>
        <w:t> </w:t>
      </w:r>
      <w:r>
        <w:rPr/>
        <w:t>des</w:t>
      </w:r>
      <w:r>
        <w:rPr>
          <w:spacing w:val="-14"/>
        </w:rPr>
        <w:t> </w:t>
      </w:r>
      <w:r>
        <w:rPr/>
        <w:t>patients</w:t>
      </w:r>
      <w:r>
        <w:rPr>
          <w:spacing w:val="-14"/>
        </w:rPr>
        <w:t> </w:t>
      </w:r>
      <w:r>
        <w:rPr/>
        <w:t>dans</w:t>
      </w:r>
      <w:r>
        <w:rPr>
          <w:spacing w:val="-14"/>
        </w:rPr>
        <w:t> </w:t>
      </w:r>
      <w:r>
        <w:rPr/>
        <w:t>différents</w:t>
      </w:r>
      <w:r>
        <w:rPr>
          <w:spacing w:val="-14"/>
        </w:rPr>
        <w:t> </w:t>
      </w:r>
      <w:r>
        <w:rPr/>
        <w:t>groupes.</w:t>
      </w:r>
      <w:r>
        <w:rPr>
          <w:spacing w:val="-14"/>
        </w:rPr>
        <w:t> </w:t>
      </w:r>
      <w:r>
        <w:rPr/>
        <w:t>Ni</w:t>
      </w:r>
      <w:r>
        <w:rPr>
          <w:spacing w:val="-14"/>
        </w:rPr>
        <w:t> </w:t>
      </w:r>
      <w:r>
        <w:rPr/>
        <w:t>le</w:t>
      </w:r>
      <w:r>
        <w:rPr>
          <w:spacing w:val="-15"/>
        </w:rPr>
        <w:t> </w:t>
      </w:r>
      <w:r>
        <w:rPr/>
        <w:t>vétérinaire</w:t>
      </w:r>
      <w:r>
        <w:rPr>
          <w:spacing w:val="-15"/>
        </w:rPr>
        <w:t> </w:t>
      </w:r>
      <w:r>
        <w:rPr/>
        <w:t>ni</w:t>
      </w:r>
      <w:r>
        <w:rPr>
          <w:spacing w:val="-14"/>
        </w:rPr>
        <w:t> </w:t>
      </w:r>
      <w:r>
        <w:rPr/>
        <w:t>le</w:t>
      </w:r>
      <w:r>
        <w:rPr>
          <w:spacing w:val="-15"/>
        </w:rPr>
        <w:t> </w:t>
      </w:r>
      <w:r>
        <w:rPr/>
        <w:t>propriétaire</w:t>
      </w:r>
      <w:r>
        <w:rPr>
          <w:spacing w:val="-13"/>
        </w:rPr>
        <w:t> </w:t>
      </w:r>
      <w:r>
        <w:rPr/>
        <w:t>ne</w:t>
      </w:r>
      <w:r>
        <w:rPr>
          <w:spacing w:val="-15"/>
        </w:rPr>
        <w:t> </w:t>
      </w:r>
      <w:r>
        <w:rPr/>
        <w:t>savent</w:t>
      </w:r>
      <w:r>
        <w:rPr>
          <w:spacing w:val="-14"/>
        </w:rPr>
        <w:t> </w:t>
      </w:r>
      <w:r>
        <w:rPr/>
        <w:t>quelle</w:t>
      </w:r>
    </w:p>
    <w:p>
      <w:pPr>
        <w:spacing w:after="0" w:line="278" w:lineRule="auto"/>
        <w:sectPr>
          <w:pgSz w:w="11910" w:h="16840"/>
          <w:pgMar w:header="0" w:footer="1055" w:top="1320" w:bottom="1240" w:left="1300" w:right="1300"/>
        </w:sectPr>
      </w:pPr>
    </w:p>
    <w:p>
      <w:pPr>
        <w:pStyle w:val="BodyText"/>
        <w:spacing w:line="276" w:lineRule="auto" w:before="72"/>
        <w:ind w:left="116" w:right="112"/>
        <w:jc w:val="both"/>
      </w:pPr>
      <w:r>
        <w:rPr/>
        <w:t>thérapie</w:t>
      </w:r>
      <w:r>
        <w:rPr>
          <w:spacing w:val="-14"/>
        </w:rPr>
        <w:t> </w:t>
      </w:r>
      <w:r>
        <w:rPr/>
        <w:t>reçoit</w:t>
      </w:r>
      <w:r>
        <w:rPr>
          <w:spacing w:val="-12"/>
        </w:rPr>
        <w:t> </w:t>
      </w:r>
      <w:r>
        <w:rPr/>
        <w:t>l’animal)</w:t>
      </w:r>
      <w:r>
        <w:rPr>
          <w:spacing w:val="-13"/>
        </w:rPr>
        <w:t> </w:t>
      </w:r>
      <w:r>
        <w:rPr/>
        <w:t>et</w:t>
      </w:r>
      <w:r>
        <w:rPr>
          <w:spacing w:val="-13"/>
        </w:rPr>
        <w:t> </w:t>
      </w:r>
      <w:r>
        <w:rPr/>
        <w:t>multicentrique.</w:t>
      </w:r>
      <w:r>
        <w:rPr>
          <w:spacing w:val="-11"/>
        </w:rPr>
        <w:t> </w:t>
      </w:r>
      <w:r>
        <w:rPr/>
        <w:t>Les</w:t>
      </w:r>
      <w:r>
        <w:rPr>
          <w:spacing w:val="-13"/>
        </w:rPr>
        <w:t> </w:t>
      </w:r>
      <w:r>
        <w:rPr/>
        <w:t>méthodes</w:t>
      </w:r>
      <w:r>
        <w:rPr>
          <w:spacing w:val="-13"/>
        </w:rPr>
        <w:t> </w:t>
      </w:r>
      <w:r>
        <w:rPr/>
        <w:t>de</w:t>
      </w:r>
      <w:r>
        <w:rPr>
          <w:spacing w:val="-14"/>
        </w:rPr>
        <w:t> </w:t>
      </w:r>
      <w:r>
        <w:rPr/>
        <w:t>randomisation</w:t>
      </w:r>
      <w:r>
        <w:rPr>
          <w:spacing w:val="-13"/>
        </w:rPr>
        <w:t> </w:t>
      </w:r>
      <w:r>
        <w:rPr/>
        <w:t>(procédures</w:t>
      </w:r>
      <w:r>
        <w:rPr>
          <w:spacing w:val="-13"/>
        </w:rPr>
        <w:t> </w:t>
      </w:r>
      <w:r>
        <w:rPr/>
        <w:t>à</w:t>
      </w:r>
      <w:r>
        <w:rPr>
          <w:spacing w:val="-14"/>
        </w:rPr>
        <w:t> </w:t>
      </w:r>
      <w:r>
        <w:rPr/>
        <w:t>suivre pour attribuer les animaux dans les différents groupes) et d’aveuglement (autres techniques de réduction des biais dans l’accès au traitement) seront à préciser. Les différentes cliniques vétérinaires</w:t>
      </w:r>
      <w:r>
        <w:rPr>
          <w:spacing w:val="-13"/>
        </w:rPr>
        <w:t> </w:t>
      </w:r>
      <w:r>
        <w:rPr/>
        <w:t>participant</w:t>
      </w:r>
      <w:r>
        <w:rPr>
          <w:spacing w:val="-11"/>
        </w:rPr>
        <w:t> </w:t>
      </w:r>
      <w:r>
        <w:rPr/>
        <w:t>à</w:t>
      </w:r>
      <w:r>
        <w:rPr>
          <w:spacing w:val="-12"/>
        </w:rPr>
        <w:t> </w:t>
      </w:r>
      <w:r>
        <w:rPr/>
        <w:t>l’étude</w:t>
      </w:r>
      <w:r>
        <w:rPr>
          <w:spacing w:val="-14"/>
        </w:rPr>
        <w:t> </w:t>
      </w:r>
      <w:r>
        <w:rPr/>
        <w:t>devront</w:t>
      </w:r>
      <w:r>
        <w:rPr>
          <w:spacing w:val="-14"/>
        </w:rPr>
        <w:t> </w:t>
      </w:r>
      <w:r>
        <w:rPr/>
        <w:t>harmoniser</w:t>
      </w:r>
      <w:r>
        <w:rPr>
          <w:spacing w:val="-15"/>
        </w:rPr>
        <w:t> </w:t>
      </w:r>
      <w:r>
        <w:rPr/>
        <w:t>leurs</w:t>
      </w:r>
      <w:r>
        <w:rPr>
          <w:spacing w:val="-13"/>
        </w:rPr>
        <w:t> </w:t>
      </w:r>
      <w:r>
        <w:rPr/>
        <w:t>techniques</w:t>
      </w:r>
      <w:r>
        <w:rPr>
          <w:spacing w:val="-13"/>
        </w:rPr>
        <w:t> </w:t>
      </w:r>
      <w:r>
        <w:rPr/>
        <w:t>et</w:t>
      </w:r>
      <w:r>
        <w:rPr>
          <w:spacing w:val="-13"/>
        </w:rPr>
        <w:t> </w:t>
      </w:r>
      <w:r>
        <w:rPr/>
        <w:t>la</w:t>
      </w:r>
      <w:r>
        <w:rPr>
          <w:spacing w:val="-12"/>
        </w:rPr>
        <w:t> </w:t>
      </w:r>
      <w:r>
        <w:rPr/>
        <w:t>collecte</w:t>
      </w:r>
      <w:r>
        <w:rPr>
          <w:spacing w:val="-14"/>
        </w:rPr>
        <w:t> </w:t>
      </w:r>
      <w:r>
        <w:rPr/>
        <w:t>des</w:t>
      </w:r>
      <w:r>
        <w:rPr>
          <w:spacing w:val="-13"/>
        </w:rPr>
        <w:t> </w:t>
      </w:r>
      <w:r>
        <w:rPr/>
        <w:t>résultats, avec l’aide éventuelle des sponsors et des</w:t>
      </w:r>
      <w:r>
        <w:rPr>
          <w:spacing w:val="-12"/>
        </w:rPr>
        <w:t> </w:t>
      </w:r>
      <w:r>
        <w:rPr/>
        <w:t>moniteurs.</w:t>
      </w:r>
    </w:p>
    <w:p>
      <w:pPr>
        <w:pStyle w:val="BodyText"/>
        <w:spacing w:line="276" w:lineRule="auto" w:before="164"/>
        <w:ind w:left="116" w:right="117" w:firstLine="707"/>
        <w:jc w:val="both"/>
      </w:pPr>
      <w:r>
        <w:rPr/>
        <w:t>Le but de l’étude étant d’évaluer l’efficacité de la thérapie métabolique (TM) en association avec la chimiothérapie sur la survie des animaux, il convient donc d’étudier trois groupes :</w:t>
      </w:r>
    </w:p>
    <w:p>
      <w:pPr>
        <w:pStyle w:val="ListParagraph"/>
        <w:numPr>
          <w:ilvl w:val="1"/>
          <w:numId w:val="6"/>
        </w:numPr>
        <w:tabs>
          <w:tab w:pos="836" w:val="left" w:leader="none"/>
          <w:tab w:pos="837" w:val="left" w:leader="none"/>
        </w:tabs>
        <w:spacing w:line="240" w:lineRule="auto" w:before="164" w:after="0"/>
        <w:ind w:left="836" w:right="0" w:hanging="360"/>
        <w:jc w:val="left"/>
        <w:rPr>
          <w:sz w:val="24"/>
        </w:rPr>
      </w:pPr>
      <w:r>
        <w:rPr>
          <w:sz w:val="24"/>
          <w:u w:val="single"/>
        </w:rPr>
        <w:t>Groupe 1</w:t>
      </w:r>
      <w:r>
        <w:rPr>
          <w:sz w:val="24"/>
        </w:rPr>
        <w:t> : groupe contrôle recevant une chimiothérapie conventionnelle</w:t>
      </w:r>
      <w:r>
        <w:rPr>
          <w:spacing w:val="-14"/>
          <w:sz w:val="24"/>
        </w:rPr>
        <w:t> </w:t>
      </w:r>
      <w:r>
        <w:rPr>
          <w:sz w:val="24"/>
        </w:rPr>
        <w:t>seule</w:t>
      </w:r>
    </w:p>
    <w:p>
      <w:pPr>
        <w:pStyle w:val="ListParagraph"/>
        <w:numPr>
          <w:ilvl w:val="1"/>
          <w:numId w:val="6"/>
        </w:numPr>
        <w:tabs>
          <w:tab w:pos="836" w:val="left" w:leader="none"/>
          <w:tab w:pos="837" w:val="left" w:leader="none"/>
        </w:tabs>
        <w:spacing w:line="240" w:lineRule="auto" w:before="40" w:after="0"/>
        <w:ind w:left="836" w:right="0" w:hanging="360"/>
        <w:jc w:val="left"/>
        <w:rPr>
          <w:sz w:val="24"/>
        </w:rPr>
      </w:pPr>
      <w:r>
        <w:rPr>
          <w:sz w:val="24"/>
          <w:u w:val="single"/>
        </w:rPr>
        <w:t>Groupe 2</w:t>
      </w:r>
      <w:r>
        <w:rPr>
          <w:sz w:val="24"/>
        </w:rPr>
        <w:t> : groupe recevant une chimiothérapie conventionnelle associée à la</w:t>
      </w:r>
      <w:r>
        <w:rPr>
          <w:spacing w:val="-12"/>
          <w:sz w:val="24"/>
        </w:rPr>
        <w:t> </w:t>
      </w:r>
      <w:r>
        <w:rPr>
          <w:sz w:val="24"/>
        </w:rPr>
        <w:t>TM</w:t>
      </w:r>
    </w:p>
    <w:p>
      <w:pPr>
        <w:pStyle w:val="ListParagraph"/>
        <w:numPr>
          <w:ilvl w:val="1"/>
          <w:numId w:val="6"/>
        </w:numPr>
        <w:tabs>
          <w:tab w:pos="836" w:val="left" w:leader="none"/>
          <w:tab w:pos="837" w:val="left" w:leader="none"/>
        </w:tabs>
        <w:spacing w:line="240" w:lineRule="auto" w:before="38" w:after="0"/>
        <w:ind w:left="836" w:right="0" w:hanging="360"/>
        <w:jc w:val="left"/>
        <w:rPr>
          <w:sz w:val="24"/>
        </w:rPr>
      </w:pPr>
      <w:r>
        <w:rPr>
          <w:sz w:val="24"/>
          <w:u w:val="single"/>
        </w:rPr>
        <w:t>Groupe 3</w:t>
      </w:r>
      <w:r>
        <w:rPr>
          <w:sz w:val="24"/>
        </w:rPr>
        <w:t> : groupe recevant une chimiothérapie conventionnelle associée à un</w:t>
      </w:r>
      <w:r>
        <w:rPr>
          <w:spacing w:val="-17"/>
          <w:sz w:val="24"/>
        </w:rPr>
        <w:t> </w:t>
      </w:r>
      <w:r>
        <w:rPr>
          <w:sz w:val="24"/>
        </w:rPr>
        <w:t>placebo</w:t>
      </w:r>
    </w:p>
    <w:p>
      <w:pPr>
        <w:pStyle w:val="BodyText"/>
        <w:spacing w:line="273" w:lineRule="auto" w:before="203"/>
        <w:ind w:left="116" w:right="114"/>
        <w:jc w:val="both"/>
      </w:pPr>
      <w:r>
        <w:rPr/>
        <w:t>L’approbation du protocole de l’étude par un comité d’éthique devra être effectuée, avec le consentement éclairé des propriétaires.</w:t>
      </w:r>
    </w:p>
    <w:p>
      <w:pPr>
        <w:pStyle w:val="BodyText"/>
        <w:rPr>
          <w:sz w:val="26"/>
        </w:rPr>
      </w:pPr>
    </w:p>
    <w:p>
      <w:pPr>
        <w:pStyle w:val="BodyText"/>
        <w:spacing w:before="11"/>
        <w:rPr>
          <w:sz w:val="29"/>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200" w:id="346"/>
      <w:bookmarkEnd w:id="346"/>
      <w:r>
        <w:rPr/>
      </w:r>
      <w:bookmarkStart w:name="_bookmark200" w:id="347"/>
      <w:bookmarkEnd w:id="347"/>
      <w:r>
        <w:rPr>
          <w:sz w:val="24"/>
          <w:u w:val="single"/>
        </w:rPr>
        <w:t>S</w:t>
      </w:r>
      <w:r>
        <w:rPr>
          <w:sz w:val="24"/>
          <w:u w:val="single"/>
        </w:rPr>
        <w:t>élection des</w:t>
      </w:r>
      <w:r>
        <w:rPr>
          <w:spacing w:val="-7"/>
          <w:sz w:val="24"/>
          <w:u w:val="single"/>
        </w:rPr>
        <w:t> </w:t>
      </w:r>
      <w:r>
        <w:rPr>
          <w:sz w:val="24"/>
          <w:u w:val="single"/>
        </w:rPr>
        <w:t>animaux</w:t>
      </w:r>
    </w:p>
    <w:p>
      <w:pPr>
        <w:pStyle w:val="BodyText"/>
        <w:rPr>
          <w:sz w:val="20"/>
        </w:rPr>
      </w:pPr>
    </w:p>
    <w:p>
      <w:pPr>
        <w:pStyle w:val="BodyText"/>
        <w:spacing w:before="7"/>
        <w:rPr>
          <w:sz w:val="17"/>
        </w:rPr>
      </w:pPr>
    </w:p>
    <w:p>
      <w:pPr>
        <w:pStyle w:val="Heading5"/>
        <w:numPr>
          <w:ilvl w:val="1"/>
          <w:numId w:val="30"/>
        </w:numPr>
        <w:tabs>
          <w:tab w:pos="2242" w:val="left" w:leader="none"/>
          <w:tab w:pos="2243" w:val="left" w:leader="none"/>
        </w:tabs>
        <w:spacing w:line="240" w:lineRule="auto" w:before="90" w:after="0"/>
        <w:ind w:left="2242" w:right="0" w:hanging="720"/>
        <w:jc w:val="left"/>
        <w:rPr>
          <w:i/>
        </w:rPr>
      </w:pPr>
      <w:bookmarkStart w:name="_bookmark201" w:id="348"/>
      <w:bookmarkEnd w:id="348"/>
      <w:r>
        <w:rPr>
          <w:b w:val="0"/>
          <w:i w:val="0"/>
        </w:rPr>
      </w:r>
      <w:bookmarkStart w:name="_bookmark201" w:id="349"/>
      <w:bookmarkEnd w:id="349"/>
      <w:r>
        <w:rPr>
          <w:i/>
        </w:rPr>
        <w:t>Pr</w:t>
      </w:r>
      <w:r>
        <w:rPr>
          <w:i/>
        </w:rPr>
        <w:t>érequis pour rentrer dans</w:t>
      </w:r>
      <w:r>
        <w:rPr>
          <w:i/>
          <w:spacing w:val="-10"/>
        </w:rPr>
        <w:t> </w:t>
      </w:r>
      <w:r>
        <w:rPr>
          <w:i/>
        </w:rPr>
        <w:t>l’étude</w:t>
      </w:r>
    </w:p>
    <w:p>
      <w:pPr>
        <w:pStyle w:val="BodyText"/>
        <w:rPr>
          <w:b/>
          <w:i/>
          <w:sz w:val="26"/>
        </w:rPr>
      </w:pPr>
    </w:p>
    <w:p>
      <w:pPr>
        <w:pStyle w:val="ListParagraph"/>
        <w:numPr>
          <w:ilvl w:val="0"/>
          <w:numId w:val="31"/>
        </w:numPr>
        <w:tabs>
          <w:tab w:pos="837" w:val="left" w:leader="none"/>
        </w:tabs>
        <w:spacing w:line="240" w:lineRule="auto" w:before="212" w:after="0"/>
        <w:ind w:left="836" w:right="0" w:hanging="360"/>
        <w:jc w:val="left"/>
        <w:rPr>
          <w:sz w:val="24"/>
        </w:rPr>
      </w:pPr>
      <w:r>
        <w:rPr>
          <w:sz w:val="24"/>
          <w:u w:val="single"/>
        </w:rPr>
        <w:t>Critères</w:t>
      </w:r>
      <w:r>
        <w:rPr>
          <w:spacing w:val="-4"/>
          <w:sz w:val="24"/>
          <w:u w:val="single"/>
        </w:rPr>
        <w:t> </w:t>
      </w:r>
      <w:r>
        <w:rPr>
          <w:sz w:val="24"/>
          <w:u w:val="single"/>
        </w:rPr>
        <w:t>d’inclusion</w:t>
      </w:r>
    </w:p>
    <w:p>
      <w:pPr>
        <w:pStyle w:val="BodyText"/>
        <w:spacing w:line="276" w:lineRule="auto" w:before="203"/>
        <w:ind w:left="116" w:firstLine="707"/>
      </w:pPr>
      <w:r>
        <w:rPr/>
        <w:t>Les animaux sont des chiens de propriétaire, mâle ou femelle, stérilisés ou non, de tout âge, de toutes races. Les critères d’inclusion suivants doivent être remplis :</w:t>
      </w:r>
    </w:p>
    <w:p>
      <w:pPr>
        <w:pStyle w:val="ListParagraph"/>
        <w:numPr>
          <w:ilvl w:val="1"/>
          <w:numId w:val="6"/>
        </w:numPr>
        <w:tabs>
          <w:tab w:pos="837" w:val="left" w:leader="none"/>
        </w:tabs>
        <w:spacing w:line="276" w:lineRule="auto" w:before="161" w:after="0"/>
        <w:ind w:left="836" w:right="117" w:hanging="360"/>
        <w:jc w:val="both"/>
        <w:rPr>
          <w:sz w:val="24"/>
        </w:rPr>
      </w:pPr>
      <w:r>
        <w:rPr>
          <w:sz w:val="24"/>
        </w:rPr>
        <w:t>Confirmation histologique de la tumeur maligne. Une relecture histologique des biopsies par un pathologiste spécialiste est préférable pour confirmer le diagnostic et uniformiser les</w:t>
      </w:r>
      <w:r>
        <w:rPr>
          <w:spacing w:val="-8"/>
          <w:sz w:val="24"/>
        </w:rPr>
        <w:t> </w:t>
      </w:r>
      <w:r>
        <w:rPr>
          <w:sz w:val="24"/>
        </w:rPr>
        <w:t>résultats.</w:t>
      </w:r>
    </w:p>
    <w:p>
      <w:pPr>
        <w:pStyle w:val="BodyText"/>
        <w:spacing w:line="276" w:lineRule="auto" w:before="1"/>
        <w:ind w:left="836" w:right="114"/>
        <w:jc w:val="both"/>
      </w:pPr>
      <w:r>
        <w:rPr/>
        <w:t>Nous avons proposé deux exemples de réflexion, l’étude sera bien entendu réalisée uniquement</w:t>
      </w:r>
      <w:r>
        <w:rPr>
          <w:spacing w:val="-13"/>
        </w:rPr>
        <w:t> </w:t>
      </w:r>
      <w:r>
        <w:rPr/>
        <w:t>avec</w:t>
      </w:r>
      <w:r>
        <w:rPr>
          <w:spacing w:val="-14"/>
        </w:rPr>
        <w:t> </w:t>
      </w:r>
      <w:r>
        <w:rPr/>
        <w:t>un</w:t>
      </w:r>
      <w:r>
        <w:rPr>
          <w:spacing w:val="-13"/>
        </w:rPr>
        <w:t> </w:t>
      </w:r>
      <w:r>
        <w:rPr/>
        <w:t>type</w:t>
      </w:r>
      <w:r>
        <w:rPr>
          <w:spacing w:val="-10"/>
        </w:rPr>
        <w:t> </w:t>
      </w:r>
      <w:r>
        <w:rPr/>
        <w:t>histologique</w:t>
      </w:r>
      <w:r>
        <w:rPr>
          <w:spacing w:val="-14"/>
        </w:rPr>
        <w:t> </w:t>
      </w:r>
      <w:r>
        <w:rPr/>
        <w:t>de</w:t>
      </w:r>
      <w:r>
        <w:rPr>
          <w:spacing w:val="-12"/>
        </w:rPr>
        <w:t> </w:t>
      </w:r>
      <w:r>
        <w:rPr/>
        <w:t>cancer.</w:t>
      </w:r>
      <w:r>
        <w:rPr>
          <w:spacing w:val="-12"/>
        </w:rPr>
        <w:t> </w:t>
      </w:r>
      <w:r>
        <w:rPr/>
        <w:t>Tous</w:t>
      </w:r>
      <w:r>
        <w:rPr>
          <w:spacing w:val="-13"/>
        </w:rPr>
        <w:t> </w:t>
      </w:r>
      <w:r>
        <w:rPr/>
        <w:t>les</w:t>
      </w:r>
      <w:r>
        <w:rPr>
          <w:spacing w:val="-14"/>
        </w:rPr>
        <w:t> </w:t>
      </w:r>
      <w:r>
        <w:rPr/>
        <w:t>ostéosarcomes</w:t>
      </w:r>
      <w:r>
        <w:rPr>
          <w:spacing w:val="-14"/>
        </w:rPr>
        <w:t> </w:t>
      </w:r>
      <w:r>
        <w:rPr/>
        <w:t>pourraient</w:t>
      </w:r>
      <w:r>
        <w:rPr>
          <w:spacing w:val="-11"/>
        </w:rPr>
        <w:t> </w:t>
      </w:r>
      <w:r>
        <w:rPr/>
        <w:t>être étudiés. Concernant les tumeurs mammaires, seules celles de grade III remplissent nos critères</w:t>
      </w:r>
      <w:r>
        <w:rPr>
          <w:spacing w:val="-12"/>
        </w:rPr>
        <w:t> </w:t>
      </w:r>
      <w:r>
        <w:rPr/>
        <w:t>de</w:t>
      </w:r>
      <w:r>
        <w:rPr>
          <w:spacing w:val="-13"/>
        </w:rPr>
        <w:t> </w:t>
      </w:r>
      <w:r>
        <w:rPr/>
        <w:t>justification</w:t>
      </w:r>
      <w:r>
        <w:rPr>
          <w:spacing w:val="-12"/>
        </w:rPr>
        <w:t> </w:t>
      </w:r>
      <w:r>
        <w:rPr/>
        <w:t>du</w:t>
      </w:r>
      <w:r>
        <w:rPr>
          <w:spacing w:val="-12"/>
        </w:rPr>
        <w:t> </w:t>
      </w:r>
      <w:r>
        <w:rPr/>
        <w:t>choix</w:t>
      </w:r>
      <w:r>
        <w:rPr>
          <w:spacing w:val="-9"/>
        </w:rPr>
        <w:t> </w:t>
      </w:r>
      <w:r>
        <w:rPr/>
        <w:t>de</w:t>
      </w:r>
      <w:r>
        <w:rPr>
          <w:spacing w:val="-13"/>
        </w:rPr>
        <w:t> </w:t>
      </w:r>
      <w:r>
        <w:rPr/>
        <w:t>cancer.</w:t>
      </w:r>
      <w:r>
        <w:rPr>
          <w:spacing w:val="-13"/>
        </w:rPr>
        <w:t> </w:t>
      </w:r>
      <w:r>
        <w:rPr/>
        <w:t>Cela</w:t>
      </w:r>
      <w:r>
        <w:rPr>
          <w:spacing w:val="-13"/>
        </w:rPr>
        <w:t> </w:t>
      </w:r>
      <w:r>
        <w:rPr/>
        <w:t>concerne</w:t>
      </w:r>
      <w:r>
        <w:rPr>
          <w:spacing w:val="-14"/>
        </w:rPr>
        <w:t> </w:t>
      </w:r>
      <w:r>
        <w:rPr/>
        <w:t>les</w:t>
      </w:r>
      <w:r>
        <w:rPr>
          <w:spacing w:val="-12"/>
        </w:rPr>
        <w:t> </w:t>
      </w:r>
      <w:r>
        <w:rPr/>
        <w:t>tumeurs</w:t>
      </w:r>
      <w:r>
        <w:rPr>
          <w:spacing w:val="-12"/>
        </w:rPr>
        <w:t> </w:t>
      </w:r>
      <w:r>
        <w:rPr/>
        <w:t>peu</w:t>
      </w:r>
      <w:r>
        <w:rPr>
          <w:spacing w:val="-10"/>
        </w:rPr>
        <w:t> </w:t>
      </w:r>
      <w:r>
        <w:rPr/>
        <w:t>différenciées, avec un haut grade de malignité (Peña et al.,</w:t>
      </w:r>
      <w:r>
        <w:rPr>
          <w:spacing w:val="-5"/>
        </w:rPr>
        <w:t> </w:t>
      </w:r>
      <w:r>
        <w:rPr/>
        <w:t>2013).</w:t>
      </w:r>
    </w:p>
    <w:p>
      <w:pPr>
        <w:pStyle w:val="ListParagraph"/>
        <w:numPr>
          <w:ilvl w:val="1"/>
          <w:numId w:val="6"/>
        </w:numPr>
        <w:tabs>
          <w:tab w:pos="836" w:val="left" w:leader="none"/>
          <w:tab w:pos="837" w:val="left" w:leader="none"/>
        </w:tabs>
        <w:spacing w:line="240" w:lineRule="auto" w:before="1" w:after="0"/>
        <w:ind w:left="836" w:right="0" w:hanging="360"/>
        <w:jc w:val="left"/>
        <w:rPr>
          <w:sz w:val="24"/>
        </w:rPr>
      </w:pPr>
      <w:r>
        <w:rPr>
          <w:sz w:val="24"/>
        </w:rPr>
        <w:t>Normalité des fonctions rénales et</w:t>
      </w:r>
      <w:r>
        <w:rPr>
          <w:spacing w:val="-11"/>
          <w:sz w:val="24"/>
        </w:rPr>
        <w:t> </w:t>
      </w:r>
      <w:r>
        <w:rPr>
          <w:sz w:val="24"/>
        </w:rPr>
        <w:t>hépatiques.</w:t>
      </w:r>
    </w:p>
    <w:p>
      <w:pPr>
        <w:pStyle w:val="ListParagraph"/>
        <w:numPr>
          <w:ilvl w:val="1"/>
          <w:numId w:val="6"/>
        </w:numPr>
        <w:tabs>
          <w:tab w:pos="836" w:val="left" w:leader="none"/>
          <w:tab w:pos="837" w:val="left" w:leader="none"/>
        </w:tabs>
        <w:spacing w:line="240" w:lineRule="auto" w:before="43" w:after="0"/>
        <w:ind w:left="836" w:right="0" w:hanging="360"/>
        <w:jc w:val="left"/>
        <w:rPr>
          <w:sz w:val="24"/>
        </w:rPr>
      </w:pPr>
      <w:r>
        <w:rPr>
          <w:sz w:val="24"/>
        </w:rPr>
        <w:t>Absence d’anomalie cardiaque (par rapport à l’utilisation de la</w:t>
      </w:r>
      <w:r>
        <w:rPr>
          <w:spacing w:val="-15"/>
          <w:sz w:val="24"/>
        </w:rPr>
        <w:t> </w:t>
      </w:r>
      <w:r>
        <w:rPr>
          <w:sz w:val="24"/>
        </w:rPr>
        <w:t>doxorubicine).</w:t>
      </w:r>
    </w:p>
    <w:p>
      <w:pPr>
        <w:pStyle w:val="ListParagraph"/>
        <w:numPr>
          <w:ilvl w:val="1"/>
          <w:numId w:val="6"/>
        </w:numPr>
        <w:tabs>
          <w:tab w:pos="836" w:val="left" w:leader="none"/>
          <w:tab w:pos="837" w:val="left" w:leader="none"/>
        </w:tabs>
        <w:spacing w:line="240" w:lineRule="auto" w:before="40" w:after="0"/>
        <w:ind w:left="836" w:right="0" w:hanging="360"/>
        <w:jc w:val="left"/>
        <w:rPr>
          <w:sz w:val="24"/>
        </w:rPr>
      </w:pPr>
      <w:r>
        <w:rPr>
          <w:sz w:val="24"/>
        </w:rPr>
        <w:t>Absence de maladie systémique sous-jacente (diabète, maladie de</w:t>
      </w:r>
      <w:r>
        <w:rPr>
          <w:spacing w:val="-9"/>
          <w:sz w:val="24"/>
        </w:rPr>
        <w:t> </w:t>
      </w:r>
      <w:r>
        <w:rPr>
          <w:sz w:val="24"/>
        </w:rPr>
        <w:t>Cushing…).</w:t>
      </w:r>
    </w:p>
    <w:p>
      <w:pPr>
        <w:pStyle w:val="ListParagraph"/>
        <w:numPr>
          <w:ilvl w:val="1"/>
          <w:numId w:val="6"/>
        </w:numPr>
        <w:tabs>
          <w:tab w:pos="836" w:val="left" w:leader="none"/>
          <w:tab w:pos="837" w:val="left" w:leader="none"/>
        </w:tabs>
        <w:spacing w:line="240" w:lineRule="auto" w:before="40" w:after="0"/>
        <w:ind w:left="836" w:right="0" w:hanging="360"/>
        <w:jc w:val="left"/>
        <w:rPr>
          <w:sz w:val="24"/>
        </w:rPr>
      </w:pPr>
      <w:r>
        <w:rPr>
          <w:sz w:val="24"/>
        </w:rPr>
        <w:t>Compliance du propriétaire pour les contrôles</w:t>
      </w:r>
      <w:r>
        <w:rPr>
          <w:spacing w:val="-11"/>
          <w:sz w:val="24"/>
        </w:rPr>
        <w:t> </w:t>
      </w:r>
      <w:r>
        <w:rPr>
          <w:sz w:val="24"/>
        </w:rPr>
        <w:t>réguliers.</w:t>
      </w:r>
    </w:p>
    <w:p>
      <w:pPr>
        <w:pStyle w:val="ListParagraph"/>
        <w:numPr>
          <w:ilvl w:val="1"/>
          <w:numId w:val="6"/>
        </w:numPr>
        <w:tabs>
          <w:tab w:pos="836" w:val="left" w:leader="none"/>
          <w:tab w:pos="837" w:val="left" w:leader="none"/>
        </w:tabs>
        <w:spacing w:line="240" w:lineRule="auto" w:before="40" w:after="0"/>
        <w:ind w:left="836" w:right="0" w:hanging="360"/>
        <w:jc w:val="left"/>
        <w:rPr>
          <w:sz w:val="24"/>
        </w:rPr>
      </w:pPr>
      <w:r>
        <w:rPr>
          <w:sz w:val="24"/>
        </w:rPr>
        <w:t>Espérance de vie de l’animal d’au moins 4</w:t>
      </w:r>
      <w:r>
        <w:rPr>
          <w:spacing w:val="-11"/>
          <w:sz w:val="24"/>
        </w:rPr>
        <w:t> </w:t>
      </w:r>
      <w:r>
        <w:rPr>
          <w:sz w:val="24"/>
        </w:rPr>
        <w:t>semaines.</w:t>
      </w:r>
    </w:p>
    <w:p>
      <w:pPr>
        <w:pStyle w:val="ListParagraph"/>
        <w:numPr>
          <w:ilvl w:val="1"/>
          <w:numId w:val="6"/>
        </w:numPr>
        <w:tabs>
          <w:tab w:pos="837" w:val="left" w:leader="none"/>
        </w:tabs>
        <w:spacing w:line="276" w:lineRule="auto" w:before="42" w:after="0"/>
        <w:ind w:left="836" w:right="112" w:hanging="360"/>
        <w:jc w:val="both"/>
        <w:rPr>
          <w:sz w:val="24"/>
        </w:rPr>
      </w:pPr>
      <w:r>
        <w:rPr>
          <w:sz w:val="24"/>
        </w:rPr>
        <w:t>Critères de performance inférieur ou égal à 3 selon les statuts de performance inspirés par l’Eastern Cooperative Oncology Group (ECOG-ACRIN), adaptés pour l’animal (annexe</w:t>
      </w:r>
      <w:r>
        <w:rPr>
          <w:spacing w:val="-3"/>
          <w:sz w:val="24"/>
        </w:rPr>
        <w:t> </w:t>
      </w:r>
      <w:r>
        <w:rPr>
          <w:sz w:val="24"/>
        </w:rPr>
        <w:t>5).</w:t>
      </w:r>
    </w:p>
    <w:p>
      <w:pPr>
        <w:pStyle w:val="ListParagraph"/>
        <w:numPr>
          <w:ilvl w:val="1"/>
          <w:numId w:val="6"/>
        </w:numPr>
        <w:tabs>
          <w:tab w:pos="837" w:val="left" w:leader="none"/>
        </w:tabs>
        <w:spacing w:line="276" w:lineRule="auto" w:before="0" w:after="0"/>
        <w:ind w:left="836" w:right="111" w:hanging="360"/>
        <w:jc w:val="both"/>
        <w:rPr>
          <w:sz w:val="24"/>
        </w:rPr>
      </w:pPr>
      <w:r>
        <w:rPr>
          <w:sz w:val="24"/>
        </w:rPr>
        <w:t>Pas de réalisation d’un traitement antérieur (notamment pas de prise d’anti- inflammatoires, stéroïdiens ou non</w:t>
      </w:r>
      <w:r>
        <w:rPr>
          <w:spacing w:val="-7"/>
          <w:sz w:val="24"/>
        </w:rPr>
        <w:t> </w:t>
      </w:r>
      <w:r>
        <w:rPr>
          <w:sz w:val="24"/>
        </w:rPr>
        <w:t>stéroïdiens).</w:t>
      </w:r>
    </w:p>
    <w:p>
      <w:pPr>
        <w:spacing w:after="0" w:line="276" w:lineRule="auto"/>
        <w:jc w:val="both"/>
        <w:rPr>
          <w:sz w:val="24"/>
        </w:rPr>
        <w:sectPr>
          <w:pgSz w:w="11910" w:h="16840"/>
          <w:pgMar w:header="0" w:footer="1055" w:top="1320" w:bottom="1240" w:left="1300" w:right="1300"/>
        </w:sectPr>
      </w:pPr>
    </w:p>
    <w:p>
      <w:pPr>
        <w:pStyle w:val="ListParagraph"/>
        <w:numPr>
          <w:ilvl w:val="1"/>
          <w:numId w:val="6"/>
        </w:numPr>
        <w:tabs>
          <w:tab w:pos="837" w:val="left" w:leader="none"/>
        </w:tabs>
        <w:spacing w:line="278" w:lineRule="auto" w:before="72" w:after="0"/>
        <w:ind w:left="836" w:right="124" w:hanging="360"/>
        <w:jc w:val="both"/>
        <w:rPr>
          <w:sz w:val="24"/>
        </w:rPr>
      </w:pPr>
      <w:r>
        <w:rPr>
          <w:sz w:val="24"/>
        </w:rPr>
        <w:t>Planification de la chirurgie de retrait de la masse (standardisée, en marges saines) en cours.</w:t>
      </w:r>
    </w:p>
    <w:p>
      <w:pPr>
        <w:pStyle w:val="ListParagraph"/>
        <w:numPr>
          <w:ilvl w:val="1"/>
          <w:numId w:val="6"/>
        </w:numPr>
        <w:tabs>
          <w:tab w:pos="836" w:val="left" w:leader="none"/>
          <w:tab w:pos="837" w:val="left" w:leader="none"/>
        </w:tabs>
        <w:spacing w:line="274" w:lineRule="exact" w:before="0" w:after="0"/>
        <w:ind w:left="836" w:right="0" w:hanging="360"/>
        <w:jc w:val="left"/>
        <w:rPr>
          <w:sz w:val="24"/>
        </w:rPr>
      </w:pPr>
      <w:r>
        <w:rPr>
          <w:sz w:val="24"/>
        </w:rPr>
        <w:t>Minimum de traitements symptomatiques parallèles (réduction des</w:t>
      </w:r>
      <w:r>
        <w:rPr>
          <w:spacing w:val="-13"/>
          <w:sz w:val="24"/>
        </w:rPr>
        <w:t> </w:t>
      </w:r>
      <w:r>
        <w:rPr>
          <w:sz w:val="24"/>
        </w:rPr>
        <w:t>biais).</w:t>
      </w:r>
    </w:p>
    <w:p>
      <w:pPr>
        <w:pStyle w:val="BodyText"/>
        <w:spacing w:before="1"/>
        <w:rPr>
          <w:sz w:val="31"/>
        </w:rPr>
      </w:pPr>
    </w:p>
    <w:p>
      <w:pPr>
        <w:pStyle w:val="ListParagraph"/>
        <w:numPr>
          <w:ilvl w:val="0"/>
          <w:numId w:val="31"/>
        </w:numPr>
        <w:tabs>
          <w:tab w:pos="837" w:val="left" w:leader="none"/>
        </w:tabs>
        <w:spacing w:line="278" w:lineRule="auto" w:before="0" w:after="0"/>
        <w:ind w:left="836" w:right="117" w:hanging="360"/>
        <w:jc w:val="both"/>
        <w:rPr>
          <w:sz w:val="24"/>
        </w:rPr>
      </w:pPr>
      <w:r>
        <w:rPr>
          <w:sz w:val="24"/>
          <w:u w:val="single"/>
        </w:rPr>
        <w:t>Critères d’exclusion</w:t>
      </w:r>
      <w:r>
        <w:rPr>
          <w:sz w:val="24"/>
        </w:rPr>
        <w:t> : pas de chirurgie souhaitée, traitement antérieur, autre traitement souhaité (radiothérapie par</w:t>
      </w:r>
      <w:r>
        <w:rPr>
          <w:spacing w:val="-8"/>
          <w:sz w:val="24"/>
        </w:rPr>
        <w:t> </w:t>
      </w:r>
      <w:r>
        <w:rPr>
          <w:sz w:val="24"/>
        </w:rPr>
        <w:t>exemple).</w:t>
      </w:r>
    </w:p>
    <w:p>
      <w:pPr>
        <w:pStyle w:val="BodyText"/>
        <w:spacing w:before="4"/>
        <w:rPr>
          <w:sz w:val="27"/>
        </w:rPr>
      </w:pPr>
    </w:p>
    <w:p>
      <w:pPr>
        <w:pStyle w:val="ListParagraph"/>
        <w:numPr>
          <w:ilvl w:val="0"/>
          <w:numId w:val="31"/>
        </w:numPr>
        <w:tabs>
          <w:tab w:pos="837" w:val="left" w:leader="none"/>
        </w:tabs>
        <w:spacing w:line="276" w:lineRule="auto" w:before="0" w:after="0"/>
        <w:ind w:left="836" w:right="115" w:hanging="360"/>
        <w:jc w:val="both"/>
        <w:rPr>
          <w:sz w:val="24"/>
        </w:rPr>
      </w:pPr>
      <w:r>
        <w:rPr>
          <w:sz w:val="24"/>
          <w:u w:val="single"/>
        </w:rPr>
        <w:t>Critères de retrait de l’étude post-inclusion</w:t>
      </w:r>
      <w:r>
        <w:rPr>
          <w:sz w:val="24"/>
        </w:rPr>
        <w:t> : à tout moment le propriétaire de l’animal pourra décider de quitter l’étude, utilisation de tout autre traitement anticancéreux utilisation</w:t>
      </w:r>
      <w:r>
        <w:rPr>
          <w:spacing w:val="-17"/>
          <w:sz w:val="24"/>
        </w:rPr>
        <w:t> </w:t>
      </w:r>
      <w:r>
        <w:rPr>
          <w:sz w:val="24"/>
        </w:rPr>
        <w:t>d’anti-inflammatoires</w:t>
      </w:r>
      <w:r>
        <w:rPr>
          <w:spacing w:val="-17"/>
          <w:sz w:val="24"/>
        </w:rPr>
        <w:t> </w:t>
      </w:r>
      <w:r>
        <w:rPr>
          <w:sz w:val="24"/>
        </w:rPr>
        <w:t>si</w:t>
      </w:r>
      <w:r>
        <w:rPr>
          <w:spacing w:val="-16"/>
          <w:sz w:val="24"/>
        </w:rPr>
        <w:t> </w:t>
      </w:r>
      <w:r>
        <w:rPr>
          <w:sz w:val="24"/>
        </w:rPr>
        <w:t>ces</w:t>
      </w:r>
      <w:r>
        <w:rPr>
          <w:spacing w:val="-16"/>
          <w:sz w:val="24"/>
        </w:rPr>
        <w:t> </w:t>
      </w:r>
      <w:r>
        <w:rPr>
          <w:sz w:val="24"/>
        </w:rPr>
        <w:t>derniers</w:t>
      </w:r>
      <w:r>
        <w:rPr>
          <w:spacing w:val="-17"/>
          <w:sz w:val="24"/>
        </w:rPr>
        <w:t> </w:t>
      </w:r>
      <w:r>
        <w:rPr>
          <w:sz w:val="24"/>
        </w:rPr>
        <w:t>ne</w:t>
      </w:r>
      <w:r>
        <w:rPr>
          <w:spacing w:val="-18"/>
          <w:sz w:val="24"/>
        </w:rPr>
        <w:t> </w:t>
      </w:r>
      <w:r>
        <w:rPr>
          <w:sz w:val="24"/>
        </w:rPr>
        <w:t>font</w:t>
      </w:r>
      <w:r>
        <w:rPr>
          <w:spacing w:val="-17"/>
          <w:sz w:val="24"/>
        </w:rPr>
        <w:t> </w:t>
      </w:r>
      <w:r>
        <w:rPr>
          <w:sz w:val="24"/>
        </w:rPr>
        <w:t>pas</w:t>
      </w:r>
      <w:r>
        <w:rPr>
          <w:spacing w:val="-17"/>
          <w:sz w:val="24"/>
        </w:rPr>
        <w:t> </w:t>
      </w:r>
      <w:r>
        <w:rPr>
          <w:sz w:val="24"/>
        </w:rPr>
        <w:t>partie</w:t>
      </w:r>
      <w:r>
        <w:rPr>
          <w:spacing w:val="-18"/>
          <w:sz w:val="24"/>
        </w:rPr>
        <w:t> </w:t>
      </w:r>
      <w:r>
        <w:rPr>
          <w:sz w:val="24"/>
        </w:rPr>
        <w:t>du</w:t>
      </w:r>
      <w:r>
        <w:rPr>
          <w:spacing w:val="-17"/>
          <w:sz w:val="24"/>
        </w:rPr>
        <w:t> </w:t>
      </w:r>
      <w:r>
        <w:rPr>
          <w:sz w:val="24"/>
        </w:rPr>
        <w:t>traitement</w:t>
      </w:r>
      <w:r>
        <w:rPr>
          <w:spacing w:val="-17"/>
          <w:sz w:val="24"/>
        </w:rPr>
        <w:t> </w:t>
      </w:r>
      <w:r>
        <w:rPr>
          <w:sz w:val="24"/>
        </w:rPr>
        <w:t>standard.</w:t>
      </w:r>
    </w:p>
    <w:p>
      <w:pPr>
        <w:pStyle w:val="BodyText"/>
        <w:rPr>
          <w:sz w:val="26"/>
        </w:rPr>
      </w:pPr>
    </w:p>
    <w:p>
      <w:pPr>
        <w:pStyle w:val="BodyText"/>
        <w:rPr>
          <w:sz w:val="26"/>
        </w:rPr>
      </w:pPr>
    </w:p>
    <w:p>
      <w:pPr>
        <w:pStyle w:val="Heading5"/>
        <w:numPr>
          <w:ilvl w:val="1"/>
          <w:numId w:val="30"/>
        </w:numPr>
        <w:tabs>
          <w:tab w:pos="2242" w:val="left" w:leader="none"/>
          <w:tab w:pos="2243" w:val="left" w:leader="none"/>
        </w:tabs>
        <w:spacing w:line="240" w:lineRule="auto" w:before="183" w:after="0"/>
        <w:ind w:left="2242" w:right="0" w:hanging="720"/>
        <w:jc w:val="left"/>
        <w:rPr>
          <w:i/>
        </w:rPr>
      </w:pPr>
      <w:bookmarkStart w:name="_bookmark202" w:id="350"/>
      <w:bookmarkEnd w:id="350"/>
      <w:r>
        <w:rPr>
          <w:b w:val="0"/>
          <w:i w:val="0"/>
        </w:rPr>
      </w:r>
      <w:bookmarkStart w:name="_bookmark202" w:id="351"/>
      <w:bookmarkEnd w:id="351"/>
      <w:r>
        <w:rPr>
          <w:i/>
        </w:rPr>
        <w:t>In</w:t>
      </w:r>
      <w:r>
        <w:rPr>
          <w:i/>
        </w:rPr>
        <w:t>formations et examens</w:t>
      </w:r>
      <w:r>
        <w:rPr>
          <w:i/>
          <w:spacing w:val="-11"/>
        </w:rPr>
        <w:t> </w:t>
      </w:r>
      <w:r>
        <w:rPr>
          <w:i/>
        </w:rPr>
        <w:t>nécessaires</w:t>
      </w:r>
    </w:p>
    <w:p>
      <w:pPr>
        <w:pStyle w:val="BodyText"/>
        <w:rPr>
          <w:b/>
          <w:i/>
          <w:sz w:val="26"/>
        </w:rPr>
      </w:pPr>
    </w:p>
    <w:p>
      <w:pPr>
        <w:pStyle w:val="BodyText"/>
        <w:spacing w:line="273" w:lineRule="auto" w:before="214"/>
        <w:ind w:left="116" w:right="115" w:firstLine="707"/>
        <w:jc w:val="both"/>
      </w:pPr>
      <w:r>
        <w:rPr/>
        <w:t>Pour chaque patient, les informations suivantes sont nécessaires. Certaines sont des facteurs pronostiques éventuels qu’il pourra être intéressant d’étudier lors de l’analyse des résultats.</w:t>
      </w:r>
    </w:p>
    <w:p>
      <w:pPr>
        <w:pStyle w:val="ListParagraph"/>
        <w:numPr>
          <w:ilvl w:val="1"/>
          <w:numId w:val="6"/>
        </w:numPr>
        <w:tabs>
          <w:tab w:pos="837" w:val="left" w:leader="none"/>
        </w:tabs>
        <w:spacing w:line="276" w:lineRule="auto" w:before="166" w:after="0"/>
        <w:ind w:left="836" w:right="115" w:hanging="360"/>
        <w:jc w:val="both"/>
        <w:rPr>
          <w:sz w:val="24"/>
        </w:rPr>
      </w:pPr>
      <w:r>
        <w:rPr>
          <w:sz w:val="24"/>
        </w:rPr>
        <w:t>Commémoratifs (le statut physiologique est à préciser, ainsi que la note d’état corporel (NEC), entre 1 et 9, détaillée en annexe 6, ainsi que le poids) et anamnèse complète. Dans l’hypothèse de travail sur des tumeurs mammaires, la prise de contraceptifs hormonaux dans la vie de la chienne est à</w:t>
      </w:r>
      <w:r>
        <w:rPr>
          <w:spacing w:val="-8"/>
          <w:sz w:val="24"/>
        </w:rPr>
        <w:t> </w:t>
      </w:r>
      <w:r>
        <w:rPr>
          <w:sz w:val="24"/>
        </w:rPr>
        <w:t>préciser.</w:t>
      </w:r>
    </w:p>
    <w:p>
      <w:pPr>
        <w:pStyle w:val="ListParagraph"/>
        <w:numPr>
          <w:ilvl w:val="1"/>
          <w:numId w:val="6"/>
        </w:numPr>
        <w:tabs>
          <w:tab w:pos="836" w:val="left" w:leader="none"/>
          <w:tab w:pos="837" w:val="left" w:leader="none"/>
        </w:tabs>
        <w:spacing w:line="240" w:lineRule="auto" w:before="0" w:after="0"/>
        <w:ind w:left="836" w:right="0" w:hanging="360"/>
        <w:jc w:val="left"/>
        <w:rPr>
          <w:sz w:val="24"/>
        </w:rPr>
      </w:pPr>
      <w:r>
        <w:rPr>
          <w:sz w:val="24"/>
        </w:rPr>
        <w:t>Examen</w:t>
      </w:r>
      <w:r>
        <w:rPr>
          <w:spacing w:val="-5"/>
          <w:sz w:val="24"/>
        </w:rPr>
        <w:t> </w:t>
      </w:r>
      <w:r>
        <w:rPr>
          <w:sz w:val="24"/>
        </w:rPr>
        <w:t>physique</w:t>
      </w:r>
    </w:p>
    <w:p>
      <w:pPr>
        <w:pStyle w:val="ListParagraph"/>
        <w:numPr>
          <w:ilvl w:val="1"/>
          <w:numId w:val="6"/>
        </w:numPr>
        <w:tabs>
          <w:tab w:pos="837" w:val="left" w:leader="none"/>
        </w:tabs>
        <w:spacing w:line="276" w:lineRule="auto" w:before="43" w:after="0"/>
        <w:ind w:left="836" w:right="120" w:hanging="360"/>
        <w:jc w:val="both"/>
        <w:rPr>
          <w:sz w:val="24"/>
        </w:rPr>
      </w:pPr>
      <w:r>
        <w:rPr>
          <w:sz w:val="24"/>
        </w:rPr>
        <w:t>Mesure de la taille de la tumeur (à standardiser) et localisation précise de la masse primaire</w:t>
      </w:r>
    </w:p>
    <w:p>
      <w:pPr>
        <w:pStyle w:val="ListParagraph"/>
        <w:numPr>
          <w:ilvl w:val="1"/>
          <w:numId w:val="6"/>
        </w:numPr>
        <w:tabs>
          <w:tab w:pos="836" w:val="left" w:leader="none"/>
          <w:tab w:pos="837" w:val="left" w:leader="none"/>
        </w:tabs>
        <w:spacing w:line="240" w:lineRule="auto" w:before="1" w:after="0"/>
        <w:ind w:left="836" w:right="0" w:hanging="360"/>
        <w:jc w:val="left"/>
        <w:rPr>
          <w:sz w:val="24"/>
        </w:rPr>
      </w:pPr>
      <w:r>
        <w:rPr>
          <w:sz w:val="24"/>
        </w:rPr>
        <w:t>Bilan de l’état général et bilan d’extension</w:t>
      </w:r>
      <w:r>
        <w:rPr>
          <w:spacing w:val="-9"/>
          <w:sz w:val="24"/>
        </w:rPr>
        <w:t> </w:t>
      </w:r>
      <w:r>
        <w:rPr>
          <w:sz w:val="24"/>
        </w:rPr>
        <w:t>complet</w:t>
      </w:r>
    </w:p>
    <w:p>
      <w:pPr>
        <w:pStyle w:val="ListParagraph"/>
        <w:numPr>
          <w:ilvl w:val="2"/>
          <w:numId w:val="6"/>
        </w:numPr>
        <w:tabs>
          <w:tab w:pos="1557" w:val="left" w:leader="none"/>
        </w:tabs>
        <w:spacing w:line="240" w:lineRule="auto" w:before="40" w:after="0"/>
        <w:ind w:left="1556" w:right="0" w:hanging="360"/>
        <w:jc w:val="left"/>
        <w:rPr>
          <w:sz w:val="24"/>
        </w:rPr>
      </w:pPr>
      <w:r>
        <w:rPr>
          <w:sz w:val="24"/>
        </w:rPr>
        <w:t>numération et formule</w:t>
      </w:r>
      <w:r>
        <w:rPr>
          <w:spacing w:val="-8"/>
          <w:sz w:val="24"/>
        </w:rPr>
        <w:t> </w:t>
      </w:r>
      <w:r>
        <w:rPr>
          <w:sz w:val="24"/>
        </w:rPr>
        <w:t>sanguines</w:t>
      </w:r>
    </w:p>
    <w:p>
      <w:pPr>
        <w:pStyle w:val="ListParagraph"/>
        <w:numPr>
          <w:ilvl w:val="2"/>
          <w:numId w:val="6"/>
        </w:numPr>
        <w:tabs>
          <w:tab w:pos="1557" w:val="left" w:leader="none"/>
        </w:tabs>
        <w:spacing w:line="240" w:lineRule="auto" w:before="40" w:after="0"/>
        <w:ind w:left="1556" w:right="0" w:hanging="360"/>
        <w:jc w:val="left"/>
        <w:rPr>
          <w:sz w:val="24"/>
        </w:rPr>
      </w:pPr>
      <w:r>
        <w:rPr>
          <w:sz w:val="24"/>
        </w:rPr>
        <w:t>profil</w:t>
      </w:r>
      <w:r>
        <w:rPr>
          <w:spacing w:val="-2"/>
          <w:sz w:val="24"/>
        </w:rPr>
        <w:t> </w:t>
      </w:r>
      <w:r>
        <w:rPr>
          <w:sz w:val="24"/>
        </w:rPr>
        <w:t>biochimique</w:t>
      </w:r>
    </w:p>
    <w:p>
      <w:pPr>
        <w:pStyle w:val="ListParagraph"/>
        <w:numPr>
          <w:ilvl w:val="2"/>
          <w:numId w:val="6"/>
        </w:numPr>
        <w:tabs>
          <w:tab w:pos="1557" w:val="left" w:leader="none"/>
        </w:tabs>
        <w:spacing w:line="240" w:lineRule="auto" w:before="43" w:after="0"/>
        <w:ind w:left="1556" w:right="0" w:hanging="360"/>
        <w:jc w:val="left"/>
        <w:rPr>
          <w:sz w:val="24"/>
        </w:rPr>
      </w:pPr>
      <w:r>
        <w:rPr>
          <w:sz w:val="24"/>
        </w:rPr>
        <w:t>ionogramme</w:t>
      </w:r>
    </w:p>
    <w:p>
      <w:pPr>
        <w:pStyle w:val="ListParagraph"/>
        <w:numPr>
          <w:ilvl w:val="2"/>
          <w:numId w:val="6"/>
        </w:numPr>
        <w:tabs>
          <w:tab w:pos="1557" w:val="left" w:leader="none"/>
        </w:tabs>
        <w:spacing w:line="240" w:lineRule="auto" w:before="40" w:after="0"/>
        <w:ind w:left="1556" w:right="0" w:hanging="360"/>
        <w:jc w:val="left"/>
        <w:rPr>
          <w:sz w:val="24"/>
        </w:rPr>
      </w:pPr>
      <w:r>
        <w:rPr>
          <w:sz w:val="24"/>
        </w:rPr>
        <w:t>radiographies thoraciques (3</w:t>
      </w:r>
      <w:r>
        <w:rPr>
          <w:spacing w:val="-7"/>
          <w:sz w:val="24"/>
        </w:rPr>
        <w:t> </w:t>
      </w:r>
      <w:r>
        <w:rPr>
          <w:sz w:val="24"/>
        </w:rPr>
        <w:t>vues)</w:t>
      </w:r>
    </w:p>
    <w:p>
      <w:pPr>
        <w:pStyle w:val="ListParagraph"/>
        <w:numPr>
          <w:ilvl w:val="2"/>
          <w:numId w:val="6"/>
        </w:numPr>
        <w:tabs>
          <w:tab w:pos="1557" w:val="left" w:leader="none"/>
        </w:tabs>
        <w:spacing w:line="240" w:lineRule="auto" w:before="40" w:after="0"/>
        <w:ind w:left="1556" w:right="0" w:hanging="360"/>
        <w:jc w:val="left"/>
        <w:rPr>
          <w:sz w:val="24"/>
        </w:rPr>
      </w:pPr>
      <w:r>
        <w:rPr>
          <w:sz w:val="24"/>
        </w:rPr>
        <w:t>échographie</w:t>
      </w:r>
      <w:r>
        <w:rPr>
          <w:spacing w:val="-6"/>
          <w:sz w:val="24"/>
        </w:rPr>
        <w:t> </w:t>
      </w:r>
      <w:r>
        <w:rPr>
          <w:sz w:val="24"/>
        </w:rPr>
        <w:t>abdominale</w:t>
      </w:r>
    </w:p>
    <w:p>
      <w:pPr>
        <w:pStyle w:val="ListParagraph"/>
        <w:numPr>
          <w:ilvl w:val="2"/>
          <w:numId w:val="6"/>
        </w:numPr>
        <w:tabs>
          <w:tab w:pos="1557" w:val="left" w:leader="none"/>
        </w:tabs>
        <w:spacing w:line="240" w:lineRule="auto" w:before="40" w:after="0"/>
        <w:ind w:left="1556" w:right="0" w:hanging="360"/>
        <w:jc w:val="left"/>
        <w:rPr>
          <w:sz w:val="24"/>
        </w:rPr>
      </w:pPr>
      <w:r>
        <w:rPr>
          <w:sz w:val="24"/>
        </w:rPr>
        <w:t>ou scanner corps</w:t>
      </w:r>
      <w:r>
        <w:rPr>
          <w:spacing w:val="-5"/>
          <w:sz w:val="24"/>
        </w:rPr>
        <w:t> </w:t>
      </w:r>
      <w:r>
        <w:rPr>
          <w:sz w:val="24"/>
        </w:rPr>
        <w:t>entier</w:t>
      </w:r>
    </w:p>
    <w:p>
      <w:pPr>
        <w:pStyle w:val="ListParagraph"/>
        <w:numPr>
          <w:ilvl w:val="2"/>
          <w:numId w:val="6"/>
        </w:numPr>
        <w:tabs>
          <w:tab w:pos="1557" w:val="left" w:leader="none"/>
        </w:tabs>
        <w:spacing w:line="240" w:lineRule="auto" w:before="43" w:after="0"/>
        <w:ind w:left="1556" w:right="0" w:hanging="360"/>
        <w:jc w:val="left"/>
        <w:rPr>
          <w:sz w:val="24"/>
        </w:rPr>
      </w:pPr>
      <w:r>
        <w:rPr>
          <w:sz w:val="24"/>
        </w:rPr>
        <w:t>cytoponction du/des nœud(s) lympathique(s)</w:t>
      </w:r>
      <w:r>
        <w:rPr>
          <w:spacing w:val="-12"/>
          <w:sz w:val="24"/>
        </w:rPr>
        <w:t> </w:t>
      </w:r>
      <w:r>
        <w:rPr>
          <w:sz w:val="24"/>
        </w:rPr>
        <w:t>sentinelle(s)</w:t>
      </w:r>
    </w:p>
    <w:p>
      <w:pPr>
        <w:pStyle w:val="ListParagraph"/>
        <w:numPr>
          <w:ilvl w:val="1"/>
          <w:numId w:val="6"/>
        </w:numPr>
        <w:tabs>
          <w:tab w:pos="836" w:val="left" w:leader="none"/>
          <w:tab w:pos="837" w:val="left" w:leader="none"/>
        </w:tabs>
        <w:spacing w:line="240" w:lineRule="auto" w:before="40" w:after="0"/>
        <w:ind w:left="836" w:right="0" w:hanging="360"/>
        <w:jc w:val="left"/>
        <w:rPr>
          <w:sz w:val="24"/>
        </w:rPr>
      </w:pPr>
      <w:r>
        <w:rPr>
          <w:sz w:val="24"/>
        </w:rPr>
        <w:t>Traitements en</w:t>
      </w:r>
      <w:r>
        <w:rPr>
          <w:spacing w:val="-4"/>
          <w:sz w:val="24"/>
        </w:rPr>
        <w:t> </w:t>
      </w:r>
      <w:r>
        <w:rPr>
          <w:sz w:val="24"/>
        </w:rPr>
        <w:t>cours</w:t>
      </w:r>
    </w:p>
    <w:p>
      <w:pPr>
        <w:pStyle w:val="BodyText"/>
        <w:rPr>
          <w:sz w:val="26"/>
        </w:rPr>
      </w:pPr>
    </w:p>
    <w:p>
      <w:pPr>
        <w:pStyle w:val="ListParagraph"/>
        <w:numPr>
          <w:ilvl w:val="0"/>
          <w:numId w:val="30"/>
        </w:numPr>
        <w:tabs>
          <w:tab w:pos="1043" w:val="left" w:leader="none"/>
        </w:tabs>
        <w:spacing w:line="240" w:lineRule="auto" w:before="218" w:after="0"/>
        <w:ind w:left="1042" w:right="0" w:hanging="360"/>
        <w:jc w:val="left"/>
        <w:rPr>
          <w:sz w:val="24"/>
        </w:rPr>
      </w:pPr>
      <w:bookmarkStart w:name="_bookmark203" w:id="352"/>
      <w:bookmarkEnd w:id="352"/>
      <w:r>
        <w:rPr/>
      </w:r>
      <w:bookmarkStart w:name="_bookmark203" w:id="353"/>
      <w:bookmarkEnd w:id="353"/>
      <w:r>
        <w:rPr>
          <w:sz w:val="24"/>
          <w:u w:val="single"/>
        </w:rPr>
        <w:t>Hospit</w:t>
      </w:r>
      <w:r>
        <w:rPr>
          <w:sz w:val="24"/>
          <w:u w:val="single"/>
        </w:rPr>
        <w:t>alisation des</w:t>
      </w:r>
      <w:r>
        <w:rPr>
          <w:spacing w:val="-6"/>
          <w:sz w:val="24"/>
          <w:u w:val="single"/>
        </w:rPr>
        <w:t> </w:t>
      </w:r>
      <w:r>
        <w:rPr>
          <w:sz w:val="24"/>
          <w:u w:val="single"/>
        </w:rPr>
        <w:t>animaux</w:t>
      </w:r>
    </w:p>
    <w:p>
      <w:pPr>
        <w:pStyle w:val="BodyText"/>
        <w:rPr>
          <w:sz w:val="20"/>
        </w:rPr>
      </w:pPr>
    </w:p>
    <w:p>
      <w:pPr>
        <w:pStyle w:val="BodyText"/>
        <w:spacing w:before="2"/>
        <w:rPr>
          <w:sz w:val="17"/>
        </w:rPr>
      </w:pPr>
    </w:p>
    <w:p>
      <w:pPr>
        <w:pStyle w:val="BodyText"/>
        <w:spacing w:line="276" w:lineRule="auto" w:before="90"/>
        <w:ind w:left="116" w:right="113" w:firstLine="707"/>
        <w:jc w:val="both"/>
      </w:pPr>
      <w:r>
        <w:rPr/>
        <w:t>L’hospitalisation des animaux est nécessaire pour le suivi post-opératoire, pendant 24 heures pour la gestion de la douleur (à l’aide de dérivés morphiniques et pas d’anti- inflammatoires), dans un chenil homologué (espace par animal suffisant, ventilation adéquate…). Le retour à la maison est ensuite possible. L’hospitalisation sera à nouveau nécessaire pour la réalisation des chimiothérapies, selon la réglementation en vigueur.</w:t>
      </w:r>
    </w:p>
    <w:p>
      <w:pPr>
        <w:spacing w:after="0" w:line="276" w:lineRule="auto"/>
        <w:jc w:val="both"/>
        <w:sectPr>
          <w:pgSz w:w="11910" w:h="16840"/>
          <w:pgMar w:header="0" w:footer="1055" w:top="1320" w:bottom="1240" w:left="1300" w:right="1300"/>
        </w:sectPr>
      </w:pPr>
    </w:p>
    <w:p>
      <w:pPr>
        <w:pStyle w:val="ListParagraph"/>
        <w:numPr>
          <w:ilvl w:val="0"/>
          <w:numId w:val="30"/>
        </w:numPr>
        <w:tabs>
          <w:tab w:pos="1043" w:val="left" w:leader="none"/>
        </w:tabs>
        <w:spacing w:line="240" w:lineRule="auto" w:before="72" w:after="0"/>
        <w:ind w:left="1042" w:right="0" w:hanging="360"/>
        <w:jc w:val="left"/>
        <w:rPr>
          <w:sz w:val="24"/>
        </w:rPr>
      </w:pPr>
      <w:bookmarkStart w:name="_bookmark204" w:id="354"/>
      <w:bookmarkEnd w:id="354"/>
      <w:r>
        <w:rPr/>
      </w:r>
      <w:bookmarkStart w:name="_bookmark204" w:id="355"/>
      <w:bookmarkEnd w:id="355"/>
      <w:r>
        <w:rPr>
          <w:sz w:val="24"/>
          <w:u w:val="single"/>
        </w:rPr>
        <w:t>R</w:t>
      </w:r>
      <w:r>
        <w:rPr>
          <w:sz w:val="24"/>
          <w:u w:val="single"/>
        </w:rPr>
        <w:t>ations</w:t>
      </w:r>
    </w:p>
    <w:p>
      <w:pPr>
        <w:pStyle w:val="BodyText"/>
        <w:rPr>
          <w:sz w:val="20"/>
        </w:rPr>
      </w:pPr>
    </w:p>
    <w:p>
      <w:pPr>
        <w:pStyle w:val="BodyText"/>
        <w:spacing w:before="5"/>
        <w:rPr>
          <w:sz w:val="17"/>
        </w:rPr>
      </w:pPr>
    </w:p>
    <w:p>
      <w:pPr>
        <w:pStyle w:val="BodyText"/>
        <w:spacing w:line="276" w:lineRule="auto" w:before="90"/>
        <w:ind w:left="116" w:right="114" w:firstLine="707"/>
        <w:jc w:val="both"/>
      </w:pPr>
      <w:r>
        <w:rPr/>
        <w:t>Une ration homogène pour tous les animaux est nécessaire. L’utilisation d’une ration adaptée</w:t>
      </w:r>
      <w:r>
        <w:rPr>
          <w:spacing w:val="-14"/>
        </w:rPr>
        <w:t> </w:t>
      </w:r>
      <w:r>
        <w:rPr/>
        <w:t>à</w:t>
      </w:r>
      <w:r>
        <w:rPr>
          <w:spacing w:val="-15"/>
        </w:rPr>
        <w:t> </w:t>
      </w:r>
      <w:r>
        <w:rPr/>
        <w:t>l’animal</w:t>
      </w:r>
      <w:r>
        <w:rPr>
          <w:spacing w:val="-14"/>
        </w:rPr>
        <w:t> </w:t>
      </w:r>
      <w:r>
        <w:rPr/>
        <w:t>cancéreux</w:t>
      </w:r>
      <w:r>
        <w:rPr>
          <w:spacing w:val="-12"/>
        </w:rPr>
        <w:t> </w:t>
      </w:r>
      <w:r>
        <w:rPr/>
        <w:t>est</w:t>
      </w:r>
      <w:r>
        <w:rPr>
          <w:spacing w:val="-14"/>
        </w:rPr>
        <w:t> </w:t>
      </w:r>
      <w:r>
        <w:rPr/>
        <w:t>idéale</w:t>
      </w:r>
      <w:r>
        <w:rPr>
          <w:spacing w:val="-15"/>
        </w:rPr>
        <w:t> </w:t>
      </w:r>
      <w:r>
        <w:rPr/>
        <w:t>(teneur</w:t>
      </w:r>
      <w:r>
        <w:rPr>
          <w:spacing w:val="-13"/>
        </w:rPr>
        <w:t> </w:t>
      </w:r>
      <w:r>
        <w:rPr/>
        <w:t>faible</w:t>
      </w:r>
      <w:r>
        <w:rPr>
          <w:spacing w:val="-15"/>
        </w:rPr>
        <w:t> </w:t>
      </w:r>
      <w:r>
        <w:rPr/>
        <w:t>en</w:t>
      </w:r>
      <w:r>
        <w:rPr>
          <w:spacing w:val="-12"/>
        </w:rPr>
        <w:t> </w:t>
      </w:r>
      <w:r>
        <w:rPr/>
        <w:t>glucides),</w:t>
      </w:r>
      <w:r>
        <w:rPr>
          <w:spacing w:val="-15"/>
        </w:rPr>
        <w:t> </w:t>
      </w:r>
      <w:r>
        <w:rPr/>
        <w:t>comme</w:t>
      </w:r>
      <w:r>
        <w:rPr>
          <w:spacing w:val="-15"/>
        </w:rPr>
        <w:t> </w:t>
      </w:r>
      <w:r>
        <w:rPr/>
        <w:t>par</w:t>
      </w:r>
      <w:r>
        <w:rPr>
          <w:spacing w:val="-15"/>
        </w:rPr>
        <w:t> </w:t>
      </w:r>
      <w:r>
        <w:rPr/>
        <w:t>exemple</w:t>
      </w:r>
      <w:r>
        <w:rPr>
          <w:spacing w:val="-15"/>
        </w:rPr>
        <w:t> </w:t>
      </w:r>
      <w:r>
        <w:rPr/>
        <w:t>la</w:t>
      </w:r>
      <w:r>
        <w:rPr>
          <w:spacing w:val="-15"/>
        </w:rPr>
        <w:t> </w:t>
      </w:r>
      <w:r>
        <w:rPr/>
        <w:t>ration n/d de chez Hill’s. Néanmoins, ces rations sont plus onéreuses que des rations physiologiques classiques. Quel que soit le type de ration choisi pour tous les animaux de l’étude, la ration est à adapter à la note d’état corporel de l’animal et il faudra peser les rations afin d’évaluer la quantité ingérée. Cela permettra de réaliser une analyse nutritionnelle par la suite. </w:t>
      </w:r>
      <w:r>
        <w:rPr>
          <w:spacing w:val="-3"/>
        </w:rPr>
        <w:t>Les </w:t>
      </w:r>
      <w:r>
        <w:rPr/>
        <w:t>à-côtés sont à proscrire. Si ceux-ci sont utilisés pour stimuler l’appétit de l’animal, cela devra être précisé dans les résultats. </w:t>
      </w:r>
      <w:r>
        <w:rPr>
          <w:spacing w:val="-3"/>
        </w:rPr>
        <w:t>La </w:t>
      </w:r>
      <w:r>
        <w:rPr/>
        <w:t>mise à disposition d’eau doit être</w:t>
      </w:r>
      <w:r>
        <w:rPr>
          <w:spacing w:val="-14"/>
        </w:rPr>
        <w:t> </w:t>
      </w:r>
      <w:r>
        <w:rPr/>
        <w:t>illimitée.</w:t>
      </w:r>
    </w:p>
    <w:p>
      <w:pPr>
        <w:pStyle w:val="BodyText"/>
        <w:rPr>
          <w:sz w:val="26"/>
        </w:rPr>
      </w:pPr>
    </w:p>
    <w:p>
      <w:pPr>
        <w:pStyle w:val="BodyText"/>
        <w:spacing w:before="9"/>
        <w:rPr>
          <w:sz w:val="29"/>
        </w:rPr>
      </w:pPr>
    </w:p>
    <w:p>
      <w:pPr>
        <w:pStyle w:val="ListParagraph"/>
        <w:numPr>
          <w:ilvl w:val="0"/>
          <w:numId w:val="30"/>
        </w:numPr>
        <w:tabs>
          <w:tab w:pos="1102" w:val="left" w:leader="none"/>
          <w:tab w:pos="1103" w:val="left" w:leader="none"/>
        </w:tabs>
        <w:spacing w:line="240" w:lineRule="auto" w:before="1" w:after="0"/>
        <w:ind w:left="1102" w:right="0" w:hanging="420"/>
        <w:jc w:val="left"/>
        <w:rPr>
          <w:sz w:val="24"/>
        </w:rPr>
      </w:pPr>
      <w:bookmarkStart w:name="_bookmark205" w:id="356"/>
      <w:bookmarkEnd w:id="356"/>
      <w:r>
        <w:rPr/>
      </w:r>
      <w:bookmarkStart w:name="_bookmark205" w:id="357"/>
      <w:bookmarkEnd w:id="357"/>
      <w:r>
        <w:rPr>
          <w:sz w:val="24"/>
          <w:u w:val="single"/>
        </w:rPr>
        <w:t>T</w:t>
      </w:r>
      <w:r>
        <w:rPr>
          <w:sz w:val="24"/>
          <w:u w:val="single"/>
        </w:rPr>
        <w:t>raitement</w:t>
      </w:r>
      <w:r>
        <w:rPr>
          <w:spacing w:val="-5"/>
          <w:sz w:val="24"/>
          <w:u w:val="single"/>
        </w:rPr>
        <w:t> </w:t>
      </w:r>
      <w:r>
        <w:rPr>
          <w:sz w:val="24"/>
          <w:u w:val="single"/>
        </w:rPr>
        <w:t>administré</w:t>
      </w:r>
    </w:p>
    <w:p>
      <w:pPr>
        <w:pStyle w:val="BodyText"/>
        <w:rPr>
          <w:sz w:val="20"/>
        </w:rPr>
      </w:pPr>
    </w:p>
    <w:p>
      <w:pPr>
        <w:pStyle w:val="BodyText"/>
        <w:spacing w:before="8"/>
        <w:rPr>
          <w:sz w:val="17"/>
        </w:rPr>
      </w:pPr>
    </w:p>
    <w:p>
      <w:pPr>
        <w:pStyle w:val="Heading5"/>
        <w:numPr>
          <w:ilvl w:val="1"/>
          <w:numId w:val="30"/>
        </w:numPr>
        <w:tabs>
          <w:tab w:pos="2242" w:val="left" w:leader="none"/>
          <w:tab w:pos="2243" w:val="left" w:leader="none"/>
        </w:tabs>
        <w:spacing w:line="240" w:lineRule="auto" w:before="90" w:after="0"/>
        <w:ind w:left="2242" w:right="0" w:hanging="720"/>
        <w:jc w:val="left"/>
        <w:rPr>
          <w:i/>
        </w:rPr>
      </w:pPr>
      <w:bookmarkStart w:name="_bookmark206" w:id="358"/>
      <w:bookmarkEnd w:id="358"/>
      <w:r>
        <w:rPr>
          <w:b w:val="0"/>
          <w:i w:val="0"/>
        </w:rPr>
      </w:r>
      <w:bookmarkStart w:name="_bookmark206" w:id="359"/>
      <w:bookmarkEnd w:id="359"/>
      <w:r>
        <w:rPr>
          <w:i/>
        </w:rPr>
        <w:t>La</w:t>
      </w:r>
      <w:r>
        <w:rPr>
          <w:i/>
          <w:spacing w:val="-4"/>
        </w:rPr>
        <w:t> </w:t>
      </w:r>
      <w:r>
        <w:rPr>
          <w:i/>
        </w:rPr>
        <w:t>chimiothérapie</w:t>
      </w:r>
    </w:p>
    <w:p>
      <w:pPr>
        <w:pStyle w:val="BodyText"/>
        <w:rPr>
          <w:b/>
          <w:i/>
          <w:sz w:val="26"/>
        </w:rPr>
      </w:pPr>
    </w:p>
    <w:p>
      <w:pPr>
        <w:pStyle w:val="BodyText"/>
        <w:spacing w:line="276" w:lineRule="auto" w:before="214"/>
        <w:ind w:left="116" w:right="116" w:firstLine="707"/>
        <w:jc w:val="both"/>
      </w:pPr>
      <w:r>
        <w:rPr/>
        <w:t>Les molécules de chimiothérapie sont choisies selon le standard de référence. La chimiothérapie</w:t>
      </w:r>
      <w:r>
        <w:rPr>
          <w:spacing w:val="-5"/>
        </w:rPr>
        <w:t> </w:t>
      </w:r>
      <w:r>
        <w:rPr/>
        <w:t>est</w:t>
      </w:r>
      <w:r>
        <w:rPr>
          <w:spacing w:val="-4"/>
        </w:rPr>
        <w:t> </w:t>
      </w:r>
      <w:r>
        <w:rPr/>
        <w:t>à</w:t>
      </w:r>
      <w:r>
        <w:rPr>
          <w:spacing w:val="-6"/>
        </w:rPr>
        <w:t> </w:t>
      </w:r>
      <w:r>
        <w:rPr/>
        <w:t>administrer</w:t>
      </w:r>
      <w:r>
        <w:rPr>
          <w:spacing w:val="-6"/>
        </w:rPr>
        <w:t> </w:t>
      </w:r>
      <w:r>
        <w:rPr/>
        <w:t>avec</w:t>
      </w:r>
      <w:r>
        <w:rPr>
          <w:spacing w:val="-6"/>
        </w:rPr>
        <w:t> </w:t>
      </w:r>
      <w:r>
        <w:rPr/>
        <w:t>les</w:t>
      </w:r>
      <w:r>
        <w:rPr>
          <w:spacing w:val="-5"/>
        </w:rPr>
        <w:t> </w:t>
      </w:r>
      <w:r>
        <w:rPr/>
        <w:t>précautions</w:t>
      </w:r>
      <w:r>
        <w:rPr>
          <w:spacing w:val="-5"/>
        </w:rPr>
        <w:t> </w:t>
      </w:r>
      <w:r>
        <w:rPr/>
        <w:t>nécessaires.</w:t>
      </w:r>
      <w:r>
        <w:rPr>
          <w:spacing w:val="-2"/>
        </w:rPr>
        <w:t> </w:t>
      </w:r>
      <w:r>
        <w:rPr/>
        <w:t>Les</w:t>
      </w:r>
      <w:r>
        <w:rPr>
          <w:spacing w:val="-5"/>
        </w:rPr>
        <w:t> </w:t>
      </w:r>
      <w:r>
        <w:rPr/>
        <w:t>consignes</w:t>
      </w:r>
      <w:r>
        <w:rPr>
          <w:spacing w:val="-5"/>
        </w:rPr>
        <w:t> </w:t>
      </w:r>
      <w:r>
        <w:rPr/>
        <w:t>de</w:t>
      </w:r>
      <w:r>
        <w:rPr>
          <w:spacing w:val="-3"/>
        </w:rPr>
        <w:t> </w:t>
      </w:r>
      <w:r>
        <w:rPr/>
        <w:t>gestion</w:t>
      </w:r>
      <w:r>
        <w:rPr>
          <w:spacing w:val="-5"/>
        </w:rPr>
        <w:t> </w:t>
      </w:r>
      <w:r>
        <w:rPr/>
        <w:t>des excrétats doivent être expliquées aux propriétaires afin de limiter l’exposition de ces</w:t>
      </w:r>
      <w:r>
        <w:rPr>
          <w:spacing w:val="-25"/>
        </w:rPr>
        <w:t> </w:t>
      </w:r>
      <w:r>
        <w:rPr/>
        <w:t>derniers.</w:t>
      </w:r>
    </w:p>
    <w:p>
      <w:pPr>
        <w:pStyle w:val="BodyText"/>
        <w:spacing w:line="273" w:lineRule="auto" w:before="163"/>
        <w:ind w:left="116" w:right="113" w:firstLine="707"/>
        <w:jc w:val="both"/>
      </w:pPr>
      <w:r>
        <w:rPr/>
        <w:t>Par exemple, dans le cas de l’ostéosarcome, un protocole à base de doxorubicine (30 mg/m²)</w:t>
      </w:r>
      <w:r>
        <w:rPr>
          <w:spacing w:val="-6"/>
        </w:rPr>
        <w:t> </w:t>
      </w:r>
      <w:r>
        <w:rPr/>
        <w:t>toutes</w:t>
      </w:r>
      <w:r>
        <w:rPr>
          <w:spacing w:val="-5"/>
        </w:rPr>
        <w:t> </w:t>
      </w:r>
      <w:r>
        <w:rPr/>
        <w:t>les</w:t>
      </w:r>
      <w:r>
        <w:rPr>
          <w:spacing w:val="-5"/>
        </w:rPr>
        <w:t> </w:t>
      </w:r>
      <w:r>
        <w:rPr/>
        <w:t>2</w:t>
      </w:r>
      <w:r>
        <w:rPr>
          <w:spacing w:val="-5"/>
        </w:rPr>
        <w:t> </w:t>
      </w:r>
      <w:r>
        <w:rPr/>
        <w:t>semaines</w:t>
      </w:r>
      <w:r>
        <w:rPr>
          <w:spacing w:val="-5"/>
        </w:rPr>
        <w:t> </w:t>
      </w:r>
      <w:r>
        <w:rPr/>
        <w:t>pour</w:t>
      </w:r>
      <w:r>
        <w:rPr>
          <w:spacing w:val="-6"/>
        </w:rPr>
        <w:t> </w:t>
      </w:r>
      <w:r>
        <w:rPr/>
        <w:t>5</w:t>
      </w:r>
      <w:r>
        <w:rPr>
          <w:spacing w:val="-4"/>
        </w:rPr>
        <w:t> </w:t>
      </w:r>
      <w:r>
        <w:rPr/>
        <w:t>cycles</w:t>
      </w:r>
      <w:r>
        <w:rPr>
          <w:spacing w:val="-2"/>
        </w:rPr>
        <w:t> </w:t>
      </w:r>
      <w:r>
        <w:rPr/>
        <w:t>est</w:t>
      </w:r>
      <w:r>
        <w:rPr>
          <w:spacing w:val="-4"/>
        </w:rPr>
        <w:t> </w:t>
      </w:r>
      <w:r>
        <w:rPr/>
        <w:t>recommandé</w:t>
      </w:r>
      <w:r>
        <w:rPr>
          <w:spacing w:val="-4"/>
        </w:rPr>
        <w:t> </w:t>
      </w:r>
      <w:r>
        <w:rPr/>
        <w:t>(Moore</w:t>
      </w:r>
      <w:r>
        <w:rPr>
          <w:spacing w:val="-3"/>
        </w:rPr>
        <w:t> </w:t>
      </w:r>
      <w:r>
        <w:rPr/>
        <w:t>et</w:t>
      </w:r>
      <w:r>
        <w:rPr>
          <w:spacing w:val="-4"/>
        </w:rPr>
        <w:t> </w:t>
      </w:r>
      <w:r>
        <w:rPr/>
        <w:t>al.,</w:t>
      </w:r>
      <w:r>
        <w:rPr>
          <w:spacing w:val="-2"/>
        </w:rPr>
        <w:t> </w:t>
      </w:r>
      <w:r>
        <w:rPr/>
        <w:t>2007),</w:t>
      </w:r>
      <w:r>
        <w:rPr>
          <w:spacing w:val="-5"/>
        </w:rPr>
        <w:t> </w:t>
      </w:r>
      <w:r>
        <w:rPr/>
        <w:t>en</w:t>
      </w:r>
      <w:r>
        <w:rPr>
          <w:spacing w:val="-5"/>
        </w:rPr>
        <w:t> </w:t>
      </w:r>
      <w:r>
        <w:rPr/>
        <w:t>effectuant les 2 premières séances avant la</w:t>
      </w:r>
      <w:r>
        <w:rPr>
          <w:spacing w:val="-10"/>
        </w:rPr>
        <w:t> </w:t>
      </w:r>
      <w:r>
        <w:rPr/>
        <w:t>chirurgie.</w:t>
      </w:r>
    </w:p>
    <w:p>
      <w:pPr>
        <w:pStyle w:val="BodyText"/>
        <w:spacing w:line="276" w:lineRule="auto" w:before="166"/>
        <w:ind w:left="116" w:right="112" w:firstLine="707"/>
        <w:jc w:val="both"/>
      </w:pPr>
      <w:r>
        <w:rPr/>
        <w:t>Dans le cas d’une tumeur mammaire de haut grade, deux protocoles sont</w:t>
      </w:r>
      <w:r>
        <w:rPr>
          <w:spacing w:val="-20"/>
        </w:rPr>
        <w:t> </w:t>
      </w:r>
      <w:r>
        <w:rPr/>
        <w:t>recommandés par les experts. Le premier est un protocole à base de doxorubicine (30 mg/m²) toutes les 3 semaines pour 5 cycles, à commencer 2 semaines après la chirurgie (Simon et al., 2006). Le second</w:t>
      </w:r>
      <w:r>
        <w:rPr>
          <w:spacing w:val="-6"/>
        </w:rPr>
        <w:t> </w:t>
      </w:r>
      <w:r>
        <w:rPr/>
        <w:t>est</w:t>
      </w:r>
      <w:r>
        <w:rPr>
          <w:spacing w:val="-3"/>
        </w:rPr>
        <w:t> </w:t>
      </w:r>
      <w:r>
        <w:rPr/>
        <w:t>un</w:t>
      </w:r>
      <w:r>
        <w:rPr>
          <w:spacing w:val="-6"/>
        </w:rPr>
        <w:t> </w:t>
      </w:r>
      <w:r>
        <w:rPr/>
        <w:t>protocole</w:t>
      </w:r>
      <w:r>
        <w:rPr>
          <w:spacing w:val="-7"/>
        </w:rPr>
        <w:t> </w:t>
      </w:r>
      <w:r>
        <w:rPr/>
        <w:t>à</w:t>
      </w:r>
      <w:r>
        <w:rPr>
          <w:spacing w:val="-5"/>
        </w:rPr>
        <w:t> </w:t>
      </w:r>
      <w:r>
        <w:rPr/>
        <w:t>base</w:t>
      </w:r>
      <w:r>
        <w:rPr>
          <w:spacing w:val="-6"/>
        </w:rPr>
        <w:t> </w:t>
      </w:r>
      <w:r>
        <w:rPr/>
        <w:t>de</w:t>
      </w:r>
      <w:r>
        <w:rPr>
          <w:spacing w:val="-5"/>
        </w:rPr>
        <w:t> </w:t>
      </w:r>
      <w:r>
        <w:rPr/>
        <w:t>carboplatine</w:t>
      </w:r>
      <w:r>
        <w:rPr>
          <w:spacing w:val="-5"/>
        </w:rPr>
        <w:t> </w:t>
      </w:r>
      <w:r>
        <w:rPr/>
        <w:t>(300</w:t>
      </w:r>
      <w:r>
        <w:rPr>
          <w:spacing w:val="-6"/>
        </w:rPr>
        <w:t> </w:t>
      </w:r>
      <w:r>
        <w:rPr/>
        <w:t>mg/m²)</w:t>
      </w:r>
      <w:r>
        <w:rPr>
          <w:spacing w:val="-7"/>
        </w:rPr>
        <w:t> </w:t>
      </w:r>
      <w:r>
        <w:rPr/>
        <w:t>toutes</w:t>
      </w:r>
      <w:r>
        <w:rPr>
          <w:spacing w:val="-4"/>
        </w:rPr>
        <w:t> </w:t>
      </w:r>
      <w:r>
        <w:rPr/>
        <w:t>les</w:t>
      </w:r>
      <w:r>
        <w:rPr>
          <w:spacing w:val="-6"/>
        </w:rPr>
        <w:t> </w:t>
      </w:r>
      <w:r>
        <w:rPr/>
        <w:t>3</w:t>
      </w:r>
      <w:r>
        <w:rPr>
          <w:spacing w:val="-6"/>
        </w:rPr>
        <w:t> </w:t>
      </w:r>
      <w:r>
        <w:rPr/>
        <w:t>semaines</w:t>
      </w:r>
      <w:r>
        <w:rPr>
          <w:spacing w:val="-6"/>
        </w:rPr>
        <w:t> </w:t>
      </w:r>
      <w:r>
        <w:rPr/>
        <w:t>pour</w:t>
      </w:r>
      <w:r>
        <w:rPr>
          <w:spacing w:val="-7"/>
        </w:rPr>
        <w:t> </w:t>
      </w:r>
      <w:r>
        <w:rPr/>
        <w:t>3</w:t>
      </w:r>
      <w:r>
        <w:rPr>
          <w:spacing w:val="-4"/>
        </w:rPr>
        <w:t> </w:t>
      </w:r>
      <w:r>
        <w:rPr/>
        <w:t>cycles suivi d’une thérapie à base d’anti COX-2 (5 mg/kg) pendant 6 mois (Lavalle et al., 2012). </w:t>
      </w:r>
      <w:r>
        <w:rPr>
          <w:spacing w:val="-3"/>
        </w:rPr>
        <w:t>Il </w:t>
      </w:r>
      <w:r>
        <w:rPr/>
        <w:t>conviendra d’en choisir un des</w:t>
      </w:r>
      <w:r>
        <w:rPr>
          <w:spacing w:val="-5"/>
        </w:rPr>
        <w:t> </w:t>
      </w:r>
      <w:r>
        <w:rPr/>
        <w:t>deux.</w:t>
      </w:r>
    </w:p>
    <w:p>
      <w:pPr>
        <w:pStyle w:val="BodyText"/>
        <w:rPr>
          <w:sz w:val="26"/>
        </w:rPr>
      </w:pPr>
    </w:p>
    <w:p>
      <w:pPr>
        <w:pStyle w:val="BodyText"/>
        <w:spacing w:before="3"/>
        <w:rPr>
          <w:sz w:val="30"/>
        </w:rPr>
      </w:pPr>
    </w:p>
    <w:p>
      <w:pPr>
        <w:pStyle w:val="Heading5"/>
        <w:numPr>
          <w:ilvl w:val="1"/>
          <w:numId w:val="30"/>
        </w:numPr>
        <w:tabs>
          <w:tab w:pos="2242" w:val="left" w:leader="none"/>
          <w:tab w:pos="2243" w:val="left" w:leader="none"/>
        </w:tabs>
        <w:spacing w:line="240" w:lineRule="auto" w:before="0" w:after="0"/>
        <w:ind w:left="2242" w:right="0" w:hanging="720"/>
        <w:jc w:val="left"/>
        <w:rPr>
          <w:i/>
        </w:rPr>
      </w:pPr>
      <w:bookmarkStart w:name="_bookmark207" w:id="360"/>
      <w:bookmarkEnd w:id="360"/>
      <w:r>
        <w:rPr>
          <w:b w:val="0"/>
          <w:i w:val="0"/>
        </w:rPr>
      </w:r>
      <w:bookmarkStart w:name="_bookmark207" w:id="361"/>
      <w:bookmarkEnd w:id="361"/>
      <w:r>
        <w:rPr>
          <w:i/>
        </w:rPr>
        <w:t>La</w:t>
      </w:r>
      <w:r>
        <w:rPr>
          <w:i/>
        </w:rPr>
        <w:t> thérapie</w:t>
      </w:r>
      <w:r>
        <w:rPr>
          <w:i/>
          <w:spacing w:val="-4"/>
        </w:rPr>
        <w:t> </w:t>
      </w:r>
      <w:r>
        <w:rPr>
          <w:i/>
        </w:rPr>
        <w:t>métabolique</w:t>
      </w:r>
    </w:p>
    <w:p>
      <w:pPr>
        <w:pStyle w:val="BodyText"/>
        <w:rPr>
          <w:b/>
          <w:i/>
          <w:sz w:val="26"/>
        </w:rPr>
      </w:pPr>
    </w:p>
    <w:p>
      <w:pPr>
        <w:pStyle w:val="BodyText"/>
        <w:spacing w:line="273" w:lineRule="auto" w:before="214"/>
        <w:ind w:left="116" w:right="123" w:firstLine="707"/>
        <w:jc w:val="both"/>
      </w:pPr>
      <w:r>
        <w:rPr/>
        <w:t>La thérapie métabolique sera constituée de l’association des molécules sélectionnées précédemment, administrées de la manière suivante :</w:t>
      </w:r>
    </w:p>
    <w:p>
      <w:pPr>
        <w:pStyle w:val="BodyText"/>
        <w:spacing w:line="278" w:lineRule="auto" w:before="166"/>
        <w:ind w:left="836"/>
      </w:pPr>
      <w:r>
        <w:rPr>
          <w:b/>
        </w:rPr>
        <w:t>CIT</w:t>
      </w:r>
      <w:r>
        <w:rPr>
          <w:b/>
          <w:spacing w:val="-13"/>
        </w:rPr>
        <w:t> </w:t>
      </w:r>
      <w:r>
        <w:rPr>
          <w:b/>
        </w:rPr>
        <w:t>700</w:t>
      </w:r>
      <w:r>
        <w:rPr>
          <w:b/>
          <w:spacing w:val="-13"/>
        </w:rPr>
        <w:t> </w:t>
      </w:r>
      <w:r>
        <w:rPr>
          <w:b/>
        </w:rPr>
        <w:t>mg/kg</w:t>
      </w:r>
      <w:r>
        <w:rPr>
          <w:b/>
          <w:spacing w:val="-13"/>
        </w:rPr>
        <w:t> </w:t>
      </w:r>
      <w:r>
        <w:rPr>
          <w:b/>
        </w:rPr>
        <w:t>BID</w:t>
      </w:r>
      <w:r>
        <w:rPr>
          <w:b/>
          <w:spacing w:val="-2"/>
        </w:rPr>
        <w:t> </w:t>
      </w:r>
      <w:r>
        <w:rPr/>
        <w:t>:</w:t>
      </w:r>
      <w:r>
        <w:rPr>
          <w:spacing w:val="-13"/>
        </w:rPr>
        <w:t> </w:t>
      </w:r>
      <w:r>
        <w:rPr/>
        <w:t>pour</w:t>
      </w:r>
      <w:r>
        <w:rPr>
          <w:spacing w:val="-14"/>
        </w:rPr>
        <w:t> </w:t>
      </w:r>
      <w:r>
        <w:rPr/>
        <w:t>un</w:t>
      </w:r>
      <w:r>
        <w:rPr>
          <w:spacing w:val="-13"/>
        </w:rPr>
        <w:t> </w:t>
      </w:r>
      <w:r>
        <w:rPr/>
        <w:t>chien</w:t>
      </w:r>
      <w:r>
        <w:rPr>
          <w:spacing w:val="-14"/>
        </w:rPr>
        <w:t> </w:t>
      </w:r>
      <w:r>
        <w:rPr/>
        <w:t>de</w:t>
      </w:r>
      <w:r>
        <w:rPr>
          <w:spacing w:val="-14"/>
        </w:rPr>
        <w:t> </w:t>
      </w:r>
      <w:r>
        <w:rPr/>
        <w:t>20</w:t>
      </w:r>
      <w:r>
        <w:rPr>
          <w:spacing w:val="-13"/>
        </w:rPr>
        <w:t> </w:t>
      </w:r>
      <w:r>
        <w:rPr/>
        <w:t>kg,</w:t>
      </w:r>
      <w:r>
        <w:rPr>
          <w:spacing w:val="-13"/>
        </w:rPr>
        <w:t> </w:t>
      </w:r>
      <w:r>
        <w:rPr/>
        <w:t>il</w:t>
      </w:r>
      <w:r>
        <w:rPr>
          <w:spacing w:val="-13"/>
        </w:rPr>
        <w:t> </w:t>
      </w:r>
      <w:r>
        <w:rPr/>
        <w:t>faut</w:t>
      </w:r>
      <w:r>
        <w:rPr>
          <w:spacing w:val="-13"/>
        </w:rPr>
        <w:t> </w:t>
      </w:r>
      <w:r>
        <w:rPr/>
        <w:t>donner</w:t>
      </w:r>
      <w:r>
        <w:rPr>
          <w:spacing w:val="-14"/>
        </w:rPr>
        <w:t> </w:t>
      </w:r>
      <w:r>
        <w:rPr/>
        <w:t>3,5</w:t>
      </w:r>
      <w:r>
        <w:rPr>
          <w:spacing w:val="-13"/>
        </w:rPr>
        <w:t> </w:t>
      </w:r>
      <w:r>
        <w:rPr/>
        <w:t>sachets</w:t>
      </w:r>
      <w:r>
        <w:rPr>
          <w:spacing w:val="-13"/>
        </w:rPr>
        <w:t> </w:t>
      </w:r>
      <w:r>
        <w:rPr/>
        <w:t>de</w:t>
      </w:r>
      <w:r>
        <w:rPr>
          <w:spacing w:val="-14"/>
        </w:rPr>
        <w:t> </w:t>
      </w:r>
      <w:r>
        <w:rPr/>
        <w:t>FONCITRIL 4000 ND le matin et le</w:t>
      </w:r>
      <w:r>
        <w:rPr>
          <w:spacing w:val="-3"/>
        </w:rPr>
        <w:t> </w:t>
      </w:r>
      <w:r>
        <w:rPr/>
        <w:t>soir.</w:t>
      </w:r>
    </w:p>
    <w:p>
      <w:pPr>
        <w:pStyle w:val="BodyText"/>
        <w:spacing w:line="276" w:lineRule="auto"/>
        <w:ind w:left="836"/>
      </w:pPr>
      <w:r>
        <w:rPr>
          <w:b/>
        </w:rPr>
        <w:t>+ MET 10 mg/kg BID </w:t>
      </w:r>
      <w:r>
        <w:rPr/>
        <w:t>: pour un chien de 20 kg, il faut donner 1/5 de sachet de GLUCOPHAGE 1000 ND matin et soir.</w:t>
      </w:r>
    </w:p>
    <w:p>
      <w:pPr>
        <w:spacing w:line="278" w:lineRule="auto" w:before="3"/>
        <w:ind w:left="836" w:right="0" w:firstLine="60"/>
        <w:jc w:val="left"/>
        <w:rPr>
          <w:sz w:val="24"/>
        </w:rPr>
      </w:pPr>
      <w:r>
        <w:rPr>
          <w:b/>
          <w:sz w:val="24"/>
        </w:rPr>
        <w:t>+ OMP 5 mg/kg SID </w:t>
      </w:r>
      <w:r>
        <w:rPr>
          <w:sz w:val="24"/>
        </w:rPr>
        <w:t>le jour de l’administration de la chimiothérapie et les 2 jours suivant, </w:t>
      </w:r>
      <w:r>
        <w:rPr>
          <w:b/>
          <w:sz w:val="24"/>
        </w:rPr>
        <w:t>puis 1 mg/kg SID </w:t>
      </w:r>
      <w:r>
        <w:rPr>
          <w:sz w:val="24"/>
        </w:rPr>
        <w:t>: pour un chien de 20 kg, il faut donner 5 gélules de</w:t>
      </w:r>
    </w:p>
    <w:p>
      <w:pPr>
        <w:spacing w:after="0" w:line="278" w:lineRule="auto"/>
        <w:jc w:val="left"/>
        <w:rPr>
          <w:sz w:val="24"/>
        </w:rPr>
        <w:sectPr>
          <w:pgSz w:w="11910" w:h="16840"/>
          <w:pgMar w:header="0" w:footer="1055" w:top="1320" w:bottom="1240" w:left="1300" w:right="1300"/>
        </w:sectPr>
      </w:pPr>
    </w:p>
    <w:p>
      <w:pPr>
        <w:pStyle w:val="BodyText"/>
        <w:spacing w:line="276" w:lineRule="auto" w:before="72"/>
        <w:ind w:left="836"/>
      </w:pPr>
      <w:r>
        <w:rPr/>
        <w:t>MOPRAL 20 ND le jour de la chimiothérapie et les 2 jours suivant, puis 1 gélule par jour le reste du temps.</w:t>
      </w:r>
    </w:p>
    <w:p>
      <w:pPr>
        <w:pStyle w:val="BodyText"/>
        <w:spacing w:line="273" w:lineRule="auto" w:before="164"/>
        <w:ind w:left="116" w:right="114" w:firstLine="707"/>
        <w:jc w:val="both"/>
      </w:pPr>
      <w:r>
        <w:rPr/>
        <w:t>L’administration se fait par voie orale, à la maison, deux fois par jour, tous les jours jusqu’au décès de l’animal. Le degré d’exposition pour les propriétaires n’est pas dangereux, les molécules n’ont pas d’action sur l’ADN et pas de toxicité démontrée à court terme.</w:t>
      </w:r>
    </w:p>
    <w:p>
      <w:pPr>
        <w:pStyle w:val="BodyText"/>
        <w:spacing w:line="273" w:lineRule="auto" w:before="167"/>
        <w:ind w:left="116" w:right="114" w:firstLine="707"/>
        <w:jc w:val="both"/>
      </w:pPr>
      <w:r>
        <w:rPr/>
        <w:t>Pour la bonne réalisation de l’étude, les molécules doivent être reconditionnées ensemble afin de respecter l’aveuglement des propriétaires et des vétérinaires. Un planning papier à compléter pour vérifier l’observance peut être distribué.</w:t>
      </w:r>
    </w:p>
    <w:p>
      <w:pPr>
        <w:pStyle w:val="BodyText"/>
        <w:rPr>
          <w:sz w:val="26"/>
        </w:rPr>
      </w:pPr>
    </w:p>
    <w:p>
      <w:pPr>
        <w:pStyle w:val="BodyText"/>
        <w:spacing w:before="5"/>
        <w:rPr>
          <w:sz w:val="30"/>
        </w:rPr>
      </w:pPr>
    </w:p>
    <w:p>
      <w:pPr>
        <w:pStyle w:val="Heading5"/>
        <w:numPr>
          <w:ilvl w:val="1"/>
          <w:numId w:val="30"/>
        </w:numPr>
        <w:tabs>
          <w:tab w:pos="2242" w:val="left" w:leader="none"/>
          <w:tab w:pos="2243" w:val="left" w:leader="none"/>
        </w:tabs>
        <w:spacing w:line="240" w:lineRule="auto" w:before="1" w:after="0"/>
        <w:ind w:left="2242" w:right="0" w:hanging="720"/>
        <w:jc w:val="left"/>
        <w:rPr>
          <w:i/>
        </w:rPr>
      </w:pPr>
      <w:bookmarkStart w:name="_bookmark208" w:id="362"/>
      <w:bookmarkEnd w:id="362"/>
      <w:r>
        <w:rPr>
          <w:b w:val="0"/>
          <w:i w:val="0"/>
        </w:rPr>
      </w:r>
      <w:bookmarkStart w:name="_bookmark208" w:id="363"/>
      <w:bookmarkEnd w:id="363"/>
      <w:r>
        <w:rPr>
          <w:i/>
        </w:rPr>
        <w:t>Plan</w:t>
      </w:r>
      <w:r>
        <w:rPr>
          <w:i/>
        </w:rPr>
        <w:t>ning des</w:t>
      </w:r>
      <w:r>
        <w:rPr>
          <w:i/>
          <w:spacing w:val="-4"/>
        </w:rPr>
        <w:t> </w:t>
      </w:r>
      <w:r>
        <w:rPr>
          <w:i/>
        </w:rPr>
        <w:t>contrôles</w:t>
      </w:r>
    </w:p>
    <w:p>
      <w:pPr>
        <w:pStyle w:val="BodyText"/>
        <w:rPr>
          <w:b/>
          <w:i/>
          <w:sz w:val="26"/>
        </w:rPr>
      </w:pPr>
    </w:p>
    <w:p>
      <w:pPr>
        <w:pStyle w:val="BodyText"/>
        <w:spacing w:line="276" w:lineRule="auto" w:before="214"/>
        <w:ind w:left="116" w:right="113" w:firstLine="707"/>
        <w:jc w:val="both"/>
      </w:pPr>
      <w:r>
        <w:rPr/>
        <w:t>Les contrôles doivent être calqués sur les contrôles requis par le planning d’administration</w:t>
      </w:r>
      <w:r>
        <w:rPr>
          <w:spacing w:val="-9"/>
        </w:rPr>
        <w:t> </w:t>
      </w:r>
      <w:r>
        <w:rPr/>
        <w:t>de</w:t>
      </w:r>
      <w:r>
        <w:rPr>
          <w:spacing w:val="-10"/>
        </w:rPr>
        <w:t> </w:t>
      </w:r>
      <w:r>
        <w:rPr/>
        <w:t>la</w:t>
      </w:r>
      <w:r>
        <w:rPr>
          <w:spacing w:val="-9"/>
        </w:rPr>
        <w:t> </w:t>
      </w:r>
      <w:r>
        <w:rPr/>
        <w:t>chimiothérapie.</w:t>
      </w:r>
      <w:r>
        <w:rPr>
          <w:spacing w:val="-8"/>
        </w:rPr>
        <w:t> </w:t>
      </w:r>
      <w:r>
        <w:rPr/>
        <w:t>Au</w:t>
      </w:r>
      <w:r>
        <w:rPr>
          <w:spacing w:val="-9"/>
        </w:rPr>
        <w:t> </w:t>
      </w:r>
      <w:r>
        <w:rPr/>
        <w:t>cours</w:t>
      </w:r>
      <w:r>
        <w:rPr>
          <w:spacing w:val="-9"/>
        </w:rPr>
        <w:t> </w:t>
      </w:r>
      <w:r>
        <w:rPr/>
        <w:t>de</w:t>
      </w:r>
      <w:r>
        <w:rPr>
          <w:spacing w:val="-10"/>
        </w:rPr>
        <w:t> </w:t>
      </w:r>
      <w:r>
        <w:rPr/>
        <w:t>ces</w:t>
      </w:r>
      <w:r>
        <w:rPr>
          <w:spacing w:val="-8"/>
        </w:rPr>
        <w:t> </w:t>
      </w:r>
      <w:r>
        <w:rPr/>
        <w:t>contrôles,</w:t>
      </w:r>
      <w:r>
        <w:rPr>
          <w:spacing w:val="-9"/>
        </w:rPr>
        <w:t> </w:t>
      </w:r>
      <w:r>
        <w:rPr/>
        <w:t>la</w:t>
      </w:r>
      <w:r>
        <w:rPr>
          <w:spacing w:val="-9"/>
        </w:rPr>
        <w:t> </w:t>
      </w:r>
      <w:r>
        <w:rPr/>
        <w:t>grille</w:t>
      </w:r>
      <w:r>
        <w:rPr>
          <w:spacing w:val="-9"/>
        </w:rPr>
        <w:t> </w:t>
      </w:r>
      <w:r>
        <w:rPr/>
        <w:t>de</w:t>
      </w:r>
      <w:r>
        <w:rPr>
          <w:spacing w:val="-10"/>
        </w:rPr>
        <w:t> </w:t>
      </w:r>
      <w:r>
        <w:rPr/>
        <w:t>toxicité</w:t>
      </w:r>
      <w:r>
        <w:rPr>
          <w:spacing w:val="-9"/>
        </w:rPr>
        <w:t> </w:t>
      </w:r>
      <w:r>
        <w:rPr/>
        <w:t>disponible en annexe 7 sera à</w:t>
      </w:r>
      <w:r>
        <w:rPr>
          <w:spacing w:val="-5"/>
        </w:rPr>
        <w:t> </w:t>
      </w:r>
      <w:r>
        <w:rPr/>
        <w:t>remplir.</w:t>
      </w:r>
    </w:p>
    <w:p>
      <w:pPr>
        <w:pStyle w:val="BodyText"/>
        <w:spacing w:line="273" w:lineRule="auto" w:before="163"/>
        <w:ind w:left="116" w:right="115" w:firstLine="707"/>
        <w:jc w:val="both"/>
      </w:pPr>
      <w:r>
        <w:rPr/>
        <w:t>Par la suite, on peut proposer des bilans sanguins toutes les 4 semaines (remplissage de la grille de toxicité en annexe 7) et des bilans d’imagerie tous les 3 mois.</w:t>
      </w:r>
    </w:p>
    <w:p>
      <w:pPr>
        <w:pStyle w:val="BodyText"/>
        <w:rPr>
          <w:sz w:val="26"/>
        </w:rPr>
      </w:pPr>
    </w:p>
    <w:p>
      <w:pPr>
        <w:pStyle w:val="BodyText"/>
        <w:rPr>
          <w:sz w:val="30"/>
        </w:rPr>
      </w:pPr>
    </w:p>
    <w:p>
      <w:pPr>
        <w:pStyle w:val="ListParagraph"/>
        <w:numPr>
          <w:ilvl w:val="0"/>
          <w:numId w:val="30"/>
        </w:numPr>
        <w:tabs>
          <w:tab w:pos="1163" w:val="left" w:leader="none"/>
        </w:tabs>
        <w:spacing w:line="240" w:lineRule="auto" w:before="0" w:after="0"/>
        <w:ind w:left="1162" w:right="0" w:hanging="480"/>
        <w:jc w:val="left"/>
        <w:rPr>
          <w:sz w:val="24"/>
        </w:rPr>
      </w:pPr>
      <w:bookmarkStart w:name="_bookmark209" w:id="364"/>
      <w:bookmarkEnd w:id="364"/>
      <w:r>
        <w:rPr/>
      </w:r>
      <w:bookmarkStart w:name="_bookmark209" w:id="365"/>
      <w:bookmarkEnd w:id="365"/>
      <w:r>
        <w:rPr>
          <w:sz w:val="24"/>
          <w:u w:val="single"/>
        </w:rPr>
        <w:t>É</w:t>
      </w:r>
      <w:r>
        <w:rPr>
          <w:sz w:val="24"/>
          <w:u w:val="single"/>
        </w:rPr>
        <w:t>valuation de</w:t>
      </w:r>
      <w:r>
        <w:rPr>
          <w:spacing w:val="-5"/>
          <w:sz w:val="24"/>
          <w:u w:val="single"/>
        </w:rPr>
        <w:t> </w:t>
      </w:r>
      <w:r>
        <w:rPr>
          <w:sz w:val="24"/>
          <w:u w:val="single"/>
        </w:rPr>
        <w:t>l’efficacité</w:t>
      </w:r>
    </w:p>
    <w:p>
      <w:pPr>
        <w:pStyle w:val="BodyText"/>
        <w:rPr>
          <w:sz w:val="20"/>
        </w:rPr>
      </w:pPr>
    </w:p>
    <w:p>
      <w:pPr>
        <w:pStyle w:val="BodyText"/>
        <w:spacing w:before="2"/>
        <w:rPr>
          <w:sz w:val="17"/>
        </w:rPr>
      </w:pPr>
    </w:p>
    <w:p>
      <w:pPr>
        <w:pStyle w:val="BodyText"/>
        <w:spacing w:line="276" w:lineRule="auto" w:before="90"/>
        <w:ind w:left="116" w:right="118" w:firstLine="566"/>
        <w:jc w:val="both"/>
      </w:pPr>
      <w:r>
        <w:rPr/>
        <w:t>Comme développé dans la discussion de la partie précédente (Partie 2, II. C), l’efficacité d’une thérapie peut se décliner selon différents aspects (l’impact direct sur le métabolisme des cellules tumorales, le développement tumoral évalué par la taille de la tumeur, et la survie globale). L’influence du traitement sur la maladie se traduit également par son impact sur la qualité de vie.</w:t>
      </w:r>
    </w:p>
    <w:p>
      <w:pPr>
        <w:pStyle w:val="BodyText"/>
        <w:spacing w:line="273" w:lineRule="auto" w:before="163"/>
        <w:ind w:left="116" w:right="118" w:firstLine="566"/>
        <w:jc w:val="both"/>
      </w:pPr>
      <w:r>
        <w:rPr/>
        <w:t>L’étude de l’impact direct sur le métabolisme tumoral ne traduit pas nécessairement une efficacité clinique. Il ne sera donc pas proposé dans cette étude, mais détaillé dans la partie suivante (Partie 2, III. C), avec la proposition de différents marqueurs tumoraux à évaluer.</w:t>
      </w:r>
    </w:p>
    <w:p>
      <w:pPr>
        <w:pStyle w:val="BodyText"/>
        <w:rPr>
          <w:sz w:val="26"/>
        </w:rPr>
      </w:pPr>
    </w:p>
    <w:p>
      <w:pPr>
        <w:pStyle w:val="BodyText"/>
        <w:spacing w:before="4"/>
        <w:rPr>
          <w:sz w:val="30"/>
        </w:rPr>
      </w:pPr>
    </w:p>
    <w:p>
      <w:pPr>
        <w:pStyle w:val="Heading5"/>
        <w:numPr>
          <w:ilvl w:val="1"/>
          <w:numId w:val="30"/>
        </w:numPr>
        <w:tabs>
          <w:tab w:pos="2242" w:val="left" w:leader="none"/>
          <w:tab w:pos="2243" w:val="left" w:leader="none"/>
        </w:tabs>
        <w:spacing w:line="240" w:lineRule="auto" w:before="0" w:after="0"/>
        <w:ind w:left="2242" w:right="0" w:hanging="720"/>
        <w:jc w:val="left"/>
        <w:rPr>
          <w:i/>
        </w:rPr>
      </w:pPr>
      <w:bookmarkStart w:name="_bookmark210" w:id="366"/>
      <w:bookmarkEnd w:id="366"/>
      <w:r>
        <w:rPr>
          <w:b w:val="0"/>
          <w:i w:val="0"/>
        </w:rPr>
      </w:r>
      <w:bookmarkStart w:name="_bookmark210" w:id="367"/>
      <w:bookmarkEnd w:id="367"/>
      <w:r>
        <w:rPr>
          <w:i/>
        </w:rPr>
        <w:t>D</w:t>
      </w:r>
      <w:r>
        <w:rPr>
          <w:i/>
        </w:rPr>
        <w:t>éveloppement</w:t>
      </w:r>
      <w:r>
        <w:rPr>
          <w:i/>
          <w:spacing w:val="-5"/>
        </w:rPr>
        <w:t> </w:t>
      </w:r>
      <w:r>
        <w:rPr>
          <w:i/>
        </w:rPr>
        <w:t>tumoral</w:t>
      </w:r>
    </w:p>
    <w:p>
      <w:pPr>
        <w:pStyle w:val="BodyText"/>
        <w:rPr>
          <w:b/>
          <w:i/>
          <w:sz w:val="26"/>
        </w:rPr>
      </w:pPr>
    </w:p>
    <w:p>
      <w:pPr>
        <w:pStyle w:val="BodyText"/>
        <w:spacing w:line="276" w:lineRule="auto" w:before="214"/>
        <w:ind w:left="116" w:right="113" w:firstLine="707"/>
        <w:jc w:val="both"/>
      </w:pPr>
      <w:r>
        <w:rPr/>
        <w:t>Il faut idéalement travailler avec une tumeur qui puisse être mesurée afin d’évaluer la réponse</w:t>
      </w:r>
      <w:r>
        <w:rPr>
          <w:spacing w:val="-12"/>
        </w:rPr>
        <w:t> </w:t>
      </w:r>
      <w:r>
        <w:rPr/>
        <w:t>clinique</w:t>
      </w:r>
      <w:r>
        <w:rPr>
          <w:spacing w:val="-14"/>
        </w:rPr>
        <w:t> </w:t>
      </w:r>
      <w:r>
        <w:rPr/>
        <w:t>avec</w:t>
      </w:r>
      <w:r>
        <w:rPr>
          <w:spacing w:val="-12"/>
        </w:rPr>
        <w:t> </w:t>
      </w:r>
      <w:r>
        <w:rPr/>
        <w:t>des</w:t>
      </w:r>
      <w:r>
        <w:rPr>
          <w:spacing w:val="-11"/>
        </w:rPr>
        <w:t> </w:t>
      </w:r>
      <w:r>
        <w:rPr/>
        <w:t>mesures</w:t>
      </w:r>
      <w:r>
        <w:rPr>
          <w:spacing w:val="-11"/>
        </w:rPr>
        <w:t> </w:t>
      </w:r>
      <w:r>
        <w:rPr/>
        <w:t>objectives</w:t>
      </w:r>
      <w:r>
        <w:rPr>
          <w:spacing w:val="-11"/>
        </w:rPr>
        <w:t> </w:t>
      </w:r>
      <w:r>
        <w:rPr/>
        <w:t>(cliniquement</w:t>
      </w:r>
      <w:r>
        <w:rPr>
          <w:spacing w:val="-13"/>
        </w:rPr>
        <w:t> </w:t>
      </w:r>
      <w:r>
        <w:rPr/>
        <w:t>ou</w:t>
      </w:r>
      <w:r>
        <w:rPr>
          <w:spacing w:val="-13"/>
        </w:rPr>
        <w:t> </w:t>
      </w:r>
      <w:r>
        <w:rPr/>
        <w:t>par</w:t>
      </w:r>
      <w:r>
        <w:rPr>
          <w:spacing w:val="-14"/>
        </w:rPr>
        <w:t> </w:t>
      </w:r>
      <w:r>
        <w:rPr/>
        <w:t>l’imagerie),</w:t>
      </w:r>
      <w:r>
        <w:rPr>
          <w:spacing w:val="-14"/>
        </w:rPr>
        <w:t> </w:t>
      </w:r>
      <w:r>
        <w:rPr/>
        <w:t>toutes</w:t>
      </w:r>
      <w:r>
        <w:rPr>
          <w:spacing w:val="-11"/>
        </w:rPr>
        <w:t> </w:t>
      </w:r>
      <w:r>
        <w:rPr/>
        <w:t>les</w:t>
      </w:r>
      <w:r>
        <w:rPr>
          <w:spacing w:val="-14"/>
        </w:rPr>
        <w:t> </w:t>
      </w:r>
      <w:r>
        <w:rPr/>
        <w:t>quatre semaines</w:t>
      </w:r>
      <w:r>
        <w:rPr>
          <w:spacing w:val="-8"/>
        </w:rPr>
        <w:t> </w:t>
      </w:r>
      <w:r>
        <w:rPr/>
        <w:t>(Therasse</w:t>
      </w:r>
      <w:r>
        <w:rPr>
          <w:spacing w:val="-7"/>
        </w:rPr>
        <w:t> </w:t>
      </w:r>
      <w:r>
        <w:rPr/>
        <w:t>et</w:t>
      </w:r>
      <w:r>
        <w:rPr>
          <w:spacing w:val="-8"/>
        </w:rPr>
        <w:t> </w:t>
      </w:r>
      <w:r>
        <w:rPr/>
        <w:t>al.,</w:t>
      </w:r>
      <w:r>
        <w:rPr>
          <w:spacing w:val="-6"/>
        </w:rPr>
        <w:t> </w:t>
      </w:r>
      <w:r>
        <w:rPr/>
        <w:t>2000).</w:t>
      </w:r>
      <w:r>
        <w:rPr>
          <w:spacing w:val="-9"/>
        </w:rPr>
        <w:t> </w:t>
      </w:r>
      <w:r>
        <w:rPr/>
        <w:t>De</w:t>
      </w:r>
      <w:r>
        <w:rPr>
          <w:spacing w:val="-10"/>
        </w:rPr>
        <w:t> </w:t>
      </w:r>
      <w:r>
        <w:rPr/>
        <w:t>manière</w:t>
      </w:r>
      <w:r>
        <w:rPr>
          <w:spacing w:val="-10"/>
        </w:rPr>
        <w:t> </w:t>
      </w:r>
      <w:r>
        <w:rPr/>
        <w:t>théorique,</w:t>
      </w:r>
      <w:r>
        <w:rPr>
          <w:spacing w:val="-7"/>
        </w:rPr>
        <w:t> </w:t>
      </w:r>
      <w:r>
        <w:rPr/>
        <w:t>deux</w:t>
      </w:r>
      <w:r>
        <w:rPr>
          <w:spacing w:val="-7"/>
        </w:rPr>
        <w:t> </w:t>
      </w:r>
      <w:r>
        <w:rPr/>
        <w:t>types</w:t>
      </w:r>
      <w:r>
        <w:rPr>
          <w:spacing w:val="-8"/>
        </w:rPr>
        <w:t> </w:t>
      </w:r>
      <w:r>
        <w:rPr/>
        <w:t>de</w:t>
      </w:r>
      <w:r>
        <w:rPr>
          <w:spacing w:val="-10"/>
        </w:rPr>
        <w:t> </w:t>
      </w:r>
      <w:r>
        <w:rPr/>
        <w:t>lésions</w:t>
      </w:r>
      <w:r>
        <w:rPr>
          <w:spacing w:val="-8"/>
        </w:rPr>
        <w:t> </w:t>
      </w:r>
      <w:r>
        <w:rPr/>
        <w:t>sont</w:t>
      </w:r>
      <w:r>
        <w:rPr>
          <w:spacing w:val="-8"/>
        </w:rPr>
        <w:t> </w:t>
      </w:r>
      <w:r>
        <w:rPr/>
        <w:t>définies</w:t>
      </w:r>
      <w:r>
        <w:rPr>
          <w:spacing w:val="-8"/>
        </w:rPr>
        <w:t> </w:t>
      </w:r>
      <w:r>
        <w:rPr/>
        <w:t>:</w:t>
      </w:r>
      <w:r>
        <w:rPr>
          <w:spacing w:val="-8"/>
        </w:rPr>
        <w:t> </w:t>
      </w:r>
      <w:r>
        <w:rPr/>
        <w:t>les lésions</w:t>
      </w:r>
      <w:r>
        <w:rPr>
          <w:spacing w:val="-8"/>
        </w:rPr>
        <w:t> </w:t>
      </w:r>
      <w:r>
        <w:rPr/>
        <w:t>mesurables</w:t>
      </w:r>
      <w:r>
        <w:rPr>
          <w:spacing w:val="-9"/>
        </w:rPr>
        <w:t> </w:t>
      </w:r>
      <w:r>
        <w:rPr/>
        <w:t>(lésions</w:t>
      </w:r>
      <w:r>
        <w:rPr>
          <w:spacing w:val="-8"/>
        </w:rPr>
        <w:t> </w:t>
      </w:r>
      <w:r>
        <w:rPr/>
        <w:t>dont</w:t>
      </w:r>
      <w:r>
        <w:rPr>
          <w:spacing w:val="-8"/>
        </w:rPr>
        <w:t> </w:t>
      </w:r>
      <w:r>
        <w:rPr/>
        <w:t>le</w:t>
      </w:r>
      <w:r>
        <w:rPr>
          <w:spacing w:val="-9"/>
        </w:rPr>
        <w:t> </w:t>
      </w:r>
      <w:r>
        <w:rPr/>
        <w:t>plus</w:t>
      </w:r>
      <w:r>
        <w:rPr>
          <w:spacing w:val="-8"/>
        </w:rPr>
        <w:t> </w:t>
      </w:r>
      <w:r>
        <w:rPr/>
        <w:t>grand</w:t>
      </w:r>
      <w:r>
        <w:rPr>
          <w:spacing w:val="-9"/>
        </w:rPr>
        <w:t> </w:t>
      </w:r>
      <w:r>
        <w:rPr/>
        <w:t>axe</w:t>
      </w:r>
      <w:r>
        <w:rPr>
          <w:spacing w:val="-10"/>
        </w:rPr>
        <w:t> </w:t>
      </w:r>
      <w:r>
        <w:rPr/>
        <w:t>est</w:t>
      </w:r>
      <w:r>
        <w:rPr>
          <w:spacing w:val="-8"/>
        </w:rPr>
        <w:t> </w:t>
      </w:r>
      <w:r>
        <w:rPr/>
        <w:t>au</w:t>
      </w:r>
      <w:r>
        <w:rPr>
          <w:spacing w:val="-9"/>
        </w:rPr>
        <w:t> </w:t>
      </w:r>
      <w:r>
        <w:rPr/>
        <w:t>minimum</w:t>
      </w:r>
      <w:r>
        <w:rPr>
          <w:spacing w:val="-8"/>
        </w:rPr>
        <w:t> </w:t>
      </w:r>
      <w:r>
        <w:rPr/>
        <w:t>de</w:t>
      </w:r>
      <w:r>
        <w:rPr>
          <w:spacing w:val="-10"/>
        </w:rPr>
        <w:t> </w:t>
      </w:r>
      <w:r>
        <w:rPr/>
        <w:t>20</w:t>
      </w:r>
      <w:r>
        <w:rPr>
          <w:spacing w:val="-11"/>
        </w:rPr>
        <w:t> </w:t>
      </w:r>
      <w:r>
        <w:rPr/>
        <w:t>mm)</w:t>
      </w:r>
      <w:r>
        <w:rPr>
          <w:spacing w:val="-9"/>
        </w:rPr>
        <w:t> </w:t>
      </w:r>
      <w:r>
        <w:rPr/>
        <w:t>et</w:t>
      </w:r>
      <w:r>
        <w:rPr>
          <w:spacing w:val="-8"/>
        </w:rPr>
        <w:t> </w:t>
      </w:r>
      <w:r>
        <w:rPr/>
        <w:t>les</w:t>
      </w:r>
      <w:r>
        <w:rPr>
          <w:spacing w:val="-9"/>
        </w:rPr>
        <w:t> </w:t>
      </w:r>
      <w:r>
        <w:rPr/>
        <w:t>lésions</w:t>
      </w:r>
      <w:r>
        <w:rPr>
          <w:spacing w:val="-8"/>
        </w:rPr>
        <w:t> </w:t>
      </w:r>
      <w:r>
        <w:rPr/>
        <w:t>non mesurables</w:t>
      </w:r>
      <w:r>
        <w:rPr>
          <w:spacing w:val="-4"/>
        </w:rPr>
        <w:t> </w:t>
      </w:r>
      <w:r>
        <w:rPr/>
        <w:t>(lésions</w:t>
      </w:r>
      <w:r>
        <w:rPr>
          <w:spacing w:val="-6"/>
        </w:rPr>
        <w:t> </w:t>
      </w:r>
      <w:r>
        <w:rPr/>
        <w:t>inférieures</w:t>
      </w:r>
      <w:r>
        <w:rPr>
          <w:spacing w:val="-4"/>
        </w:rPr>
        <w:t> </w:t>
      </w:r>
      <w:r>
        <w:rPr/>
        <w:t>à</w:t>
      </w:r>
      <w:r>
        <w:rPr>
          <w:spacing w:val="-7"/>
        </w:rPr>
        <w:t> </w:t>
      </w:r>
      <w:r>
        <w:rPr/>
        <w:t>10</w:t>
      </w:r>
      <w:r>
        <w:rPr>
          <w:spacing w:val="-6"/>
        </w:rPr>
        <w:t> </w:t>
      </w:r>
      <w:r>
        <w:rPr/>
        <w:t>mm</w:t>
      </w:r>
      <w:r>
        <w:rPr>
          <w:spacing w:val="-6"/>
        </w:rPr>
        <w:t> </w:t>
      </w:r>
      <w:r>
        <w:rPr/>
        <w:t>ou</w:t>
      </w:r>
      <w:r>
        <w:rPr>
          <w:spacing w:val="-4"/>
        </w:rPr>
        <w:t> </w:t>
      </w:r>
      <w:r>
        <w:rPr/>
        <w:t>les</w:t>
      </w:r>
      <w:r>
        <w:rPr>
          <w:spacing w:val="-6"/>
        </w:rPr>
        <w:t> </w:t>
      </w:r>
      <w:r>
        <w:rPr/>
        <w:t>lésions</w:t>
      </w:r>
      <w:r>
        <w:rPr>
          <w:spacing w:val="-6"/>
        </w:rPr>
        <w:t> </w:t>
      </w:r>
      <w:r>
        <w:rPr/>
        <w:t>dont</w:t>
      </w:r>
      <w:r>
        <w:rPr>
          <w:spacing w:val="-6"/>
        </w:rPr>
        <w:t> </w:t>
      </w:r>
      <w:r>
        <w:rPr/>
        <w:t>les</w:t>
      </w:r>
      <w:r>
        <w:rPr>
          <w:spacing w:val="-6"/>
        </w:rPr>
        <w:t> </w:t>
      </w:r>
      <w:r>
        <w:rPr/>
        <w:t>limites</w:t>
      </w:r>
      <w:r>
        <w:rPr>
          <w:spacing w:val="-6"/>
        </w:rPr>
        <w:t> </w:t>
      </w:r>
      <w:r>
        <w:rPr/>
        <w:t>sont</w:t>
      </w:r>
      <w:r>
        <w:rPr>
          <w:spacing w:val="-6"/>
        </w:rPr>
        <w:t> </w:t>
      </w:r>
      <w:r>
        <w:rPr/>
        <w:t>difficiles</w:t>
      </w:r>
      <w:r>
        <w:rPr>
          <w:spacing w:val="-6"/>
        </w:rPr>
        <w:t> </w:t>
      </w:r>
      <w:r>
        <w:rPr/>
        <w:t>à</w:t>
      </w:r>
      <w:r>
        <w:rPr>
          <w:spacing w:val="-5"/>
        </w:rPr>
        <w:t> </w:t>
      </w:r>
      <w:r>
        <w:rPr/>
        <w:t>définir). Différents critères peuvent ensuite être utilisés pour évaluer la réponse des tumeurs solides (critères RECIST = critères d’évaluation de la réponse des tumeurs</w:t>
      </w:r>
      <w:r>
        <w:rPr>
          <w:spacing w:val="-17"/>
        </w:rPr>
        <w:t> </w:t>
      </w:r>
      <w:r>
        <w:rPr/>
        <w:t>solides).</w:t>
      </w:r>
    </w:p>
    <w:p>
      <w:pPr>
        <w:spacing w:after="0" w:line="276" w:lineRule="auto"/>
        <w:jc w:val="both"/>
        <w:sectPr>
          <w:pgSz w:w="11910" w:h="16840"/>
          <w:pgMar w:header="0" w:footer="1055" w:top="1320" w:bottom="1240" w:left="1300" w:right="1300"/>
        </w:sectPr>
      </w:pPr>
    </w:p>
    <w:p>
      <w:pPr>
        <w:pStyle w:val="ListParagraph"/>
        <w:numPr>
          <w:ilvl w:val="1"/>
          <w:numId w:val="6"/>
        </w:numPr>
        <w:tabs>
          <w:tab w:pos="837" w:val="left" w:leader="none"/>
        </w:tabs>
        <w:spacing w:line="278" w:lineRule="auto" w:before="72" w:after="0"/>
        <w:ind w:left="836" w:right="118" w:hanging="360"/>
        <w:jc w:val="both"/>
        <w:rPr>
          <w:sz w:val="24"/>
        </w:rPr>
      </w:pPr>
      <w:r>
        <w:rPr>
          <w:b/>
          <w:sz w:val="24"/>
        </w:rPr>
        <w:t>La réponse complète </w:t>
      </w:r>
      <w:r>
        <w:rPr>
          <w:sz w:val="24"/>
        </w:rPr>
        <w:t>(CR) : disparition de toutes les lésions cibles, confirmée par un nouvel examen réalisé à quatre</w:t>
      </w:r>
      <w:r>
        <w:rPr>
          <w:spacing w:val="-7"/>
          <w:sz w:val="24"/>
        </w:rPr>
        <w:t> </w:t>
      </w:r>
      <w:r>
        <w:rPr>
          <w:sz w:val="24"/>
        </w:rPr>
        <w:t>semaines.</w:t>
      </w:r>
    </w:p>
    <w:p>
      <w:pPr>
        <w:pStyle w:val="ListParagraph"/>
        <w:numPr>
          <w:ilvl w:val="1"/>
          <w:numId w:val="6"/>
        </w:numPr>
        <w:tabs>
          <w:tab w:pos="837" w:val="left" w:leader="none"/>
        </w:tabs>
        <w:spacing w:line="276" w:lineRule="auto" w:before="0" w:after="0"/>
        <w:ind w:left="836" w:right="120" w:hanging="360"/>
        <w:jc w:val="both"/>
        <w:rPr>
          <w:sz w:val="24"/>
        </w:rPr>
      </w:pPr>
      <w:r>
        <w:rPr>
          <w:sz w:val="24"/>
        </w:rPr>
        <w:t>La </w:t>
      </w:r>
      <w:r>
        <w:rPr>
          <w:b/>
          <w:sz w:val="24"/>
        </w:rPr>
        <w:t>réponse partielle </w:t>
      </w:r>
      <w:r>
        <w:rPr>
          <w:sz w:val="24"/>
        </w:rPr>
        <w:t>(PR) : diminution d'au moins 30 % de la somme des plus grands diamètres de chaque lésion cible, en prenant pour référence la somme initiale des plus grands diamètres, confirmée par un nouvel examen réalisé à quatre</w:t>
      </w:r>
      <w:r>
        <w:rPr>
          <w:spacing w:val="-13"/>
          <w:sz w:val="24"/>
        </w:rPr>
        <w:t> </w:t>
      </w:r>
      <w:r>
        <w:rPr>
          <w:sz w:val="24"/>
        </w:rPr>
        <w:t>semaines</w:t>
      </w:r>
    </w:p>
    <w:p>
      <w:pPr>
        <w:pStyle w:val="ListParagraph"/>
        <w:numPr>
          <w:ilvl w:val="1"/>
          <w:numId w:val="6"/>
        </w:numPr>
        <w:tabs>
          <w:tab w:pos="837" w:val="left" w:leader="none"/>
        </w:tabs>
        <w:spacing w:line="276" w:lineRule="auto" w:before="5" w:after="0"/>
        <w:ind w:left="836" w:right="114" w:hanging="360"/>
        <w:jc w:val="both"/>
        <w:rPr>
          <w:sz w:val="24"/>
        </w:rPr>
      </w:pPr>
      <w:r>
        <w:rPr>
          <w:b/>
          <w:sz w:val="24"/>
        </w:rPr>
        <w:t>La progression tumorale </w:t>
      </w:r>
      <w:r>
        <w:rPr>
          <w:sz w:val="24"/>
        </w:rPr>
        <w:t>(PD) : augmentation d'au moins 20 % de la somme des plus grands</w:t>
      </w:r>
      <w:r>
        <w:rPr>
          <w:spacing w:val="-8"/>
          <w:sz w:val="24"/>
        </w:rPr>
        <w:t> </w:t>
      </w:r>
      <w:r>
        <w:rPr>
          <w:sz w:val="24"/>
        </w:rPr>
        <w:t>diamètres</w:t>
      </w:r>
      <w:r>
        <w:rPr>
          <w:spacing w:val="-8"/>
          <w:sz w:val="24"/>
        </w:rPr>
        <w:t> </w:t>
      </w:r>
      <w:r>
        <w:rPr>
          <w:sz w:val="24"/>
        </w:rPr>
        <w:t>de</w:t>
      </w:r>
      <w:r>
        <w:rPr>
          <w:spacing w:val="-7"/>
          <w:sz w:val="24"/>
        </w:rPr>
        <w:t> </w:t>
      </w:r>
      <w:r>
        <w:rPr>
          <w:sz w:val="24"/>
        </w:rPr>
        <w:t>chaque</w:t>
      </w:r>
      <w:r>
        <w:rPr>
          <w:spacing w:val="-10"/>
          <w:sz w:val="24"/>
        </w:rPr>
        <w:t> </w:t>
      </w:r>
      <w:r>
        <w:rPr>
          <w:sz w:val="24"/>
        </w:rPr>
        <w:t>lésion</w:t>
      </w:r>
      <w:r>
        <w:rPr>
          <w:spacing w:val="-8"/>
          <w:sz w:val="24"/>
        </w:rPr>
        <w:t> </w:t>
      </w:r>
      <w:r>
        <w:rPr>
          <w:sz w:val="24"/>
        </w:rPr>
        <w:t>cible,</w:t>
      </w:r>
      <w:r>
        <w:rPr>
          <w:spacing w:val="-7"/>
          <w:sz w:val="24"/>
        </w:rPr>
        <w:t> </w:t>
      </w:r>
      <w:r>
        <w:rPr>
          <w:sz w:val="24"/>
        </w:rPr>
        <w:t>en</w:t>
      </w:r>
      <w:r>
        <w:rPr>
          <w:spacing w:val="-9"/>
          <w:sz w:val="24"/>
        </w:rPr>
        <w:t> </w:t>
      </w:r>
      <w:r>
        <w:rPr>
          <w:sz w:val="24"/>
        </w:rPr>
        <w:t>prenant</w:t>
      </w:r>
      <w:r>
        <w:rPr>
          <w:spacing w:val="-8"/>
          <w:sz w:val="24"/>
        </w:rPr>
        <w:t> </w:t>
      </w:r>
      <w:r>
        <w:rPr>
          <w:sz w:val="24"/>
        </w:rPr>
        <w:t>pour</w:t>
      </w:r>
      <w:r>
        <w:rPr>
          <w:spacing w:val="-9"/>
          <w:sz w:val="24"/>
        </w:rPr>
        <w:t> </w:t>
      </w:r>
      <w:r>
        <w:rPr>
          <w:sz w:val="24"/>
        </w:rPr>
        <w:t>référence</w:t>
      </w:r>
      <w:r>
        <w:rPr>
          <w:spacing w:val="-10"/>
          <w:sz w:val="24"/>
        </w:rPr>
        <w:t> </w:t>
      </w:r>
      <w:r>
        <w:rPr>
          <w:sz w:val="24"/>
        </w:rPr>
        <w:t>la</w:t>
      </w:r>
      <w:r>
        <w:rPr>
          <w:spacing w:val="-9"/>
          <w:sz w:val="24"/>
        </w:rPr>
        <w:t> </w:t>
      </w:r>
      <w:r>
        <w:rPr>
          <w:sz w:val="24"/>
        </w:rPr>
        <w:t>plus</w:t>
      </w:r>
      <w:r>
        <w:rPr>
          <w:spacing w:val="-8"/>
          <w:sz w:val="24"/>
        </w:rPr>
        <w:t> </w:t>
      </w:r>
      <w:r>
        <w:rPr>
          <w:sz w:val="24"/>
        </w:rPr>
        <w:t>petite</w:t>
      </w:r>
      <w:r>
        <w:rPr>
          <w:spacing w:val="-9"/>
          <w:sz w:val="24"/>
        </w:rPr>
        <w:t> </w:t>
      </w:r>
      <w:r>
        <w:rPr>
          <w:sz w:val="24"/>
        </w:rPr>
        <w:t>somme des</w:t>
      </w:r>
      <w:r>
        <w:rPr>
          <w:spacing w:val="-7"/>
          <w:sz w:val="24"/>
        </w:rPr>
        <w:t> </w:t>
      </w:r>
      <w:r>
        <w:rPr>
          <w:sz w:val="24"/>
        </w:rPr>
        <w:t>plus</w:t>
      </w:r>
      <w:r>
        <w:rPr>
          <w:spacing w:val="-7"/>
          <w:sz w:val="24"/>
        </w:rPr>
        <w:t> </w:t>
      </w:r>
      <w:r>
        <w:rPr>
          <w:sz w:val="24"/>
        </w:rPr>
        <w:t>grands</w:t>
      </w:r>
      <w:r>
        <w:rPr>
          <w:spacing w:val="-7"/>
          <w:sz w:val="24"/>
        </w:rPr>
        <w:t> </w:t>
      </w:r>
      <w:r>
        <w:rPr>
          <w:sz w:val="24"/>
        </w:rPr>
        <w:t>diamètres,</w:t>
      </w:r>
      <w:r>
        <w:rPr>
          <w:spacing w:val="-7"/>
          <w:sz w:val="24"/>
        </w:rPr>
        <w:t> </w:t>
      </w:r>
      <w:r>
        <w:rPr>
          <w:sz w:val="24"/>
        </w:rPr>
        <w:t>rapportée</w:t>
      </w:r>
      <w:r>
        <w:rPr>
          <w:spacing w:val="-8"/>
          <w:sz w:val="24"/>
        </w:rPr>
        <w:t> </w:t>
      </w:r>
      <w:r>
        <w:rPr>
          <w:sz w:val="24"/>
        </w:rPr>
        <w:t>depuis</w:t>
      </w:r>
      <w:r>
        <w:rPr>
          <w:spacing w:val="-7"/>
          <w:sz w:val="24"/>
        </w:rPr>
        <w:t> </w:t>
      </w:r>
      <w:r>
        <w:rPr>
          <w:sz w:val="24"/>
        </w:rPr>
        <w:t>le</w:t>
      </w:r>
      <w:r>
        <w:rPr>
          <w:spacing w:val="-8"/>
          <w:sz w:val="24"/>
        </w:rPr>
        <w:t> </w:t>
      </w:r>
      <w:r>
        <w:rPr>
          <w:sz w:val="24"/>
        </w:rPr>
        <w:t>début</w:t>
      </w:r>
      <w:r>
        <w:rPr>
          <w:spacing w:val="-7"/>
          <w:sz w:val="24"/>
        </w:rPr>
        <w:t> </w:t>
      </w:r>
      <w:r>
        <w:rPr>
          <w:sz w:val="24"/>
        </w:rPr>
        <w:t>du</w:t>
      </w:r>
      <w:r>
        <w:rPr>
          <w:spacing w:val="-7"/>
          <w:sz w:val="24"/>
        </w:rPr>
        <w:t> </w:t>
      </w:r>
      <w:r>
        <w:rPr>
          <w:sz w:val="24"/>
        </w:rPr>
        <w:t>traitement,</w:t>
      </w:r>
      <w:r>
        <w:rPr>
          <w:spacing w:val="-7"/>
          <w:sz w:val="24"/>
        </w:rPr>
        <w:t> </w:t>
      </w:r>
      <w:r>
        <w:rPr>
          <w:sz w:val="24"/>
        </w:rPr>
        <w:t>ou</w:t>
      </w:r>
      <w:r>
        <w:rPr>
          <w:spacing w:val="-10"/>
          <w:sz w:val="24"/>
        </w:rPr>
        <w:t> </w:t>
      </w:r>
      <w:r>
        <w:rPr>
          <w:sz w:val="24"/>
        </w:rPr>
        <w:t>apparition</w:t>
      </w:r>
      <w:r>
        <w:rPr>
          <w:spacing w:val="-7"/>
          <w:sz w:val="24"/>
        </w:rPr>
        <w:t> </w:t>
      </w:r>
      <w:r>
        <w:rPr>
          <w:sz w:val="24"/>
        </w:rPr>
        <w:t>de</w:t>
      </w:r>
      <w:r>
        <w:rPr>
          <w:spacing w:val="-8"/>
          <w:sz w:val="24"/>
        </w:rPr>
        <w:t> </w:t>
      </w:r>
      <w:r>
        <w:rPr>
          <w:sz w:val="24"/>
        </w:rPr>
        <w:t>une ou de plusieurs nouvelles</w:t>
      </w:r>
      <w:r>
        <w:rPr>
          <w:spacing w:val="-4"/>
          <w:sz w:val="24"/>
        </w:rPr>
        <w:t> </w:t>
      </w:r>
      <w:r>
        <w:rPr>
          <w:sz w:val="24"/>
        </w:rPr>
        <w:t>lésions</w:t>
      </w:r>
    </w:p>
    <w:p>
      <w:pPr>
        <w:pStyle w:val="ListParagraph"/>
        <w:numPr>
          <w:ilvl w:val="1"/>
          <w:numId w:val="6"/>
        </w:numPr>
        <w:tabs>
          <w:tab w:pos="837" w:val="left" w:leader="none"/>
        </w:tabs>
        <w:spacing w:line="276" w:lineRule="auto" w:before="3" w:after="0"/>
        <w:ind w:left="836" w:right="113" w:hanging="360"/>
        <w:jc w:val="both"/>
        <w:rPr>
          <w:sz w:val="24"/>
        </w:rPr>
      </w:pPr>
      <w:r>
        <w:rPr>
          <w:b/>
          <w:sz w:val="24"/>
        </w:rPr>
        <w:t>La</w:t>
      </w:r>
      <w:r>
        <w:rPr>
          <w:b/>
          <w:spacing w:val="-9"/>
          <w:sz w:val="24"/>
        </w:rPr>
        <w:t> </w:t>
      </w:r>
      <w:r>
        <w:rPr>
          <w:b/>
          <w:sz w:val="24"/>
        </w:rPr>
        <w:t>stabilité</w:t>
      </w:r>
      <w:r>
        <w:rPr>
          <w:b/>
          <w:spacing w:val="-10"/>
          <w:sz w:val="24"/>
        </w:rPr>
        <w:t> </w:t>
      </w:r>
      <w:r>
        <w:rPr>
          <w:b/>
          <w:sz w:val="24"/>
        </w:rPr>
        <w:t>tumorale</w:t>
      </w:r>
      <w:r>
        <w:rPr>
          <w:b/>
          <w:spacing w:val="-5"/>
          <w:sz w:val="24"/>
        </w:rPr>
        <w:t> </w:t>
      </w:r>
      <w:r>
        <w:rPr>
          <w:sz w:val="24"/>
        </w:rPr>
        <w:t>(SD)</w:t>
      </w:r>
      <w:r>
        <w:rPr>
          <w:spacing w:val="-2"/>
          <w:sz w:val="24"/>
        </w:rPr>
        <w:t> </w:t>
      </w:r>
      <w:r>
        <w:rPr>
          <w:sz w:val="24"/>
        </w:rPr>
        <w:t>:</w:t>
      </w:r>
      <w:r>
        <w:rPr>
          <w:spacing w:val="-8"/>
          <w:sz w:val="24"/>
        </w:rPr>
        <w:t> </w:t>
      </w:r>
      <w:r>
        <w:rPr>
          <w:sz w:val="24"/>
        </w:rPr>
        <w:t>diminution</w:t>
      </w:r>
      <w:r>
        <w:rPr>
          <w:spacing w:val="-8"/>
          <w:sz w:val="24"/>
        </w:rPr>
        <w:t> </w:t>
      </w:r>
      <w:r>
        <w:rPr>
          <w:sz w:val="24"/>
        </w:rPr>
        <w:t>tumorale</w:t>
      </w:r>
      <w:r>
        <w:rPr>
          <w:spacing w:val="-7"/>
          <w:sz w:val="24"/>
        </w:rPr>
        <w:t> </w:t>
      </w:r>
      <w:r>
        <w:rPr>
          <w:sz w:val="24"/>
        </w:rPr>
        <w:t>insuffisante</w:t>
      </w:r>
      <w:r>
        <w:rPr>
          <w:spacing w:val="-9"/>
          <w:sz w:val="24"/>
        </w:rPr>
        <w:t> </w:t>
      </w:r>
      <w:r>
        <w:rPr>
          <w:sz w:val="24"/>
        </w:rPr>
        <w:t>pour</w:t>
      </w:r>
      <w:r>
        <w:rPr>
          <w:spacing w:val="-9"/>
          <w:sz w:val="24"/>
        </w:rPr>
        <w:t> </w:t>
      </w:r>
      <w:r>
        <w:rPr>
          <w:sz w:val="24"/>
        </w:rPr>
        <w:t>définir</w:t>
      </w:r>
      <w:r>
        <w:rPr>
          <w:spacing w:val="-7"/>
          <w:sz w:val="24"/>
        </w:rPr>
        <w:t> </w:t>
      </w:r>
      <w:r>
        <w:rPr>
          <w:sz w:val="24"/>
        </w:rPr>
        <w:t>une</w:t>
      </w:r>
      <w:r>
        <w:rPr>
          <w:spacing w:val="-10"/>
          <w:sz w:val="24"/>
        </w:rPr>
        <w:t> </w:t>
      </w:r>
      <w:r>
        <w:rPr>
          <w:sz w:val="24"/>
        </w:rPr>
        <w:t>réponse partielle et/ou augmentation tumorale inférieure à celle nécessaire pour définir une progression tumorale, en prenant pour référence la plus petite somme des plus grands diamètres depuis le début du</w:t>
      </w:r>
      <w:r>
        <w:rPr>
          <w:spacing w:val="-8"/>
          <w:sz w:val="24"/>
        </w:rPr>
        <w:t> </w:t>
      </w:r>
      <w:r>
        <w:rPr>
          <w:sz w:val="24"/>
        </w:rPr>
        <w:t>traitement.</w:t>
      </w:r>
    </w:p>
    <w:p>
      <w:pPr>
        <w:pStyle w:val="BodyText"/>
        <w:spacing w:before="8"/>
      </w:pPr>
    </w:p>
    <w:p>
      <w:pPr>
        <w:pStyle w:val="BodyText"/>
        <w:spacing w:line="276" w:lineRule="auto"/>
        <w:ind w:left="116" w:right="118" w:firstLine="707"/>
        <w:jc w:val="both"/>
      </w:pPr>
      <w:r>
        <w:rPr/>
        <w:t>Pour nos exemples, l’utilisation de ce système pour évaluer objectivement le développement tumoral n’est pas possible comme nous travaillons après excision chirurgicale. La réalisation d’examens d’imagerie permettra de suivre le développement d’éventuelles métastases qui, elles, sont mesurables. La réalisation d’examens cliniques réguliers permettra d’objectiver une éventuelle récidive sur le site chirurgical, signe sans équivoque de développement tumoral. Le Disease Free Intervall (intervalle de temps entre la chirurgie et la récurrence) permet d’objectiver cette récidive.</w:t>
      </w:r>
    </w:p>
    <w:p>
      <w:pPr>
        <w:pStyle w:val="BodyText"/>
        <w:rPr>
          <w:sz w:val="26"/>
        </w:rPr>
      </w:pPr>
    </w:p>
    <w:p>
      <w:pPr>
        <w:pStyle w:val="BodyText"/>
        <w:rPr>
          <w:sz w:val="30"/>
        </w:rPr>
      </w:pPr>
    </w:p>
    <w:p>
      <w:pPr>
        <w:pStyle w:val="Heading5"/>
        <w:numPr>
          <w:ilvl w:val="1"/>
          <w:numId w:val="30"/>
        </w:numPr>
        <w:tabs>
          <w:tab w:pos="2242" w:val="left" w:leader="none"/>
          <w:tab w:pos="2243" w:val="left" w:leader="none"/>
        </w:tabs>
        <w:spacing w:line="240" w:lineRule="auto" w:before="0" w:after="0"/>
        <w:ind w:left="2242" w:right="0" w:hanging="720"/>
        <w:jc w:val="left"/>
        <w:rPr>
          <w:i/>
        </w:rPr>
      </w:pPr>
      <w:bookmarkStart w:name="_bookmark211" w:id="368"/>
      <w:bookmarkEnd w:id="368"/>
      <w:r>
        <w:rPr>
          <w:b w:val="0"/>
          <w:i w:val="0"/>
        </w:rPr>
      </w:r>
      <w:bookmarkStart w:name="_bookmark211" w:id="369"/>
      <w:bookmarkEnd w:id="369"/>
      <w:r>
        <w:rPr>
          <w:i/>
        </w:rPr>
        <w:t>Sur</w:t>
      </w:r>
      <w:r>
        <w:rPr>
          <w:i/>
        </w:rPr>
        <w:t>vie</w:t>
      </w:r>
    </w:p>
    <w:p>
      <w:pPr>
        <w:pStyle w:val="BodyText"/>
        <w:rPr>
          <w:b/>
          <w:i/>
          <w:sz w:val="26"/>
        </w:rPr>
      </w:pPr>
    </w:p>
    <w:p>
      <w:pPr>
        <w:pStyle w:val="BodyText"/>
        <w:spacing w:line="273" w:lineRule="auto" w:before="216"/>
        <w:ind w:left="116" w:right="118" w:firstLine="707"/>
        <w:jc w:val="both"/>
      </w:pPr>
      <w:r>
        <w:rPr/>
        <w:t>L’influence du traitement sur la maladie comprend également l’évaluation de la survie de l’animal, qui apporte un bénéfice thérapeutique plus concret que l’évolution tumorale.</w:t>
      </w:r>
    </w:p>
    <w:p>
      <w:pPr>
        <w:pStyle w:val="BodyText"/>
        <w:spacing w:before="10"/>
      </w:pPr>
    </w:p>
    <w:p>
      <w:pPr>
        <w:pStyle w:val="ListParagraph"/>
        <w:numPr>
          <w:ilvl w:val="1"/>
          <w:numId w:val="6"/>
        </w:numPr>
        <w:tabs>
          <w:tab w:pos="837" w:val="left" w:leader="none"/>
        </w:tabs>
        <w:spacing w:line="276" w:lineRule="auto" w:before="0" w:after="0"/>
        <w:ind w:left="836" w:right="114" w:hanging="360"/>
        <w:jc w:val="both"/>
        <w:rPr>
          <w:sz w:val="24"/>
        </w:rPr>
      </w:pPr>
      <w:r>
        <w:rPr>
          <w:b/>
          <w:sz w:val="24"/>
        </w:rPr>
        <w:t>La survie globale </w:t>
      </w:r>
      <w:r>
        <w:rPr>
          <w:sz w:val="24"/>
        </w:rPr>
        <w:t>(OS – Overall Survival) est le critère de référence. C’est la durée entre le début du traitement et le décès ou la perte de vue du patient. La </w:t>
      </w:r>
      <w:r>
        <w:rPr>
          <w:b/>
          <w:sz w:val="24"/>
        </w:rPr>
        <w:t>survie spécifique </w:t>
      </w:r>
      <w:r>
        <w:rPr>
          <w:sz w:val="24"/>
        </w:rPr>
        <w:t>est la survie globale amputée des décès non liés à la maladie</w:t>
      </w:r>
      <w:r>
        <w:rPr>
          <w:spacing w:val="-14"/>
          <w:sz w:val="24"/>
        </w:rPr>
        <w:t> </w:t>
      </w:r>
      <w:r>
        <w:rPr>
          <w:sz w:val="24"/>
        </w:rPr>
        <w:t>cancéreuse.</w:t>
      </w:r>
    </w:p>
    <w:p>
      <w:pPr>
        <w:pStyle w:val="ListParagraph"/>
        <w:numPr>
          <w:ilvl w:val="1"/>
          <w:numId w:val="6"/>
        </w:numPr>
        <w:tabs>
          <w:tab w:pos="837" w:val="left" w:leader="none"/>
        </w:tabs>
        <w:spacing w:line="278" w:lineRule="auto" w:before="1" w:after="0"/>
        <w:ind w:left="836" w:right="118" w:hanging="360"/>
        <w:jc w:val="both"/>
        <w:rPr>
          <w:sz w:val="24"/>
        </w:rPr>
      </w:pPr>
      <w:r>
        <w:rPr>
          <w:b/>
          <w:sz w:val="24"/>
        </w:rPr>
        <w:t>La survie sans récidive </w:t>
      </w:r>
      <w:r>
        <w:rPr>
          <w:sz w:val="24"/>
        </w:rPr>
        <w:t>(DFS - Disease Free Survival) est calculée à partir de l'obtention d'une rémission</w:t>
      </w:r>
      <w:r>
        <w:rPr>
          <w:spacing w:val="-7"/>
          <w:sz w:val="24"/>
        </w:rPr>
        <w:t> </w:t>
      </w:r>
      <w:r>
        <w:rPr>
          <w:sz w:val="24"/>
        </w:rPr>
        <w:t>complète.</w:t>
      </w:r>
    </w:p>
    <w:p>
      <w:pPr>
        <w:pStyle w:val="ListParagraph"/>
        <w:numPr>
          <w:ilvl w:val="1"/>
          <w:numId w:val="6"/>
        </w:numPr>
        <w:tabs>
          <w:tab w:pos="837" w:val="left" w:leader="none"/>
        </w:tabs>
        <w:spacing w:line="276" w:lineRule="auto" w:before="0" w:after="0"/>
        <w:ind w:left="836" w:right="115" w:hanging="360"/>
        <w:jc w:val="both"/>
        <w:rPr>
          <w:sz w:val="24"/>
        </w:rPr>
      </w:pPr>
      <w:r>
        <w:rPr>
          <w:b/>
          <w:sz w:val="24"/>
        </w:rPr>
        <w:t>La</w:t>
      </w:r>
      <w:r>
        <w:rPr>
          <w:b/>
          <w:spacing w:val="-7"/>
          <w:sz w:val="24"/>
        </w:rPr>
        <w:t> </w:t>
      </w:r>
      <w:r>
        <w:rPr>
          <w:b/>
          <w:sz w:val="24"/>
        </w:rPr>
        <w:t>survie</w:t>
      </w:r>
      <w:r>
        <w:rPr>
          <w:b/>
          <w:spacing w:val="-8"/>
          <w:sz w:val="24"/>
        </w:rPr>
        <w:t> </w:t>
      </w:r>
      <w:r>
        <w:rPr>
          <w:b/>
          <w:sz w:val="24"/>
        </w:rPr>
        <w:t>sans</w:t>
      </w:r>
      <w:r>
        <w:rPr>
          <w:b/>
          <w:spacing w:val="-7"/>
          <w:sz w:val="24"/>
        </w:rPr>
        <w:t> </w:t>
      </w:r>
      <w:r>
        <w:rPr>
          <w:b/>
          <w:sz w:val="24"/>
        </w:rPr>
        <w:t>progression</w:t>
      </w:r>
      <w:r>
        <w:rPr>
          <w:b/>
          <w:spacing w:val="-4"/>
          <w:sz w:val="24"/>
        </w:rPr>
        <w:t> </w:t>
      </w:r>
      <w:r>
        <w:rPr>
          <w:sz w:val="24"/>
        </w:rPr>
        <w:t>(PFS</w:t>
      </w:r>
      <w:r>
        <w:rPr>
          <w:spacing w:val="-6"/>
          <w:sz w:val="24"/>
        </w:rPr>
        <w:t> </w:t>
      </w:r>
      <w:r>
        <w:rPr>
          <w:sz w:val="24"/>
        </w:rPr>
        <w:t>-</w:t>
      </w:r>
      <w:r>
        <w:rPr>
          <w:spacing w:val="-8"/>
          <w:sz w:val="24"/>
        </w:rPr>
        <w:t> </w:t>
      </w:r>
      <w:r>
        <w:rPr>
          <w:sz w:val="24"/>
        </w:rPr>
        <w:t>Progression</w:t>
      </w:r>
      <w:r>
        <w:rPr>
          <w:spacing w:val="-5"/>
          <w:sz w:val="24"/>
        </w:rPr>
        <w:t> </w:t>
      </w:r>
      <w:r>
        <w:rPr>
          <w:sz w:val="24"/>
        </w:rPr>
        <w:t>Free</w:t>
      </w:r>
      <w:r>
        <w:rPr>
          <w:spacing w:val="-8"/>
          <w:sz w:val="24"/>
        </w:rPr>
        <w:t> </w:t>
      </w:r>
      <w:r>
        <w:rPr>
          <w:sz w:val="24"/>
        </w:rPr>
        <w:t>Survival)</w:t>
      </w:r>
      <w:r>
        <w:rPr>
          <w:spacing w:val="-1"/>
          <w:sz w:val="24"/>
        </w:rPr>
        <w:t> </w:t>
      </w:r>
      <w:r>
        <w:rPr>
          <w:sz w:val="24"/>
        </w:rPr>
        <w:t>est</w:t>
      </w:r>
      <w:r>
        <w:rPr>
          <w:spacing w:val="-7"/>
          <w:sz w:val="24"/>
        </w:rPr>
        <w:t> </w:t>
      </w:r>
      <w:r>
        <w:rPr>
          <w:sz w:val="24"/>
        </w:rPr>
        <w:t>l’intervalle</w:t>
      </w:r>
      <w:r>
        <w:rPr>
          <w:spacing w:val="-8"/>
          <w:sz w:val="24"/>
        </w:rPr>
        <w:t> </w:t>
      </w:r>
      <w:r>
        <w:rPr>
          <w:sz w:val="24"/>
        </w:rPr>
        <w:t>de</w:t>
      </w:r>
      <w:r>
        <w:rPr>
          <w:spacing w:val="-8"/>
          <w:sz w:val="24"/>
        </w:rPr>
        <w:t> </w:t>
      </w:r>
      <w:r>
        <w:rPr>
          <w:sz w:val="24"/>
        </w:rPr>
        <w:t>temps entre</w:t>
      </w:r>
      <w:r>
        <w:rPr>
          <w:spacing w:val="-7"/>
          <w:sz w:val="24"/>
        </w:rPr>
        <w:t> </w:t>
      </w:r>
      <w:r>
        <w:rPr>
          <w:sz w:val="24"/>
        </w:rPr>
        <w:t>la</w:t>
      </w:r>
      <w:r>
        <w:rPr>
          <w:spacing w:val="-7"/>
          <w:sz w:val="24"/>
        </w:rPr>
        <w:t> </w:t>
      </w:r>
      <w:r>
        <w:rPr>
          <w:sz w:val="24"/>
        </w:rPr>
        <w:t>date</w:t>
      </w:r>
      <w:r>
        <w:rPr>
          <w:spacing w:val="-7"/>
          <w:sz w:val="24"/>
        </w:rPr>
        <w:t> </w:t>
      </w:r>
      <w:r>
        <w:rPr>
          <w:sz w:val="24"/>
        </w:rPr>
        <w:t>de</w:t>
      </w:r>
      <w:r>
        <w:rPr>
          <w:spacing w:val="-7"/>
          <w:sz w:val="24"/>
        </w:rPr>
        <w:t> </w:t>
      </w:r>
      <w:r>
        <w:rPr>
          <w:sz w:val="24"/>
        </w:rPr>
        <w:t>randomisation</w:t>
      </w:r>
      <w:r>
        <w:rPr>
          <w:spacing w:val="-6"/>
          <w:sz w:val="24"/>
        </w:rPr>
        <w:t> </w:t>
      </w:r>
      <w:r>
        <w:rPr>
          <w:sz w:val="24"/>
        </w:rPr>
        <w:t>et</w:t>
      </w:r>
      <w:r>
        <w:rPr>
          <w:spacing w:val="-6"/>
          <w:sz w:val="24"/>
        </w:rPr>
        <w:t> </w:t>
      </w:r>
      <w:r>
        <w:rPr>
          <w:sz w:val="24"/>
        </w:rPr>
        <w:t>la</w:t>
      </w:r>
      <w:r>
        <w:rPr>
          <w:spacing w:val="-7"/>
          <w:sz w:val="24"/>
        </w:rPr>
        <w:t> </w:t>
      </w:r>
      <w:r>
        <w:rPr>
          <w:sz w:val="24"/>
        </w:rPr>
        <w:t>date</w:t>
      </w:r>
      <w:r>
        <w:rPr>
          <w:spacing w:val="-7"/>
          <w:sz w:val="24"/>
        </w:rPr>
        <w:t> </w:t>
      </w:r>
      <w:r>
        <w:rPr>
          <w:sz w:val="24"/>
        </w:rPr>
        <w:t>de</w:t>
      </w:r>
      <w:r>
        <w:rPr>
          <w:spacing w:val="-7"/>
          <w:sz w:val="24"/>
        </w:rPr>
        <w:t> </w:t>
      </w:r>
      <w:r>
        <w:rPr>
          <w:sz w:val="24"/>
        </w:rPr>
        <w:t>première</w:t>
      </w:r>
      <w:r>
        <w:rPr>
          <w:spacing w:val="-8"/>
          <w:sz w:val="24"/>
        </w:rPr>
        <w:t> </w:t>
      </w:r>
      <w:r>
        <w:rPr>
          <w:sz w:val="24"/>
        </w:rPr>
        <w:t>progression</w:t>
      </w:r>
      <w:r>
        <w:rPr>
          <w:spacing w:val="-6"/>
          <w:sz w:val="24"/>
        </w:rPr>
        <w:t> </w:t>
      </w:r>
      <w:r>
        <w:rPr>
          <w:sz w:val="24"/>
        </w:rPr>
        <w:t>ou</w:t>
      </w:r>
      <w:r>
        <w:rPr>
          <w:spacing w:val="-6"/>
          <w:sz w:val="24"/>
        </w:rPr>
        <w:t> </w:t>
      </w:r>
      <w:r>
        <w:rPr>
          <w:sz w:val="24"/>
        </w:rPr>
        <w:t>le</w:t>
      </w:r>
      <w:r>
        <w:rPr>
          <w:spacing w:val="-7"/>
          <w:sz w:val="24"/>
        </w:rPr>
        <w:t> </w:t>
      </w:r>
      <w:r>
        <w:rPr>
          <w:sz w:val="24"/>
        </w:rPr>
        <w:t>décès,</w:t>
      </w:r>
      <w:r>
        <w:rPr>
          <w:spacing w:val="-6"/>
          <w:sz w:val="24"/>
        </w:rPr>
        <w:t> </w:t>
      </w:r>
      <w:r>
        <w:rPr>
          <w:sz w:val="24"/>
        </w:rPr>
        <w:t>quelle</w:t>
      </w:r>
      <w:r>
        <w:rPr>
          <w:spacing w:val="-7"/>
          <w:sz w:val="24"/>
        </w:rPr>
        <w:t> </w:t>
      </w:r>
      <w:r>
        <w:rPr>
          <w:sz w:val="24"/>
        </w:rPr>
        <w:t>que soit sa</w:t>
      </w:r>
      <w:r>
        <w:rPr>
          <w:spacing w:val="-5"/>
          <w:sz w:val="24"/>
        </w:rPr>
        <w:t> </w:t>
      </w:r>
      <w:r>
        <w:rPr>
          <w:sz w:val="24"/>
        </w:rPr>
        <w:t>cause.</w:t>
      </w:r>
    </w:p>
    <w:p>
      <w:pPr>
        <w:pStyle w:val="ListParagraph"/>
        <w:numPr>
          <w:ilvl w:val="1"/>
          <w:numId w:val="6"/>
        </w:numPr>
        <w:tabs>
          <w:tab w:pos="837" w:val="left" w:leader="none"/>
        </w:tabs>
        <w:spacing w:line="273" w:lineRule="auto" w:before="5" w:after="0"/>
        <w:ind w:left="836" w:right="119" w:hanging="360"/>
        <w:jc w:val="both"/>
        <w:rPr>
          <w:sz w:val="24"/>
        </w:rPr>
      </w:pPr>
      <w:r>
        <w:rPr>
          <w:b/>
          <w:sz w:val="24"/>
        </w:rPr>
        <w:t>Le temps jusqu’à progression </w:t>
      </w:r>
      <w:r>
        <w:rPr>
          <w:sz w:val="24"/>
        </w:rPr>
        <w:t>(TTP) est l’intervalle de temps entre la date de randomisation</w:t>
      </w:r>
      <w:r>
        <w:rPr>
          <w:spacing w:val="-9"/>
          <w:sz w:val="24"/>
        </w:rPr>
        <w:t> </w:t>
      </w:r>
      <w:r>
        <w:rPr>
          <w:sz w:val="24"/>
        </w:rPr>
        <w:t>et</w:t>
      </w:r>
      <w:r>
        <w:rPr>
          <w:spacing w:val="-8"/>
          <w:sz w:val="24"/>
        </w:rPr>
        <w:t> </w:t>
      </w:r>
      <w:r>
        <w:rPr>
          <w:sz w:val="24"/>
        </w:rPr>
        <w:t>la</w:t>
      </w:r>
      <w:r>
        <w:rPr>
          <w:spacing w:val="-9"/>
          <w:sz w:val="24"/>
        </w:rPr>
        <w:t> </w:t>
      </w:r>
      <w:r>
        <w:rPr>
          <w:sz w:val="24"/>
        </w:rPr>
        <w:t>date</w:t>
      </w:r>
      <w:r>
        <w:rPr>
          <w:spacing w:val="-9"/>
          <w:sz w:val="24"/>
        </w:rPr>
        <w:t> </w:t>
      </w:r>
      <w:r>
        <w:rPr>
          <w:sz w:val="24"/>
        </w:rPr>
        <w:t>de</w:t>
      </w:r>
      <w:r>
        <w:rPr>
          <w:spacing w:val="-10"/>
          <w:sz w:val="24"/>
        </w:rPr>
        <w:t> </w:t>
      </w:r>
      <w:r>
        <w:rPr>
          <w:sz w:val="24"/>
        </w:rPr>
        <w:t>première</w:t>
      </w:r>
      <w:r>
        <w:rPr>
          <w:spacing w:val="-10"/>
          <w:sz w:val="24"/>
        </w:rPr>
        <w:t> </w:t>
      </w:r>
      <w:r>
        <w:rPr>
          <w:sz w:val="24"/>
        </w:rPr>
        <w:t>progression.</w:t>
      </w:r>
      <w:r>
        <w:rPr>
          <w:spacing w:val="-6"/>
          <w:sz w:val="24"/>
        </w:rPr>
        <w:t> </w:t>
      </w:r>
      <w:r>
        <w:rPr>
          <w:sz w:val="24"/>
        </w:rPr>
        <w:t>Les</w:t>
      </w:r>
      <w:r>
        <w:rPr>
          <w:spacing w:val="-8"/>
          <w:sz w:val="24"/>
        </w:rPr>
        <w:t> </w:t>
      </w:r>
      <w:r>
        <w:rPr>
          <w:sz w:val="24"/>
        </w:rPr>
        <w:t>patients</w:t>
      </w:r>
      <w:r>
        <w:rPr>
          <w:spacing w:val="-8"/>
          <w:sz w:val="24"/>
        </w:rPr>
        <w:t> </w:t>
      </w:r>
      <w:r>
        <w:rPr>
          <w:sz w:val="24"/>
        </w:rPr>
        <w:t>décédés</w:t>
      </w:r>
      <w:r>
        <w:rPr>
          <w:spacing w:val="-8"/>
          <w:sz w:val="24"/>
        </w:rPr>
        <w:t> </w:t>
      </w:r>
      <w:r>
        <w:rPr>
          <w:sz w:val="24"/>
        </w:rPr>
        <w:t>sans</w:t>
      </w:r>
      <w:r>
        <w:rPr>
          <w:spacing w:val="-8"/>
          <w:sz w:val="24"/>
        </w:rPr>
        <w:t> </w:t>
      </w:r>
      <w:r>
        <w:rPr>
          <w:sz w:val="24"/>
        </w:rPr>
        <w:t>progression sont censurés à la date de</w:t>
      </w:r>
      <w:r>
        <w:rPr>
          <w:spacing w:val="-7"/>
          <w:sz w:val="24"/>
        </w:rPr>
        <w:t> </w:t>
      </w:r>
      <w:r>
        <w:rPr>
          <w:sz w:val="24"/>
        </w:rPr>
        <w:t>décès.</w:t>
      </w:r>
    </w:p>
    <w:p>
      <w:pPr>
        <w:pStyle w:val="BodyText"/>
        <w:spacing w:before="10"/>
      </w:pPr>
    </w:p>
    <w:p>
      <w:pPr>
        <w:pStyle w:val="BodyText"/>
        <w:spacing w:line="276" w:lineRule="auto"/>
        <w:ind w:left="116" w:right="113" w:firstLine="707"/>
        <w:jc w:val="both"/>
      </w:pPr>
      <w:r>
        <w:rPr/>
        <w:t>Concernant ces durées de survie, le biais représenté par l’euthanasie (décision du propriétaire, influence du vétérinaire) est à prendre en compte. En médecine vétérinaire, le traitement est souvent considéré comme une approche palliative et la qualité de vie prime bien souvent sur la durée de survie.</w:t>
      </w:r>
    </w:p>
    <w:p>
      <w:pPr>
        <w:spacing w:after="0" w:line="276" w:lineRule="auto"/>
        <w:jc w:val="both"/>
        <w:sectPr>
          <w:pgSz w:w="11910" w:h="16840"/>
          <w:pgMar w:header="0" w:footer="1055" w:top="1320" w:bottom="1240" w:left="1300" w:right="1300"/>
        </w:sectPr>
      </w:pPr>
    </w:p>
    <w:p>
      <w:pPr>
        <w:pStyle w:val="Heading5"/>
        <w:numPr>
          <w:ilvl w:val="1"/>
          <w:numId w:val="30"/>
        </w:numPr>
        <w:tabs>
          <w:tab w:pos="2242" w:val="left" w:leader="none"/>
          <w:tab w:pos="2243" w:val="left" w:leader="none"/>
        </w:tabs>
        <w:spacing w:line="240" w:lineRule="auto" w:before="77" w:after="0"/>
        <w:ind w:left="2242" w:right="0" w:hanging="720"/>
        <w:jc w:val="left"/>
        <w:rPr>
          <w:i/>
        </w:rPr>
      </w:pPr>
      <w:bookmarkStart w:name="_bookmark212" w:id="370"/>
      <w:bookmarkEnd w:id="370"/>
      <w:r>
        <w:rPr>
          <w:b w:val="0"/>
          <w:i w:val="0"/>
        </w:rPr>
      </w:r>
      <w:bookmarkStart w:name="_bookmark212" w:id="371"/>
      <w:bookmarkEnd w:id="371"/>
      <w:r>
        <w:rPr>
          <w:i/>
        </w:rPr>
        <w:t>Qual</w:t>
      </w:r>
      <w:r>
        <w:rPr>
          <w:i/>
        </w:rPr>
        <w:t>ité de</w:t>
      </w:r>
      <w:r>
        <w:rPr>
          <w:i/>
          <w:spacing w:val="-4"/>
        </w:rPr>
        <w:t> </w:t>
      </w:r>
      <w:r>
        <w:rPr>
          <w:i/>
        </w:rPr>
        <w:t>vie</w:t>
      </w:r>
    </w:p>
    <w:p>
      <w:pPr>
        <w:pStyle w:val="BodyText"/>
        <w:rPr>
          <w:b/>
          <w:i/>
          <w:sz w:val="26"/>
        </w:rPr>
      </w:pPr>
    </w:p>
    <w:p>
      <w:pPr>
        <w:pStyle w:val="BodyText"/>
        <w:spacing w:line="273" w:lineRule="auto" w:before="217"/>
        <w:ind w:left="116" w:right="120" w:firstLine="707"/>
        <w:jc w:val="both"/>
      </w:pPr>
      <w:r>
        <w:rPr/>
        <w:t>La</w:t>
      </w:r>
      <w:r>
        <w:rPr>
          <w:spacing w:val="-12"/>
        </w:rPr>
        <w:t> </w:t>
      </w:r>
      <w:r>
        <w:rPr/>
        <w:t>qualité</w:t>
      </w:r>
      <w:r>
        <w:rPr>
          <w:spacing w:val="-12"/>
        </w:rPr>
        <w:t> </w:t>
      </w:r>
      <w:r>
        <w:rPr/>
        <w:t>de</w:t>
      </w:r>
      <w:r>
        <w:rPr>
          <w:spacing w:val="-14"/>
        </w:rPr>
        <w:t> </w:t>
      </w:r>
      <w:r>
        <w:rPr/>
        <w:t>vie</w:t>
      </w:r>
      <w:r>
        <w:rPr>
          <w:spacing w:val="-12"/>
        </w:rPr>
        <w:t> </w:t>
      </w:r>
      <w:r>
        <w:rPr/>
        <w:t>est</w:t>
      </w:r>
      <w:r>
        <w:rPr>
          <w:spacing w:val="-12"/>
        </w:rPr>
        <w:t> </w:t>
      </w:r>
      <w:r>
        <w:rPr/>
        <w:t>essentielle</w:t>
      </w:r>
      <w:r>
        <w:rPr>
          <w:spacing w:val="-14"/>
        </w:rPr>
        <w:t> </w:t>
      </w:r>
      <w:r>
        <w:rPr/>
        <w:t>chez</w:t>
      </w:r>
      <w:r>
        <w:rPr>
          <w:spacing w:val="-12"/>
        </w:rPr>
        <w:t> </w:t>
      </w:r>
      <w:r>
        <w:rPr/>
        <w:t>les</w:t>
      </w:r>
      <w:r>
        <w:rPr>
          <w:spacing w:val="-12"/>
        </w:rPr>
        <w:t> </w:t>
      </w:r>
      <w:r>
        <w:rPr/>
        <w:t>animaux</w:t>
      </w:r>
      <w:r>
        <w:rPr>
          <w:spacing w:val="-12"/>
        </w:rPr>
        <w:t> </w:t>
      </w:r>
      <w:r>
        <w:rPr/>
        <w:t>de</w:t>
      </w:r>
      <w:r>
        <w:rPr>
          <w:spacing w:val="-14"/>
        </w:rPr>
        <w:t> </w:t>
      </w:r>
      <w:r>
        <w:rPr/>
        <w:t>compagnie</w:t>
      </w:r>
      <w:r>
        <w:rPr>
          <w:spacing w:val="-12"/>
        </w:rPr>
        <w:t> </w:t>
      </w:r>
      <w:r>
        <w:rPr/>
        <w:t>et</w:t>
      </w:r>
      <w:r>
        <w:rPr>
          <w:spacing w:val="-13"/>
        </w:rPr>
        <w:t> </w:t>
      </w:r>
      <w:r>
        <w:rPr/>
        <w:t>est</w:t>
      </w:r>
      <w:r>
        <w:rPr>
          <w:spacing w:val="-11"/>
        </w:rPr>
        <w:t> </w:t>
      </w:r>
      <w:r>
        <w:rPr/>
        <w:t>considérée</w:t>
      </w:r>
      <w:r>
        <w:rPr>
          <w:spacing w:val="-12"/>
        </w:rPr>
        <w:t> </w:t>
      </w:r>
      <w:r>
        <w:rPr/>
        <w:t>comme le critère à prendre en compte dans la décision d’arrêt du traitement ou</w:t>
      </w:r>
      <w:r>
        <w:rPr>
          <w:spacing w:val="-18"/>
        </w:rPr>
        <w:t> </w:t>
      </w:r>
      <w:r>
        <w:rPr/>
        <w:t>d’euthanasie.</w:t>
      </w:r>
    </w:p>
    <w:p>
      <w:pPr>
        <w:pStyle w:val="BodyText"/>
        <w:spacing w:line="276" w:lineRule="auto" w:before="167"/>
        <w:ind w:left="116" w:right="111" w:firstLine="707"/>
        <w:jc w:val="both"/>
      </w:pPr>
      <w:r>
        <w:rPr/>
        <w:t>Le rôle du vétérinaire est alors de contrôler les signes cliniques, d’évaluer le temps de progression</w:t>
      </w:r>
      <w:r>
        <w:rPr>
          <w:spacing w:val="-11"/>
        </w:rPr>
        <w:t> </w:t>
      </w:r>
      <w:r>
        <w:rPr/>
        <w:t>tumorale</w:t>
      </w:r>
      <w:r>
        <w:rPr>
          <w:spacing w:val="-9"/>
        </w:rPr>
        <w:t> </w:t>
      </w:r>
      <w:r>
        <w:rPr/>
        <w:t>symptomatique,</w:t>
      </w:r>
      <w:r>
        <w:rPr>
          <w:spacing w:val="-10"/>
        </w:rPr>
        <w:t> </w:t>
      </w:r>
      <w:r>
        <w:rPr/>
        <w:t>d’estimer</w:t>
      </w:r>
      <w:r>
        <w:rPr>
          <w:spacing w:val="-12"/>
        </w:rPr>
        <w:t> </w:t>
      </w:r>
      <w:r>
        <w:rPr/>
        <w:t>la</w:t>
      </w:r>
      <w:r>
        <w:rPr>
          <w:spacing w:val="-12"/>
        </w:rPr>
        <w:t> </w:t>
      </w:r>
      <w:r>
        <w:rPr/>
        <w:t>douleur,</w:t>
      </w:r>
      <w:r>
        <w:rPr>
          <w:spacing w:val="-11"/>
        </w:rPr>
        <w:t> </w:t>
      </w:r>
      <w:r>
        <w:rPr/>
        <w:t>l’inconfort</w:t>
      </w:r>
      <w:r>
        <w:rPr>
          <w:spacing w:val="-8"/>
        </w:rPr>
        <w:t> </w:t>
      </w:r>
      <w:r>
        <w:rPr/>
        <w:t>et</w:t>
      </w:r>
      <w:r>
        <w:rPr>
          <w:spacing w:val="-11"/>
        </w:rPr>
        <w:t> </w:t>
      </w:r>
      <w:r>
        <w:rPr/>
        <w:t>la</w:t>
      </w:r>
      <w:r>
        <w:rPr>
          <w:spacing w:val="-10"/>
        </w:rPr>
        <w:t> </w:t>
      </w:r>
      <w:r>
        <w:rPr/>
        <w:t>vitalité</w:t>
      </w:r>
      <w:r>
        <w:rPr>
          <w:spacing w:val="-10"/>
        </w:rPr>
        <w:t> </w:t>
      </w:r>
      <w:r>
        <w:rPr/>
        <w:t>de</w:t>
      </w:r>
      <w:r>
        <w:rPr>
          <w:spacing w:val="-12"/>
        </w:rPr>
        <w:t> </w:t>
      </w:r>
      <w:r>
        <w:rPr/>
        <w:t>l’animal. L’utilisation de dérivés morphiniques dans la prise en charge de la douleur est à encourager et à mentionner dans les résultats. D’autres paramètres tels que la prise de nourriture, le poids, la NEC sont à prendre en compte. Certains paramètres sont subjectifs et ne doivent pas être considérés suffisants pour démontrer le bénéfice d’un traitement. Cela souligne aussi l’importance de réaliser l’étude en double aveugle. L’utilisation d’une grille d’évaluation de la qualité de vie permet une évaluation statistique correcte, et d’être exhaustif lors des contrôles cliniques.</w:t>
      </w:r>
    </w:p>
    <w:p>
      <w:pPr>
        <w:pStyle w:val="BodyText"/>
        <w:spacing w:before="162"/>
        <w:ind w:left="824"/>
      </w:pPr>
      <w:r>
        <w:rPr/>
        <w:t>Deux grilles peuvent être utilisées en association :</w:t>
      </w:r>
    </w:p>
    <w:p>
      <w:pPr>
        <w:pStyle w:val="ListParagraph"/>
        <w:numPr>
          <w:ilvl w:val="1"/>
          <w:numId w:val="6"/>
        </w:numPr>
        <w:tabs>
          <w:tab w:pos="836" w:val="left" w:leader="none"/>
          <w:tab w:pos="837" w:val="left" w:leader="none"/>
        </w:tabs>
        <w:spacing w:line="240" w:lineRule="auto" w:before="201" w:after="0"/>
        <w:ind w:left="836" w:right="0" w:hanging="360"/>
        <w:jc w:val="left"/>
        <w:rPr>
          <w:sz w:val="24"/>
        </w:rPr>
      </w:pPr>
      <w:r>
        <w:rPr>
          <w:sz w:val="24"/>
        </w:rPr>
        <w:t>Une grille permettant au clinicien d’évaluer la toxicité du traitement (annexe</w:t>
      </w:r>
      <w:r>
        <w:rPr>
          <w:spacing w:val="-13"/>
          <w:sz w:val="24"/>
        </w:rPr>
        <w:t> </w:t>
      </w:r>
      <w:r>
        <w:rPr>
          <w:sz w:val="24"/>
        </w:rPr>
        <w:t>7)</w:t>
      </w:r>
    </w:p>
    <w:p>
      <w:pPr>
        <w:pStyle w:val="ListParagraph"/>
        <w:numPr>
          <w:ilvl w:val="1"/>
          <w:numId w:val="6"/>
        </w:numPr>
        <w:tabs>
          <w:tab w:pos="836" w:val="left" w:leader="none"/>
          <w:tab w:pos="837" w:val="left" w:leader="none"/>
        </w:tabs>
        <w:spacing w:line="276" w:lineRule="auto" w:before="42" w:after="0"/>
        <w:ind w:left="836" w:right="114" w:hanging="360"/>
        <w:jc w:val="left"/>
        <w:rPr>
          <w:sz w:val="24"/>
        </w:rPr>
      </w:pPr>
      <w:r>
        <w:rPr>
          <w:sz w:val="24"/>
        </w:rPr>
        <w:t>Une grille à remplir par le propriétaire permettant d’évaluer les effets secondaires et la qualité de vie (annexe</w:t>
      </w:r>
      <w:r>
        <w:rPr>
          <w:spacing w:val="-3"/>
          <w:sz w:val="24"/>
        </w:rPr>
        <w:t> </w:t>
      </w:r>
      <w:r>
        <w:rPr>
          <w:sz w:val="24"/>
        </w:rPr>
        <w:t>8)</w:t>
      </w:r>
    </w:p>
    <w:p>
      <w:pPr>
        <w:pStyle w:val="BodyText"/>
        <w:rPr>
          <w:sz w:val="26"/>
        </w:rPr>
      </w:pPr>
    </w:p>
    <w:p>
      <w:pPr>
        <w:pStyle w:val="ListParagraph"/>
        <w:numPr>
          <w:ilvl w:val="0"/>
          <w:numId w:val="30"/>
        </w:numPr>
        <w:tabs>
          <w:tab w:pos="1043" w:val="left" w:leader="none"/>
        </w:tabs>
        <w:spacing w:line="240" w:lineRule="auto" w:before="179" w:after="0"/>
        <w:ind w:left="1042" w:right="0" w:hanging="360"/>
        <w:jc w:val="left"/>
        <w:rPr>
          <w:sz w:val="24"/>
        </w:rPr>
      </w:pPr>
      <w:bookmarkStart w:name="_bookmark213" w:id="372"/>
      <w:bookmarkEnd w:id="372"/>
      <w:r>
        <w:rPr/>
      </w:r>
      <w:bookmarkStart w:name="_bookmark213" w:id="373"/>
      <w:bookmarkEnd w:id="373"/>
      <w:r>
        <w:rPr>
          <w:sz w:val="24"/>
          <w:u w:val="single"/>
        </w:rPr>
        <w:t>S</w:t>
      </w:r>
      <w:r>
        <w:rPr>
          <w:sz w:val="24"/>
          <w:u w:val="single"/>
        </w:rPr>
        <w:t>tatistiques</w:t>
      </w:r>
    </w:p>
    <w:p>
      <w:pPr>
        <w:pStyle w:val="BodyText"/>
        <w:spacing w:before="5"/>
        <w:rPr>
          <w:sz w:val="23"/>
        </w:rPr>
      </w:pPr>
    </w:p>
    <w:p>
      <w:pPr>
        <w:pStyle w:val="BodyText"/>
        <w:spacing w:line="276" w:lineRule="auto" w:before="90"/>
        <w:ind w:left="116" w:right="112" w:firstLine="707"/>
        <w:jc w:val="both"/>
      </w:pPr>
      <w:r>
        <w:rPr/>
        <w:t>La réalisation d’un test statistique est essentielle afin de calculer la probabilité </w:t>
      </w:r>
      <w:r>
        <w:rPr>
          <w:i/>
        </w:rPr>
        <w:t>(p) </w:t>
      </w:r>
      <w:r>
        <w:rPr/>
        <w:t>que l’on aurait d’observer un résultat s’il n’y avait pas de différence entre les deux groupes. Une différence sera alors statistiquement significative seulement si la valeur de </w:t>
      </w:r>
      <w:r>
        <w:rPr>
          <w:i/>
        </w:rPr>
        <w:t>p </w:t>
      </w:r>
      <w:r>
        <w:rPr/>
        <w:t>donnée par le test est inférieure au seuil de 5%.</w:t>
      </w:r>
    </w:p>
    <w:p>
      <w:pPr>
        <w:pStyle w:val="BodyText"/>
        <w:rPr>
          <w:sz w:val="26"/>
        </w:rPr>
      </w:pPr>
    </w:p>
    <w:p>
      <w:pPr>
        <w:pStyle w:val="Heading5"/>
        <w:numPr>
          <w:ilvl w:val="1"/>
          <w:numId w:val="30"/>
        </w:numPr>
        <w:tabs>
          <w:tab w:pos="2242" w:val="left" w:leader="none"/>
          <w:tab w:pos="2243" w:val="left" w:leader="none"/>
        </w:tabs>
        <w:spacing w:line="240" w:lineRule="auto" w:before="184" w:after="0"/>
        <w:ind w:left="2242" w:right="0" w:hanging="720"/>
        <w:jc w:val="left"/>
        <w:rPr>
          <w:i/>
        </w:rPr>
      </w:pPr>
      <w:bookmarkStart w:name="_bookmark214" w:id="374"/>
      <w:bookmarkEnd w:id="374"/>
      <w:r>
        <w:rPr>
          <w:b w:val="0"/>
          <w:i w:val="0"/>
        </w:rPr>
      </w:r>
      <w:bookmarkStart w:name="_bookmark214" w:id="375"/>
      <w:bookmarkEnd w:id="375"/>
      <w:r>
        <w:rPr>
          <w:i/>
        </w:rPr>
        <w:t>E</w:t>
      </w:r>
      <w:r>
        <w:rPr>
          <w:i/>
        </w:rPr>
        <w:t>stimation du nombre d’animaux nécessaires (puissance de</w:t>
      </w:r>
      <w:r>
        <w:rPr>
          <w:i/>
          <w:spacing w:val="-24"/>
        </w:rPr>
        <w:t> </w:t>
      </w:r>
      <w:r>
        <w:rPr>
          <w:i/>
        </w:rPr>
        <w:t>l’étude)</w:t>
      </w:r>
    </w:p>
    <w:p>
      <w:pPr>
        <w:pStyle w:val="BodyText"/>
        <w:rPr>
          <w:b/>
          <w:i/>
          <w:sz w:val="26"/>
        </w:rPr>
      </w:pPr>
    </w:p>
    <w:p>
      <w:pPr>
        <w:pStyle w:val="BodyText"/>
        <w:spacing w:line="273" w:lineRule="auto" w:before="217"/>
        <w:ind w:left="116" w:right="122" w:firstLine="707"/>
        <w:jc w:val="both"/>
      </w:pPr>
      <w:r>
        <w:rPr/>
        <w:t>L’estimation a été réalisée à l’aide d’un test bilatéral disponible dans le polycopié d’interprétation des essais cliniques pour la pratique médicale (Cucherat, 2013).</w:t>
      </w:r>
    </w:p>
    <w:p>
      <w:pPr>
        <w:pStyle w:val="BodyText"/>
        <w:spacing w:line="276" w:lineRule="auto" w:before="166"/>
        <w:ind w:left="116" w:right="116" w:firstLine="707"/>
        <w:jc w:val="both"/>
      </w:pPr>
      <w:r>
        <w:rPr/>
        <w:t>Pour l’exemple de l’ostéosarcome, en faisant l'hypothèse d'une fréquence de l'évènement « décès à 1 an » de 50% sans TM (Berg et al., 1995) et de 45% avec TM, il est nécessaire d'inclure </w:t>
      </w:r>
      <w:r>
        <w:rPr>
          <w:b/>
        </w:rPr>
        <w:t>4184 patients </w:t>
      </w:r>
      <w:r>
        <w:rPr/>
        <w:t>(pour une puissance de 90% et un risque alpha de 5%) dans l’étude.</w:t>
      </w:r>
    </w:p>
    <w:p>
      <w:pPr>
        <w:pStyle w:val="BodyText"/>
        <w:spacing w:line="276" w:lineRule="auto" w:before="3"/>
        <w:ind w:left="116" w:right="114" w:firstLine="707"/>
        <w:jc w:val="both"/>
      </w:pPr>
      <w:r>
        <w:rPr/>
        <w:t>Pour l’exemple des tumeurs mammaires de grade III, en faisant l'hypothèse d'une fréquence</w:t>
      </w:r>
      <w:r>
        <w:rPr>
          <w:spacing w:val="-5"/>
        </w:rPr>
        <w:t> </w:t>
      </w:r>
      <w:r>
        <w:rPr/>
        <w:t>de</w:t>
      </w:r>
      <w:r>
        <w:rPr>
          <w:spacing w:val="-5"/>
        </w:rPr>
        <w:t> </w:t>
      </w:r>
      <w:r>
        <w:rPr/>
        <w:t>l'évènement</w:t>
      </w:r>
      <w:r>
        <w:rPr>
          <w:spacing w:val="2"/>
        </w:rPr>
        <w:t> </w:t>
      </w:r>
      <w:r>
        <w:rPr/>
        <w:t>«</w:t>
      </w:r>
      <w:r>
        <w:rPr>
          <w:spacing w:val="-7"/>
        </w:rPr>
        <w:t> </w:t>
      </w:r>
      <w:r>
        <w:rPr/>
        <w:t>décès</w:t>
      </w:r>
      <w:r>
        <w:rPr>
          <w:spacing w:val="-4"/>
        </w:rPr>
        <w:t> </w:t>
      </w:r>
      <w:r>
        <w:rPr/>
        <w:t>à</w:t>
      </w:r>
      <w:r>
        <w:rPr>
          <w:spacing w:val="-5"/>
        </w:rPr>
        <w:t> </w:t>
      </w:r>
      <w:r>
        <w:rPr/>
        <w:t>2</w:t>
      </w:r>
      <w:r>
        <w:rPr>
          <w:spacing w:val="-4"/>
        </w:rPr>
        <w:t> </w:t>
      </w:r>
      <w:r>
        <w:rPr/>
        <w:t>ans</w:t>
      </w:r>
      <w:r>
        <w:rPr>
          <w:spacing w:val="3"/>
        </w:rPr>
        <w:t> </w:t>
      </w:r>
      <w:r>
        <w:rPr/>
        <w:t>»</w:t>
      </w:r>
      <w:r>
        <w:rPr>
          <w:spacing w:val="-11"/>
        </w:rPr>
        <w:t> </w:t>
      </w:r>
      <w:r>
        <w:rPr/>
        <w:t>de</w:t>
      </w:r>
      <w:r>
        <w:rPr>
          <w:spacing w:val="-5"/>
        </w:rPr>
        <w:t> </w:t>
      </w:r>
      <w:r>
        <w:rPr/>
        <w:t>59%</w:t>
      </w:r>
      <w:r>
        <w:rPr>
          <w:spacing w:val="-2"/>
        </w:rPr>
        <w:t> </w:t>
      </w:r>
      <w:r>
        <w:rPr/>
        <w:t>(Peña</w:t>
      </w:r>
      <w:r>
        <w:rPr>
          <w:spacing w:val="-5"/>
        </w:rPr>
        <w:t> </w:t>
      </w:r>
      <w:r>
        <w:rPr/>
        <w:t>et</w:t>
      </w:r>
      <w:r>
        <w:rPr>
          <w:spacing w:val="-3"/>
        </w:rPr>
        <w:t> </w:t>
      </w:r>
      <w:r>
        <w:rPr/>
        <w:t>al.,</w:t>
      </w:r>
      <w:r>
        <w:rPr>
          <w:spacing w:val="-4"/>
        </w:rPr>
        <w:t> </w:t>
      </w:r>
      <w:r>
        <w:rPr/>
        <w:t>2013)</w:t>
      </w:r>
      <w:r>
        <w:rPr>
          <w:spacing w:val="-5"/>
        </w:rPr>
        <w:t> </w:t>
      </w:r>
      <w:r>
        <w:rPr/>
        <w:t>sans</w:t>
      </w:r>
      <w:r>
        <w:rPr>
          <w:spacing w:val="-6"/>
        </w:rPr>
        <w:t> </w:t>
      </w:r>
      <w:r>
        <w:rPr/>
        <w:t>TM</w:t>
      </w:r>
      <w:r>
        <w:rPr>
          <w:spacing w:val="-4"/>
        </w:rPr>
        <w:t> </w:t>
      </w:r>
      <w:r>
        <w:rPr/>
        <w:t>et</w:t>
      </w:r>
      <w:r>
        <w:rPr>
          <w:spacing w:val="-3"/>
        </w:rPr>
        <w:t> </w:t>
      </w:r>
      <w:r>
        <w:rPr/>
        <w:t>de</w:t>
      </w:r>
      <w:r>
        <w:rPr>
          <w:spacing w:val="-5"/>
        </w:rPr>
        <w:t> </w:t>
      </w:r>
      <w:r>
        <w:rPr/>
        <w:t>50%</w:t>
      </w:r>
      <w:r>
        <w:rPr>
          <w:spacing w:val="-5"/>
        </w:rPr>
        <w:t> </w:t>
      </w:r>
      <w:r>
        <w:rPr/>
        <w:t>avec TM,</w:t>
      </w:r>
      <w:r>
        <w:rPr>
          <w:spacing w:val="-4"/>
        </w:rPr>
        <w:t> </w:t>
      </w:r>
      <w:r>
        <w:rPr/>
        <w:t>il</w:t>
      </w:r>
      <w:r>
        <w:rPr>
          <w:spacing w:val="-3"/>
        </w:rPr>
        <w:t> </w:t>
      </w:r>
      <w:r>
        <w:rPr/>
        <w:t>est</w:t>
      </w:r>
      <w:r>
        <w:rPr>
          <w:spacing w:val="-3"/>
        </w:rPr>
        <w:t> </w:t>
      </w:r>
      <w:r>
        <w:rPr/>
        <w:t>nécessaire</w:t>
      </w:r>
      <w:r>
        <w:rPr>
          <w:spacing w:val="-3"/>
        </w:rPr>
        <w:t> </w:t>
      </w:r>
      <w:r>
        <w:rPr/>
        <w:t>d'inclure</w:t>
      </w:r>
      <w:r>
        <w:rPr>
          <w:spacing w:val="-3"/>
        </w:rPr>
        <w:t> </w:t>
      </w:r>
      <w:r>
        <w:rPr>
          <w:b/>
        </w:rPr>
        <w:t>1276</w:t>
      </w:r>
      <w:r>
        <w:rPr>
          <w:b/>
          <w:spacing w:val="-4"/>
        </w:rPr>
        <w:t> </w:t>
      </w:r>
      <w:r>
        <w:rPr>
          <w:b/>
        </w:rPr>
        <w:t>patients</w:t>
      </w:r>
      <w:r>
        <w:rPr>
          <w:b/>
          <w:spacing w:val="-4"/>
        </w:rPr>
        <w:t> </w:t>
      </w:r>
      <w:r>
        <w:rPr/>
        <w:t>(pour</w:t>
      </w:r>
      <w:r>
        <w:rPr>
          <w:spacing w:val="-5"/>
        </w:rPr>
        <w:t> </w:t>
      </w:r>
      <w:r>
        <w:rPr/>
        <w:t>une</w:t>
      </w:r>
      <w:r>
        <w:rPr>
          <w:spacing w:val="-5"/>
        </w:rPr>
        <w:t> </w:t>
      </w:r>
      <w:r>
        <w:rPr/>
        <w:t>puissance</w:t>
      </w:r>
      <w:r>
        <w:rPr>
          <w:spacing w:val="-5"/>
        </w:rPr>
        <w:t> </w:t>
      </w:r>
      <w:r>
        <w:rPr/>
        <w:t>de</w:t>
      </w:r>
      <w:r>
        <w:rPr>
          <w:spacing w:val="-5"/>
        </w:rPr>
        <w:t> </w:t>
      </w:r>
      <w:r>
        <w:rPr/>
        <w:t>90%</w:t>
      </w:r>
      <w:r>
        <w:rPr>
          <w:spacing w:val="-2"/>
        </w:rPr>
        <w:t> </w:t>
      </w:r>
      <w:r>
        <w:rPr/>
        <w:t>et</w:t>
      </w:r>
      <w:r>
        <w:rPr>
          <w:spacing w:val="-3"/>
        </w:rPr>
        <w:t> </w:t>
      </w:r>
      <w:r>
        <w:rPr/>
        <w:t>un</w:t>
      </w:r>
      <w:r>
        <w:rPr>
          <w:spacing w:val="-4"/>
        </w:rPr>
        <w:t> </w:t>
      </w:r>
      <w:r>
        <w:rPr/>
        <w:t>risque</w:t>
      </w:r>
      <w:r>
        <w:rPr>
          <w:spacing w:val="-5"/>
        </w:rPr>
        <w:t> </w:t>
      </w:r>
      <w:r>
        <w:rPr/>
        <w:t>alpha</w:t>
      </w:r>
      <w:r>
        <w:rPr>
          <w:spacing w:val="-5"/>
        </w:rPr>
        <w:t> </w:t>
      </w:r>
      <w:r>
        <w:rPr/>
        <w:t>de 5%) dans</w:t>
      </w:r>
      <w:r>
        <w:rPr>
          <w:spacing w:val="-4"/>
        </w:rPr>
        <w:t> </w:t>
      </w:r>
      <w:r>
        <w:rPr/>
        <w:t>l’étude.</w:t>
      </w:r>
    </w:p>
    <w:p>
      <w:pPr>
        <w:pStyle w:val="BodyText"/>
        <w:spacing w:line="276" w:lineRule="auto" w:before="4"/>
        <w:ind w:left="116" w:right="113" w:firstLine="707"/>
        <w:jc w:val="both"/>
      </w:pPr>
      <w:r>
        <w:rPr/>
        <w:t>Néanmoins, le critère de la réduction relative du risque aléatoire est arbitraire (la fréquence</w:t>
      </w:r>
      <w:r>
        <w:rPr>
          <w:spacing w:val="-7"/>
        </w:rPr>
        <w:t> </w:t>
      </w:r>
      <w:r>
        <w:rPr/>
        <w:t>de</w:t>
      </w:r>
      <w:r>
        <w:rPr>
          <w:spacing w:val="-7"/>
        </w:rPr>
        <w:t> </w:t>
      </w:r>
      <w:r>
        <w:rPr/>
        <w:t>l’évènement</w:t>
      </w:r>
      <w:r>
        <w:rPr>
          <w:spacing w:val="-6"/>
        </w:rPr>
        <w:t> </w:t>
      </w:r>
      <w:r>
        <w:rPr/>
        <w:t>avec</w:t>
      </w:r>
      <w:r>
        <w:rPr>
          <w:spacing w:val="-7"/>
        </w:rPr>
        <w:t> </w:t>
      </w:r>
      <w:r>
        <w:rPr/>
        <w:t>TM</w:t>
      </w:r>
      <w:r>
        <w:rPr>
          <w:spacing w:val="-6"/>
        </w:rPr>
        <w:t> </w:t>
      </w:r>
      <w:r>
        <w:rPr/>
        <w:t>n’est</w:t>
      </w:r>
      <w:r>
        <w:rPr>
          <w:spacing w:val="-6"/>
        </w:rPr>
        <w:t> </w:t>
      </w:r>
      <w:r>
        <w:rPr/>
        <w:t>pas</w:t>
      </w:r>
      <w:r>
        <w:rPr>
          <w:spacing w:val="-4"/>
        </w:rPr>
        <w:t> </w:t>
      </w:r>
      <w:r>
        <w:rPr/>
        <w:t>connue),</w:t>
      </w:r>
      <w:r>
        <w:rPr>
          <w:spacing w:val="-7"/>
        </w:rPr>
        <w:t> </w:t>
      </w:r>
      <w:r>
        <w:rPr/>
        <w:t>et</w:t>
      </w:r>
      <w:r>
        <w:rPr>
          <w:spacing w:val="-6"/>
        </w:rPr>
        <w:t> </w:t>
      </w:r>
      <w:r>
        <w:rPr/>
        <w:t>il</w:t>
      </w:r>
      <w:r>
        <w:rPr>
          <w:spacing w:val="-6"/>
        </w:rPr>
        <w:t> </w:t>
      </w:r>
      <w:r>
        <w:rPr/>
        <w:t>n’existe</w:t>
      </w:r>
      <w:r>
        <w:rPr>
          <w:spacing w:val="-7"/>
        </w:rPr>
        <w:t> </w:t>
      </w:r>
      <w:r>
        <w:rPr/>
        <w:t>aujourd’hui</w:t>
      </w:r>
      <w:r>
        <w:rPr>
          <w:spacing w:val="-7"/>
        </w:rPr>
        <w:t> </w:t>
      </w:r>
      <w:r>
        <w:rPr/>
        <w:t>pas</w:t>
      </w:r>
      <w:r>
        <w:rPr>
          <w:spacing w:val="-6"/>
        </w:rPr>
        <w:t> </w:t>
      </w:r>
      <w:r>
        <w:rPr/>
        <w:t>de</w:t>
      </w:r>
      <w:r>
        <w:rPr>
          <w:spacing w:val="-7"/>
        </w:rPr>
        <w:t> </w:t>
      </w:r>
      <w:r>
        <w:rPr/>
        <w:t>données pour le</w:t>
      </w:r>
      <w:r>
        <w:rPr>
          <w:spacing w:val="-4"/>
        </w:rPr>
        <w:t> </w:t>
      </w:r>
      <w:r>
        <w:rPr/>
        <w:t>déterminer.</w:t>
      </w:r>
    </w:p>
    <w:p>
      <w:pPr>
        <w:spacing w:after="0" w:line="276" w:lineRule="auto"/>
        <w:jc w:val="both"/>
        <w:sectPr>
          <w:pgSz w:w="11910" w:h="16840"/>
          <w:pgMar w:header="0" w:footer="1055" w:top="1320" w:bottom="1240" w:left="1300" w:right="1300"/>
        </w:sectPr>
      </w:pPr>
    </w:p>
    <w:p>
      <w:pPr>
        <w:pStyle w:val="BodyText"/>
        <w:spacing w:line="276" w:lineRule="auto" w:before="131"/>
        <w:ind w:left="116" w:right="114" w:firstLine="707"/>
        <w:jc w:val="both"/>
      </w:pPr>
      <w:r>
        <w:rPr/>
        <w:t>Nous</w:t>
      </w:r>
      <w:r>
        <w:rPr>
          <w:spacing w:val="-9"/>
        </w:rPr>
        <w:t> </w:t>
      </w:r>
      <w:r>
        <w:rPr/>
        <w:t>pouvons</w:t>
      </w:r>
      <w:r>
        <w:rPr>
          <w:spacing w:val="-8"/>
        </w:rPr>
        <w:t> </w:t>
      </w:r>
      <w:r>
        <w:rPr/>
        <w:t>alors</w:t>
      </w:r>
      <w:r>
        <w:rPr>
          <w:spacing w:val="-9"/>
        </w:rPr>
        <w:t> </w:t>
      </w:r>
      <w:r>
        <w:rPr/>
        <w:t>raisonner</w:t>
      </w:r>
      <w:r>
        <w:rPr>
          <w:spacing w:val="-9"/>
        </w:rPr>
        <w:t> </w:t>
      </w:r>
      <w:r>
        <w:rPr/>
        <w:t>par</w:t>
      </w:r>
      <w:r>
        <w:rPr>
          <w:spacing w:val="-9"/>
        </w:rPr>
        <w:t> </w:t>
      </w:r>
      <w:r>
        <w:rPr/>
        <w:t>l’absurde</w:t>
      </w:r>
      <w:r>
        <w:rPr>
          <w:spacing w:val="-10"/>
        </w:rPr>
        <w:t> </w:t>
      </w:r>
      <w:r>
        <w:rPr/>
        <w:t>en</w:t>
      </w:r>
      <w:r>
        <w:rPr>
          <w:spacing w:val="-9"/>
        </w:rPr>
        <w:t> </w:t>
      </w:r>
      <w:r>
        <w:rPr/>
        <w:t>partant</w:t>
      </w:r>
      <w:r>
        <w:rPr>
          <w:spacing w:val="-8"/>
        </w:rPr>
        <w:t> </w:t>
      </w:r>
      <w:r>
        <w:rPr/>
        <w:t>du</w:t>
      </w:r>
      <w:r>
        <w:rPr>
          <w:spacing w:val="-9"/>
        </w:rPr>
        <w:t> </w:t>
      </w:r>
      <w:r>
        <w:rPr/>
        <w:t>fait</w:t>
      </w:r>
      <w:r>
        <w:rPr>
          <w:spacing w:val="-8"/>
        </w:rPr>
        <w:t> </w:t>
      </w:r>
      <w:r>
        <w:rPr/>
        <w:t>que</w:t>
      </w:r>
      <w:r>
        <w:rPr>
          <w:spacing w:val="-10"/>
        </w:rPr>
        <w:t> </w:t>
      </w:r>
      <w:r>
        <w:rPr/>
        <w:t>les</w:t>
      </w:r>
      <w:r>
        <w:rPr>
          <w:spacing w:val="-6"/>
        </w:rPr>
        <w:t> </w:t>
      </w:r>
      <w:r>
        <w:rPr/>
        <w:t>études</w:t>
      </w:r>
      <w:r>
        <w:rPr>
          <w:spacing w:val="-6"/>
        </w:rPr>
        <w:t> </w:t>
      </w:r>
      <w:r>
        <w:rPr/>
        <w:t>vétérinaires réalisées</w:t>
      </w:r>
      <w:r>
        <w:rPr>
          <w:spacing w:val="-12"/>
        </w:rPr>
        <w:t> </w:t>
      </w:r>
      <w:r>
        <w:rPr/>
        <w:t>aujourd’hui</w:t>
      </w:r>
      <w:r>
        <w:rPr>
          <w:spacing w:val="-12"/>
        </w:rPr>
        <w:t> </w:t>
      </w:r>
      <w:r>
        <w:rPr/>
        <w:t>en</w:t>
      </w:r>
      <w:r>
        <w:rPr>
          <w:spacing w:val="-12"/>
        </w:rPr>
        <w:t> </w:t>
      </w:r>
      <w:r>
        <w:rPr/>
        <w:t>Europe</w:t>
      </w:r>
      <w:r>
        <w:rPr>
          <w:spacing w:val="-15"/>
        </w:rPr>
        <w:t> </w:t>
      </w:r>
      <w:r>
        <w:rPr/>
        <w:t>comprennent</w:t>
      </w:r>
      <w:r>
        <w:rPr>
          <w:spacing w:val="-12"/>
        </w:rPr>
        <w:t> </w:t>
      </w:r>
      <w:r>
        <w:rPr/>
        <w:t>environ</w:t>
      </w:r>
      <w:r>
        <w:rPr>
          <w:spacing w:val="-15"/>
        </w:rPr>
        <w:t> </w:t>
      </w:r>
      <w:r>
        <w:rPr/>
        <w:t>200</w:t>
      </w:r>
      <w:r>
        <w:rPr>
          <w:spacing w:val="-14"/>
        </w:rPr>
        <w:t> </w:t>
      </w:r>
      <w:r>
        <w:rPr/>
        <w:t>animaux.</w:t>
      </w:r>
      <w:r>
        <w:rPr>
          <w:spacing w:val="-14"/>
        </w:rPr>
        <w:t> </w:t>
      </w:r>
      <w:r>
        <w:rPr/>
        <w:t>Pour</w:t>
      </w:r>
      <w:r>
        <w:rPr>
          <w:spacing w:val="-15"/>
        </w:rPr>
        <w:t> </w:t>
      </w:r>
      <w:r>
        <w:rPr/>
        <w:t>les</w:t>
      </w:r>
      <w:r>
        <w:rPr>
          <w:spacing w:val="-14"/>
        </w:rPr>
        <w:t> </w:t>
      </w:r>
      <w:r>
        <w:rPr/>
        <w:t>mêmes</w:t>
      </w:r>
      <w:r>
        <w:rPr>
          <w:spacing w:val="-14"/>
        </w:rPr>
        <w:t> </w:t>
      </w:r>
      <w:r>
        <w:rPr/>
        <w:t>fréquences d’évènements, l’étude sera alors suffisamment puissante uniquement si</w:t>
      </w:r>
      <w:r>
        <w:rPr>
          <w:spacing w:val="-16"/>
        </w:rPr>
        <w:t> </w:t>
      </w:r>
      <w:r>
        <w:rPr/>
        <w:t>:</w:t>
      </w:r>
    </w:p>
    <w:p>
      <w:pPr>
        <w:pStyle w:val="ListParagraph"/>
        <w:numPr>
          <w:ilvl w:val="0"/>
          <w:numId w:val="32"/>
        </w:numPr>
        <w:tabs>
          <w:tab w:pos="1557" w:val="left" w:leader="none"/>
        </w:tabs>
        <w:spacing w:line="278" w:lineRule="auto" w:before="0" w:after="0"/>
        <w:ind w:left="1556" w:right="113" w:hanging="360"/>
        <w:jc w:val="left"/>
        <w:rPr>
          <w:sz w:val="24"/>
        </w:rPr>
      </w:pPr>
      <w:r>
        <w:rPr>
          <w:sz w:val="24"/>
        </w:rPr>
        <w:t>La fréquence de l’évènement « décès à 1 an » pour le traitement de l’OSA avec TM est de </w:t>
      </w:r>
      <w:r>
        <w:rPr>
          <w:b/>
          <w:sz w:val="24"/>
        </w:rPr>
        <w:t>28% </w:t>
      </w:r>
      <w:r>
        <w:rPr>
          <w:sz w:val="24"/>
        </w:rPr>
        <w:t>(196</w:t>
      </w:r>
      <w:r>
        <w:rPr>
          <w:spacing w:val="-3"/>
          <w:sz w:val="24"/>
        </w:rPr>
        <w:t> </w:t>
      </w:r>
      <w:r>
        <w:rPr>
          <w:sz w:val="24"/>
        </w:rPr>
        <w:t>patients).</w:t>
      </w:r>
    </w:p>
    <w:p>
      <w:pPr>
        <w:pStyle w:val="ListParagraph"/>
        <w:numPr>
          <w:ilvl w:val="0"/>
          <w:numId w:val="32"/>
        </w:numPr>
        <w:tabs>
          <w:tab w:pos="1557" w:val="left" w:leader="none"/>
        </w:tabs>
        <w:spacing w:line="276" w:lineRule="auto" w:before="0" w:after="0"/>
        <w:ind w:left="1556" w:right="114" w:hanging="360"/>
        <w:jc w:val="left"/>
        <w:rPr>
          <w:sz w:val="24"/>
        </w:rPr>
      </w:pPr>
      <w:r>
        <w:rPr>
          <w:sz w:val="24"/>
        </w:rPr>
        <w:t>La fréquence de l’évènement « décès à 2 ans » pour le traitement de la TMM avec TM est de </w:t>
      </w:r>
      <w:r>
        <w:rPr>
          <w:b/>
          <w:sz w:val="24"/>
        </w:rPr>
        <w:t>37% </w:t>
      </w:r>
      <w:r>
        <w:rPr>
          <w:sz w:val="24"/>
        </w:rPr>
        <w:t>(206</w:t>
      </w:r>
      <w:r>
        <w:rPr>
          <w:spacing w:val="-4"/>
          <w:sz w:val="24"/>
        </w:rPr>
        <w:t> </w:t>
      </w:r>
      <w:r>
        <w:rPr>
          <w:sz w:val="24"/>
        </w:rPr>
        <w:t>patients).</w:t>
      </w:r>
    </w:p>
    <w:p>
      <w:pPr>
        <w:pStyle w:val="BodyText"/>
        <w:spacing w:line="276" w:lineRule="auto" w:before="3"/>
        <w:ind w:left="116" w:right="114" w:firstLine="707"/>
        <w:jc w:val="both"/>
      </w:pPr>
      <w:r>
        <w:rPr/>
        <w:t>Cela</w:t>
      </w:r>
      <w:r>
        <w:rPr>
          <w:spacing w:val="-10"/>
        </w:rPr>
        <w:t> </w:t>
      </w:r>
      <w:r>
        <w:rPr/>
        <w:t>semble</w:t>
      </w:r>
      <w:r>
        <w:rPr>
          <w:spacing w:val="-10"/>
        </w:rPr>
        <w:t> </w:t>
      </w:r>
      <w:r>
        <w:rPr/>
        <w:t>peu</w:t>
      </w:r>
      <w:r>
        <w:rPr>
          <w:spacing w:val="-8"/>
        </w:rPr>
        <w:t> </w:t>
      </w:r>
      <w:r>
        <w:rPr/>
        <w:t>probable.</w:t>
      </w:r>
      <w:r>
        <w:rPr>
          <w:spacing w:val="-7"/>
        </w:rPr>
        <w:t> </w:t>
      </w:r>
      <w:r>
        <w:rPr/>
        <w:t>Le</w:t>
      </w:r>
      <w:r>
        <w:rPr>
          <w:spacing w:val="-8"/>
        </w:rPr>
        <w:t> </w:t>
      </w:r>
      <w:r>
        <w:rPr/>
        <w:t>grand</w:t>
      </w:r>
      <w:r>
        <w:rPr>
          <w:spacing w:val="-10"/>
        </w:rPr>
        <w:t> </w:t>
      </w:r>
      <w:r>
        <w:rPr/>
        <w:t>nombre</w:t>
      </w:r>
      <w:r>
        <w:rPr>
          <w:spacing w:val="-9"/>
        </w:rPr>
        <w:t> </w:t>
      </w:r>
      <w:r>
        <w:rPr/>
        <w:t>d’animaux</w:t>
      </w:r>
      <w:r>
        <w:rPr>
          <w:spacing w:val="-8"/>
        </w:rPr>
        <w:t> </w:t>
      </w:r>
      <w:r>
        <w:rPr/>
        <w:t>nécessaires</w:t>
      </w:r>
      <w:r>
        <w:rPr>
          <w:spacing w:val="-7"/>
        </w:rPr>
        <w:t> </w:t>
      </w:r>
      <w:r>
        <w:rPr/>
        <w:t>pour</w:t>
      </w:r>
      <w:r>
        <w:rPr>
          <w:spacing w:val="-10"/>
        </w:rPr>
        <w:t> </w:t>
      </w:r>
      <w:r>
        <w:rPr/>
        <w:t>démontrer</w:t>
      </w:r>
      <w:r>
        <w:rPr>
          <w:spacing w:val="-10"/>
        </w:rPr>
        <w:t> </w:t>
      </w:r>
      <w:r>
        <w:rPr/>
        <w:t>une réduction</w:t>
      </w:r>
      <w:r>
        <w:rPr>
          <w:spacing w:val="-14"/>
        </w:rPr>
        <w:t> </w:t>
      </w:r>
      <w:r>
        <w:rPr/>
        <w:t>relative</w:t>
      </w:r>
      <w:r>
        <w:rPr>
          <w:spacing w:val="-15"/>
        </w:rPr>
        <w:t> </w:t>
      </w:r>
      <w:r>
        <w:rPr/>
        <w:t>du</w:t>
      </w:r>
      <w:r>
        <w:rPr>
          <w:spacing w:val="-14"/>
        </w:rPr>
        <w:t> </w:t>
      </w:r>
      <w:r>
        <w:rPr/>
        <w:t>risque</w:t>
      </w:r>
      <w:r>
        <w:rPr>
          <w:spacing w:val="-15"/>
        </w:rPr>
        <w:t> </w:t>
      </w:r>
      <w:r>
        <w:rPr/>
        <w:t>aléatoire</w:t>
      </w:r>
      <w:r>
        <w:rPr>
          <w:spacing w:val="-15"/>
        </w:rPr>
        <w:t> </w:t>
      </w:r>
      <w:r>
        <w:rPr/>
        <w:t>faible</w:t>
      </w:r>
      <w:r>
        <w:rPr>
          <w:spacing w:val="-13"/>
        </w:rPr>
        <w:t> </w:t>
      </w:r>
      <w:r>
        <w:rPr/>
        <w:t>souligne</w:t>
      </w:r>
      <w:r>
        <w:rPr>
          <w:spacing w:val="-15"/>
        </w:rPr>
        <w:t> </w:t>
      </w:r>
      <w:r>
        <w:rPr/>
        <w:t>l’intérêt</w:t>
      </w:r>
      <w:r>
        <w:rPr>
          <w:spacing w:val="-14"/>
        </w:rPr>
        <w:t> </w:t>
      </w:r>
      <w:r>
        <w:rPr/>
        <w:t>de</w:t>
      </w:r>
      <w:r>
        <w:rPr>
          <w:spacing w:val="-15"/>
        </w:rPr>
        <w:t> </w:t>
      </w:r>
      <w:r>
        <w:rPr/>
        <w:t>proposer</w:t>
      </w:r>
      <w:r>
        <w:rPr>
          <w:spacing w:val="-13"/>
        </w:rPr>
        <w:t> </w:t>
      </w:r>
      <w:r>
        <w:rPr/>
        <w:t>cette</w:t>
      </w:r>
      <w:r>
        <w:rPr>
          <w:spacing w:val="-15"/>
        </w:rPr>
        <w:t> </w:t>
      </w:r>
      <w:r>
        <w:rPr/>
        <w:t>étude</w:t>
      </w:r>
      <w:r>
        <w:rPr>
          <w:spacing w:val="-15"/>
        </w:rPr>
        <w:t> </w:t>
      </w:r>
      <w:r>
        <w:rPr/>
        <w:t>dans</w:t>
      </w:r>
      <w:r>
        <w:rPr>
          <w:spacing w:val="-12"/>
        </w:rPr>
        <w:t> </w:t>
      </w:r>
      <w:r>
        <w:rPr/>
        <w:t>toutes les cliniques vétérinaires qui le souhaitent (étude multicentrique), comme sur le modèle de ce qui est réalisé aujourd’hui par le COTC (cf. Partie II, III. B.</w:t>
      </w:r>
      <w:r>
        <w:rPr>
          <w:spacing w:val="-11"/>
        </w:rPr>
        <w:t> </w:t>
      </w:r>
      <w:r>
        <w:rPr>
          <w:i/>
        </w:rPr>
        <w:t>iv</w:t>
      </w:r>
      <w:r>
        <w:rPr/>
        <w:t>.).</w:t>
      </w:r>
    </w:p>
    <w:p>
      <w:pPr>
        <w:pStyle w:val="BodyText"/>
        <w:spacing w:before="9"/>
        <w:rPr>
          <w:sz w:val="27"/>
        </w:rPr>
      </w:pPr>
    </w:p>
    <w:p>
      <w:pPr>
        <w:pStyle w:val="BodyText"/>
        <w:spacing w:line="276" w:lineRule="auto"/>
        <w:ind w:left="116" w:right="114" w:firstLine="707"/>
        <w:jc w:val="both"/>
      </w:pPr>
      <w:r>
        <w:rPr/>
        <w:t>De plus, les évènements choisis pour raisonner concernent la survie. Or, il pourrait être intéressant de raisonner par exemple avec un évènement « qualité de vie améliorée : passage d’une moyenne de qualité de vie de 3 à 2 ». Les notes de qualité de vie peuvent être attribuées à l’aide de la grille disponible en annexe 8.</w:t>
      </w:r>
    </w:p>
    <w:p>
      <w:pPr>
        <w:pStyle w:val="BodyText"/>
        <w:rPr>
          <w:sz w:val="26"/>
        </w:rPr>
      </w:pPr>
    </w:p>
    <w:p>
      <w:pPr>
        <w:pStyle w:val="Heading5"/>
        <w:numPr>
          <w:ilvl w:val="1"/>
          <w:numId w:val="30"/>
        </w:numPr>
        <w:tabs>
          <w:tab w:pos="2242" w:val="left" w:leader="none"/>
          <w:tab w:pos="2243" w:val="left" w:leader="none"/>
        </w:tabs>
        <w:spacing w:line="240" w:lineRule="auto" w:before="183" w:after="0"/>
        <w:ind w:left="2242" w:right="0" w:hanging="720"/>
        <w:jc w:val="left"/>
        <w:rPr>
          <w:i/>
        </w:rPr>
      </w:pPr>
      <w:bookmarkStart w:name="_bookmark215" w:id="376"/>
      <w:bookmarkEnd w:id="376"/>
      <w:r>
        <w:rPr>
          <w:b w:val="0"/>
          <w:i w:val="0"/>
        </w:rPr>
      </w:r>
      <w:bookmarkStart w:name="_bookmark215" w:id="377"/>
      <w:bookmarkEnd w:id="377"/>
      <w:r>
        <w:rPr>
          <w:i/>
        </w:rPr>
        <w:t>A</w:t>
      </w:r>
      <w:r>
        <w:rPr>
          <w:i/>
        </w:rPr>
        <w:t>nalyse des</w:t>
      </w:r>
      <w:r>
        <w:rPr>
          <w:i/>
          <w:spacing w:val="-3"/>
        </w:rPr>
        <w:t> </w:t>
      </w:r>
      <w:r>
        <w:rPr>
          <w:i/>
        </w:rPr>
        <w:t>résultats</w:t>
      </w:r>
    </w:p>
    <w:p>
      <w:pPr>
        <w:pStyle w:val="BodyText"/>
        <w:spacing w:before="9"/>
        <w:rPr>
          <w:b/>
          <w:i/>
          <w:sz w:val="30"/>
        </w:rPr>
      </w:pPr>
    </w:p>
    <w:p>
      <w:pPr>
        <w:pStyle w:val="BodyText"/>
        <w:spacing w:line="276" w:lineRule="auto" w:before="1"/>
        <w:ind w:left="116" w:right="112" w:firstLine="707"/>
        <w:jc w:val="both"/>
      </w:pPr>
      <w:r>
        <w:rPr/>
        <w:t>Les</w:t>
      </w:r>
      <w:r>
        <w:rPr>
          <w:spacing w:val="-9"/>
        </w:rPr>
        <w:t> </w:t>
      </w:r>
      <w:r>
        <w:rPr/>
        <w:t>courbes</w:t>
      </w:r>
      <w:r>
        <w:rPr>
          <w:spacing w:val="-9"/>
        </w:rPr>
        <w:t> </w:t>
      </w:r>
      <w:r>
        <w:rPr/>
        <w:t>de</w:t>
      </w:r>
      <w:r>
        <w:rPr>
          <w:spacing w:val="-11"/>
        </w:rPr>
        <w:t> </w:t>
      </w:r>
      <w:r>
        <w:rPr/>
        <w:t>survie</w:t>
      </w:r>
      <w:r>
        <w:rPr>
          <w:spacing w:val="-11"/>
        </w:rPr>
        <w:t> </w:t>
      </w:r>
      <w:r>
        <w:rPr/>
        <w:t>pourront</w:t>
      </w:r>
      <w:r>
        <w:rPr>
          <w:spacing w:val="-9"/>
        </w:rPr>
        <w:t> </w:t>
      </w:r>
      <w:r>
        <w:rPr/>
        <w:t>être</w:t>
      </w:r>
      <w:r>
        <w:rPr>
          <w:spacing w:val="-11"/>
        </w:rPr>
        <w:t> </w:t>
      </w:r>
      <w:r>
        <w:rPr/>
        <w:t>réalisées</w:t>
      </w:r>
      <w:r>
        <w:rPr>
          <w:spacing w:val="-9"/>
        </w:rPr>
        <w:t> </w:t>
      </w:r>
      <w:r>
        <w:rPr/>
        <w:t>avec</w:t>
      </w:r>
      <w:r>
        <w:rPr>
          <w:spacing w:val="-8"/>
        </w:rPr>
        <w:t> </w:t>
      </w:r>
      <w:r>
        <w:rPr/>
        <w:t>la</w:t>
      </w:r>
      <w:r>
        <w:rPr>
          <w:spacing w:val="-10"/>
        </w:rPr>
        <w:t> </w:t>
      </w:r>
      <w:r>
        <w:rPr/>
        <w:t>méthode</w:t>
      </w:r>
      <w:r>
        <w:rPr>
          <w:spacing w:val="-11"/>
        </w:rPr>
        <w:t> </w:t>
      </w:r>
      <w:r>
        <w:rPr/>
        <w:t>de</w:t>
      </w:r>
      <w:r>
        <w:rPr>
          <w:spacing w:val="-11"/>
        </w:rPr>
        <w:t> </w:t>
      </w:r>
      <w:r>
        <w:rPr/>
        <w:t>Kaplan</w:t>
      </w:r>
      <w:r>
        <w:rPr>
          <w:spacing w:val="-10"/>
        </w:rPr>
        <w:t> </w:t>
      </w:r>
      <w:r>
        <w:rPr/>
        <w:t>Meier,</w:t>
      </w:r>
      <w:r>
        <w:rPr>
          <w:spacing w:val="-10"/>
        </w:rPr>
        <w:t> </w:t>
      </w:r>
      <w:r>
        <w:rPr/>
        <w:t>et</w:t>
      </w:r>
      <w:r>
        <w:rPr>
          <w:spacing w:val="-9"/>
        </w:rPr>
        <w:t> </w:t>
      </w:r>
      <w:r>
        <w:rPr/>
        <w:t>le</w:t>
      </w:r>
      <w:r>
        <w:rPr>
          <w:spacing w:val="-7"/>
        </w:rPr>
        <w:t> </w:t>
      </w:r>
      <w:r>
        <w:rPr/>
        <w:t>test du log-rank permettra de comparer les 3 courbes de survie en prenant en compte toute l’information sur l’ensemble du suivi sans nécessité de faire des hypothèses sur la distribution des temps de survie (test non paramétrique). Il consiste à comparer le nombre d’événements observés au nombre d’événements attendus sous l’hypothèse nulle d’égalité de fonctions de survie des groupes. La statistique de test suit sous cette hypothèse approximativement une distribution du Chi2 à 2 degrés de</w:t>
      </w:r>
      <w:r>
        <w:rPr>
          <w:spacing w:val="-9"/>
        </w:rPr>
        <w:t> </w:t>
      </w:r>
      <w:r>
        <w:rPr/>
        <w:t>liberté.</w:t>
      </w:r>
    </w:p>
    <w:p>
      <w:pPr>
        <w:pStyle w:val="BodyText"/>
        <w:spacing w:before="2"/>
        <w:rPr>
          <w:sz w:val="31"/>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216" w:id="378"/>
      <w:bookmarkEnd w:id="378"/>
      <w:r>
        <w:rPr/>
      </w:r>
      <w:bookmarkStart w:name="_bookmark216" w:id="379"/>
      <w:bookmarkEnd w:id="379"/>
      <w:r>
        <w:rPr>
          <w:sz w:val="24"/>
          <w:u w:val="single"/>
        </w:rPr>
        <w:t>P</w:t>
      </w:r>
      <w:r>
        <w:rPr>
          <w:sz w:val="24"/>
          <w:u w:val="single"/>
        </w:rPr>
        <w:t>rocédures pour enregistrer et analyser les</w:t>
      </w:r>
      <w:r>
        <w:rPr>
          <w:spacing w:val="-12"/>
          <w:sz w:val="24"/>
          <w:u w:val="single"/>
        </w:rPr>
        <w:t> </w:t>
      </w:r>
      <w:r>
        <w:rPr>
          <w:sz w:val="24"/>
          <w:u w:val="single"/>
        </w:rPr>
        <w:t>données</w:t>
      </w:r>
    </w:p>
    <w:p>
      <w:pPr>
        <w:pStyle w:val="BodyText"/>
        <w:rPr>
          <w:sz w:val="20"/>
        </w:rPr>
      </w:pPr>
    </w:p>
    <w:p>
      <w:pPr>
        <w:pStyle w:val="BodyText"/>
        <w:spacing w:before="5"/>
        <w:rPr>
          <w:sz w:val="17"/>
        </w:rPr>
      </w:pPr>
    </w:p>
    <w:p>
      <w:pPr>
        <w:pStyle w:val="BodyText"/>
        <w:spacing w:line="273" w:lineRule="auto" w:before="90"/>
        <w:ind w:left="116" w:right="103" w:firstLine="707"/>
      </w:pPr>
      <w:r>
        <w:rPr/>
        <w:t>Il est nécessaire d’harmoniser l’enregistrement des données entre les différents centres, avec un logiciel spécifique.</w:t>
      </w:r>
    </w:p>
    <w:p>
      <w:pPr>
        <w:pStyle w:val="BodyText"/>
        <w:rPr>
          <w:sz w:val="26"/>
        </w:rPr>
      </w:pPr>
    </w:p>
    <w:p>
      <w:pPr>
        <w:pStyle w:val="BodyText"/>
        <w:spacing w:before="11"/>
        <w:rPr>
          <w:sz w:val="29"/>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217" w:id="380"/>
      <w:bookmarkEnd w:id="380"/>
      <w:r>
        <w:rPr/>
      </w:r>
      <w:bookmarkStart w:name="_bookmark217" w:id="381"/>
      <w:bookmarkEnd w:id="381"/>
      <w:r>
        <w:rPr>
          <w:sz w:val="24"/>
          <w:u w:val="single"/>
        </w:rPr>
        <w:t>E</w:t>
      </w:r>
      <w:r>
        <w:rPr>
          <w:sz w:val="24"/>
          <w:u w:val="single"/>
        </w:rPr>
        <w:t>ffets</w:t>
      </w:r>
      <w:r>
        <w:rPr>
          <w:spacing w:val="-7"/>
          <w:sz w:val="24"/>
          <w:u w:val="single"/>
        </w:rPr>
        <w:t> </w:t>
      </w:r>
      <w:r>
        <w:rPr>
          <w:sz w:val="24"/>
          <w:u w:val="single"/>
        </w:rPr>
        <w:t>secondaires</w:t>
      </w:r>
    </w:p>
    <w:p>
      <w:pPr>
        <w:pStyle w:val="BodyText"/>
        <w:rPr>
          <w:sz w:val="20"/>
        </w:rPr>
      </w:pPr>
    </w:p>
    <w:p>
      <w:pPr>
        <w:pStyle w:val="BodyText"/>
        <w:spacing w:before="2"/>
        <w:rPr>
          <w:sz w:val="17"/>
        </w:rPr>
      </w:pPr>
    </w:p>
    <w:p>
      <w:pPr>
        <w:pStyle w:val="BodyText"/>
        <w:spacing w:line="276" w:lineRule="auto" w:before="90"/>
        <w:ind w:left="116" w:right="114" w:firstLine="707"/>
        <w:jc w:val="both"/>
      </w:pPr>
      <w:r>
        <w:rPr/>
        <w:t>La</w:t>
      </w:r>
      <w:r>
        <w:rPr>
          <w:spacing w:val="-16"/>
        </w:rPr>
        <w:t> </w:t>
      </w:r>
      <w:r>
        <w:rPr/>
        <w:t>fréquence</w:t>
      </w:r>
      <w:r>
        <w:rPr>
          <w:spacing w:val="-18"/>
        </w:rPr>
        <w:t> </w:t>
      </w:r>
      <w:r>
        <w:rPr/>
        <w:t>des</w:t>
      </w:r>
      <w:r>
        <w:rPr>
          <w:spacing w:val="-17"/>
        </w:rPr>
        <w:t> </w:t>
      </w:r>
      <w:r>
        <w:rPr/>
        <w:t>contrôles</w:t>
      </w:r>
      <w:r>
        <w:rPr>
          <w:spacing w:val="-17"/>
        </w:rPr>
        <w:t> </w:t>
      </w:r>
      <w:r>
        <w:rPr/>
        <w:t>doit</w:t>
      </w:r>
      <w:r>
        <w:rPr>
          <w:spacing w:val="-16"/>
        </w:rPr>
        <w:t> </w:t>
      </w:r>
      <w:r>
        <w:rPr/>
        <w:t>être</w:t>
      </w:r>
      <w:r>
        <w:rPr>
          <w:spacing w:val="-18"/>
        </w:rPr>
        <w:t> </w:t>
      </w:r>
      <w:r>
        <w:rPr/>
        <w:t>suffisante</w:t>
      </w:r>
      <w:r>
        <w:rPr>
          <w:spacing w:val="-18"/>
        </w:rPr>
        <w:t> </w:t>
      </w:r>
      <w:r>
        <w:rPr/>
        <w:t>pour</w:t>
      </w:r>
      <w:r>
        <w:rPr>
          <w:spacing w:val="-15"/>
        </w:rPr>
        <w:t> </w:t>
      </w:r>
      <w:r>
        <w:rPr/>
        <w:t>observer</w:t>
      </w:r>
      <w:r>
        <w:rPr>
          <w:spacing w:val="-18"/>
        </w:rPr>
        <w:t> </w:t>
      </w:r>
      <w:r>
        <w:rPr/>
        <w:t>les</w:t>
      </w:r>
      <w:r>
        <w:rPr>
          <w:spacing w:val="-17"/>
        </w:rPr>
        <w:t> </w:t>
      </w:r>
      <w:r>
        <w:rPr/>
        <w:t>effets</w:t>
      </w:r>
      <w:r>
        <w:rPr>
          <w:spacing w:val="-16"/>
        </w:rPr>
        <w:t> </w:t>
      </w:r>
      <w:r>
        <w:rPr/>
        <w:t>secondaires.</w:t>
      </w:r>
      <w:r>
        <w:rPr>
          <w:spacing w:val="-17"/>
        </w:rPr>
        <w:t> </w:t>
      </w:r>
      <w:r>
        <w:rPr/>
        <w:t>C’est le cas avec l’utilisation d’un protocole de chimiothérapie qui nécessite des contrôles réguliers. Les actions appropriées pour limiter les effets secondaires doivent être définies. </w:t>
      </w:r>
      <w:r>
        <w:rPr>
          <w:spacing w:val="-3"/>
        </w:rPr>
        <w:t>Il </w:t>
      </w:r>
      <w:r>
        <w:rPr/>
        <w:t>peut s’agir, par exemple, de l’administration préventive d’antiémétiques ou de protecteurs intestinaux. Les effets secondaires doivent être enregistrés selon les recommandations en vigueur de l’Agence Européenne  des  Médicaments  (EMA)  ou  du  Groupe  d’Oncologie  Vétérinaire </w:t>
      </w:r>
      <w:r>
        <w:rPr>
          <w:spacing w:val="56"/>
        </w:rPr>
        <w:t> </w:t>
      </w:r>
      <w:r>
        <w:rPr/>
        <w:t>Comparée</w:t>
      </w:r>
    </w:p>
    <w:p>
      <w:pPr>
        <w:spacing w:after="0" w:line="276" w:lineRule="auto"/>
        <w:jc w:val="both"/>
        <w:sectPr>
          <w:pgSz w:w="11910" w:h="16840"/>
          <w:pgMar w:header="0" w:footer="1055" w:top="1580" w:bottom="1240" w:left="1300" w:right="1300"/>
        </w:sectPr>
      </w:pPr>
    </w:p>
    <w:p>
      <w:pPr>
        <w:pStyle w:val="BodyText"/>
        <w:spacing w:line="276" w:lineRule="auto" w:before="72"/>
        <w:ind w:left="116"/>
      </w:pPr>
      <w:r>
        <w:rPr/>
        <w:t>(VCOG, modèle disponible en annexe 7), et les procédures spécifiques adoptées précisées (quels types d’antiémétiques à partir de quel grade de vomissements, etc.).</w:t>
      </w:r>
    </w:p>
    <w:p>
      <w:pPr>
        <w:pStyle w:val="BodyText"/>
        <w:spacing w:before="161"/>
        <w:ind w:left="824"/>
      </w:pPr>
      <w:r>
        <w:rPr/>
        <w:t>La toxicité cumulative à long terme pourra ensuite être évaluée à l’issu de l’étude.</w:t>
      </w:r>
    </w:p>
    <w:p>
      <w:pPr>
        <w:pStyle w:val="BodyText"/>
        <w:rPr>
          <w:sz w:val="26"/>
        </w:rPr>
      </w:pPr>
    </w:p>
    <w:p>
      <w:pPr>
        <w:pStyle w:val="BodyText"/>
        <w:rPr>
          <w:sz w:val="33"/>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218" w:id="382"/>
      <w:bookmarkEnd w:id="382"/>
      <w:r>
        <w:rPr/>
      </w:r>
      <w:bookmarkStart w:name="_bookmark218" w:id="383"/>
      <w:bookmarkEnd w:id="383"/>
      <w:r>
        <w:rPr>
          <w:sz w:val="24"/>
          <w:u w:val="single"/>
        </w:rPr>
        <w:t>S</w:t>
      </w:r>
      <w:r>
        <w:rPr>
          <w:sz w:val="24"/>
          <w:u w:val="single"/>
        </w:rPr>
        <w:t>uppléments</w:t>
      </w:r>
    </w:p>
    <w:p>
      <w:pPr>
        <w:pStyle w:val="BodyText"/>
        <w:rPr>
          <w:sz w:val="20"/>
        </w:rPr>
      </w:pPr>
    </w:p>
    <w:p>
      <w:pPr>
        <w:pStyle w:val="BodyText"/>
        <w:spacing w:before="5"/>
        <w:rPr>
          <w:sz w:val="17"/>
        </w:rPr>
      </w:pPr>
    </w:p>
    <w:p>
      <w:pPr>
        <w:pStyle w:val="BodyText"/>
        <w:spacing w:line="273" w:lineRule="auto" w:before="90"/>
        <w:ind w:left="116" w:right="113" w:firstLine="707"/>
        <w:jc w:val="both"/>
      </w:pPr>
      <w:r>
        <w:rPr/>
        <w:t>Les suppléments consistent en des informations à communiquer aux propriétaires, ou des instructions pour le personnel dans l’étude (sécurité d’administration des molécules de chimiothérapie…).</w:t>
      </w:r>
    </w:p>
    <w:p>
      <w:pPr>
        <w:pStyle w:val="BodyText"/>
        <w:rPr>
          <w:sz w:val="26"/>
        </w:rPr>
      </w:pPr>
    </w:p>
    <w:p>
      <w:pPr>
        <w:pStyle w:val="BodyText"/>
        <w:spacing w:before="1"/>
        <w:rPr>
          <w:sz w:val="30"/>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219" w:id="384"/>
      <w:bookmarkEnd w:id="384"/>
      <w:r>
        <w:rPr/>
      </w:r>
      <w:bookmarkStart w:name="_bookmark219" w:id="385"/>
      <w:bookmarkEnd w:id="385"/>
      <w:r>
        <w:rPr>
          <w:sz w:val="24"/>
          <w:u w:val="single"/>
        </w:rPr>
        <w:t>C</w:t>
      </w:r>
      <w:r>
        <w:rPr>
          <w:sz w:val="24"/>
          <w:u w:val="single"/>
        </w:rPr>
        <w:t>hangements dans le</w:t>
      </w:r>
      <w:r>
        <w:rPr>
          <w:spacing w:val="-5"/>
          <w:sz w:val="24"/>
          <w:u w:val="single"/>
        </w:rPr>
        <w:t> </w:t>
      </w:r>
      <w:r>
        <w:rPr>
          <w:sz w:val="24"/>
          <w:u w:val="single"/>
        </w:rPr>
        <w:t>protocole</w:t>
      </w:r>
    </w:p>
    <w:p>
      <w:pPr>
        <w:pStyle w:val="BodyText"/>
        <w:rPr>
          <w:sz w:val="20"/>
        </w:rPr>
      </w:pPr>
    </w:p>
    <w:p>
      <w:pPr>
        <w:pStyle w:val="BodyText"/>
        <w:spacing w:before="3"/>
        <w:rPr>
          <w:sz w:val="17"/>
        </w:rPr>
      </w:pPr>
    </w:p>
    <w:p>
      <w:pPr>
        <w:pStyle w:val="BodyText"/>
        <w:spacing w:line="276" w:lineRule="auto" w:before="90"/>
        <w:ind w:left="116" w:right="117" w:firstLine="707"/>
        <w:jc w:val="both"/>
      </w:pPr>
      <w:r>
        <w:rPr/>
        <w:t>Des instructions spécifiques sont à prévoir en cas de déviation ou de changements de protocoles (exclusion de l’étude). Les effets à obtenir pour le groupe 2 doivent être au moins aussi bons que le groupe 1, les analyses de résultats préliminaires n’allant pas de ce sens pourraient conduire à l’arrêt de l’étude.</w:t>
      </w:r>
    </w:p>
    <w:p>
      <w:pPr>
        <w:pStyle w:val="BodyText"/>
        <w:rPr>
          <w:sz w:val="26"/>
        </w:rPr>
      </w:pPr>
    </w:p>
    <w:p>
      <w:pPr>
        <w:pStyle w:val="BodyText"/>
        <w:spacing w:before="7"/>
        <w:rPr>
          <w:sz w:val="29"/>
        </w:rPr>
      </w:pPr>
    </w:p>
    <w:p>
      <w:pPr>
        <w:pStyle w:val="ListParagraph"/>
        <w:numPr>
          <w:ilvl w:val="0"/>
          <w:numId w:val="30"/>
        </w:numPr>
        <w:tabs>
          <w:tab w:pos="1043" w:val="left" w:leader="none"/>
        </w:tabs>
        <w:spacing w:line="240" w:lineRule="auto" w:before="0" w:after="0"/>
        <w:ind w:left="1042" w:right="0" w:hanging="360"/>
        <w:jc w:val="left"/>
        <w:rPr>
          <w:sz w:val="24"/>
        </w:rPr>
      </w:pPr>
      <w:bookmarkStart w:name="_bookmark220" w:id="386"/>
      <w:bookmarkEnd w:id="386"/>
      <w:r>
        <w:rPr/>
      </w:r>
      <w:bookmarkStart w:name="_bookmark220" w:id="387"/>
      <w:bookmarkEnd w:id="387"/>
      <w:r>
        <w:rPr>
          <w:sz w:val="24"/>
          <w:u w:val="single"/>
        </w:rPr>
        <w:t>R</w:t>
      </w:r>
      <w:r>
        <w:rPr>
          <w:sz w:val="24"/>
          <w:u w:val="single"/>
        </w:rPr>
        <w:t>éférences</w:t>
      </w:r>
    </w:p>
    <w:p>
      <w:pPr>
        <w:pStyle w:val="BodyText"/>
        <w:rPr>
          <w:sz w:val="20"/>
        </w:rPr>
      </w:pPr>
    </w:p>
    <w:p>
      <w:pPr>
        <w:pStyle w:val="BodyText"/>
        <w:spacing w:before="5"/>
        <w:rPr>
          <w:sz w:val="17"/>
        </w:rPr>
      </w:pPr>
    </w:p>
    <w:p>
      <w:pPr>
        <w:pStyle w:val="BodyText"/>
        <w:spacing w:line="273" w:lineRule="auto" w:before="90"/>
        <w:ind w:left="116" w:firstLine="643"/>
      </w:pPr>
      <w:r>
        <w:rPr/>
        <w:t>Les références littéraires pertinentes doivent être communiquées dans le protocole d’étude (disponibles dans la bibliographie de ce travail).</w:t>
      </w:r>
    </w:p>
    <w:p>
      <w:pPr>
        <w:spacing w:after="0" w:line="273" w:lineRule="auto"/>
        <w:sectPr>
          <w:pgSz w:w="11910" w:h="16840"/>
          <w:pgMar w:header="0" w:footer="1055" w:top="1320" w:bottom="1240" w:left="1300" w:right="1300"/>
        </w:sectPr>
      </w:pPr>
    </w:p>
    <w:p>
      <w:pPr>
        <w:pStyle w:val="Heading3"/>
        <w:numPr>
          <w:ilvl w:val="1"/>
          <w:numId w:val="21"/>
        </w:numPr>
        <w:tabs>
          <w:tab w:pos="760" w:val="left" w:leader="none"/>
        </w:tabs>
        <w:spacing w:line="240" w:lineRule="auto" w:before="75" w:after="0"/>
        <w:ind w:left="759" w:right="0" w:hanging="360"/>
        <w:jc w:val="left"/>
      </w:pPr>
      <w:bookmarkStart w:name="_bookmark224" w:id="388"/>
      <w:bookmarkEnd w:id="388"/>
      <w:r>
        <w:rPr>
          <w:b w:val="0"/>
        </w:rPr>
      </w:r>
      <w:bookmarkStart w:name="_bookmark221" w:id="389"/>
      <w:bookmarkEnd w:id="389"/>
      <w:r>
        <w:rPr>
          <w:b w:val="0"/>
        </w:rPr>
      </w:r>
      <w:bookmarkStart w:name="_bookmark221" w:id="390"/>
      <w:bookmarkEnd w:id="390"/>
      <w:r>
        <w:rPr/>
        <w:t>A</w:t>
      </w:r>
      <w:r>
        <w:rPr/>
        <w:t>utres angles d’études</w:t>
      </w:r>
      <w:r>
        <w:rPr>
          <w:spacing w:val="-24"/>
        </w:rPr>
        <w:t> </w:t>
      </w:r>
      <w:r>
        <w:rPr/>
        <w:t>intéressants</w:t>
      </w:r>
    </w:p>
    <w:p>
      <w:pPr>
        <w:pStyle w:val="BodyText"/>
        <w:rPr>
          <w:b/>
          <w:sz w:val="30"/>
        </w:rPr>
      </w:pPr>
    </w:p>
    <w:p>
      <w:pPr>
        <w:pStyle w:val="BodyText"/>
        <w:spacing w:line="273" w:lineRule="auto" w:before="178"/>
        <w:ind w:left="116" w:firstLine="707"/>
      </w:pPr>
      <w:r>
        <w:rPr/>
        <w:t>Si l’étude proposée montre une efficacité de la TM en association avec la chimiothérapie, les points suivants devront être soulevés.</w:t>
      </w:r>
    </w:p>
    <w:p>
      <w:pPr>
        <w:pStyle w:val="BodyText"/>
        <w:rPr>
          <w:sz w:val="26"/>
        </w:rPr>
      </w:pPr>
    </w:p>
    <w:p>
      <w:pPr>
        <w:pStyle w:val="BodyText"/>
        <w:rPr>
          <w:sz w:val="30"/>
        </w:rPr>
      </w:pPr>
    </w:p>
    <w:p>
      <w:pPr>
        <w:pStyle w:val="ListParagraph"/>
        <w:numPr>
          <w:ilvl w:val="2"/>
          <w:numId w:val="21"/>
        </w:numPr>
        <w:tabs>
          <w:tab w:pos="1043" w:val="left" w:leader="none"/>
        </w:tabs>
        <w:spacing w:line="240" w:lineRule="auto" w:before="0" w:after="0"/>
        <w:ind w:left="1042" w:right="0" w:hanging="360"/>
        <w:jc w:val="left"/>
        <w:rPr>
          <w:sz w:val="24"/>
        </w:rPr>
      </w:pPr>
      <w:bookmarkStart w:name="_bookmark222" w:id="391"/>
      <w:bookmarkEnd w:id="391"/>
      <w:r>
        <w:rPr/>
      </w:r>
      <w:bookmarkStart w:name="_bookmark222" w:id="392"/>
      <w:bookmarkEnd w:id="392"/>
      <w:r>
        <w:rPr>
          <w:sz w:val="24"/>
          <w:u w:val="single"/>
        </w:rPr>
        <w:t>Qu</w:t>
      </w:r>
      <w:r>
        <w:rPr>
          <w:sz w:val="24"/>
          <w:u w:val="single"/>
        </w:rPr>
        <w:t>el est l’impact réel de la TM sur le métabolisme tumoral</w:t>
      </w:r>
      <w:r>
        <w:rPr>
          <w:spacing w:val="-15"/>
          <w:sz w:val="24"/>
          <w:u w:val="single"/>
        </w:rPr>
        <w:t> </w:t>
      </w:r>
      <w:r>
        <w:rPr>
          <w:sz w:val="24"/>
          <w:u w:val="single"/>
        </w:rPr>
        <w:t>?</w:t>
      </w:r>
    </w:p>
    <w:p>
      <w:pPr>
        <w:pStyle w:val="BodyText"/>
        <w:rPr>
          <w:sz w:val="20"/>
        </w:rPr>
      </w:pPr>
    </w:p>
    <w:p>
      <w:pPr>
        <w:pStyle w:val="BodyText"/>
        <w:spacing w:before="3"/>
        <w:rPr>
          <w:sz w:val="17"/>
        </w:rPr>
      </w:pPr>
    </w:p>
    <w:p>
      <w:pPr>
        <w:pStyle w:val="BodyText"/>
        <w:spacing w:line="276" w:lineRule="auto" w:before="90"/>
        <w:ind w:left="116" w:right="113" w:firstLine="707"/>
        <w:jc w:val="both"/>
      </w:pPr>
      <w:r>
        <w:rPr/>
        <w:t>Les chiens atteints de cancer ne présentent pas systématiquement une hyperlactatémie (Touret et al., 2010), donc le dosage des lactates sanguins ne pourra pas être utilisé comme moyen simple d’évaluer l’impact de la TM sur le métabolisme tumoral. Des limites similaires sont observés avec le dosage de la LDH (Marconato et al., 2009). </w:t>
      </w:r>
      <w:r>
        <w:rPr>
          <w:spacing w:val="-3"/>
        </w:rPr>
        <w:t>Il </w:t>
      </w:r>
      <w:r>
        <w:rPr/>
        <w:t>faudra donc plutôt réaliser des</w:t>
      </w:r>
      <w:r>
        <w:rPr>
          <w:spacing w:val="-6"/>
        </w:rPr>
        <w:t> </w:t>
      </w:r>
      <w:r>
        <w:rPr/>
        <w:t>biopsies</w:t>
      </w:r>
      <w:r>
        <w:rPr>
          <w:spacing w:val="-6"/>
        </w:rPr>
        <w:t> </w:t>
      </w:r>
      <w:r>
        <w:rPr/>
        <w:t>tumorales</w:t>
      </w:r>
      <w:r>
        <w:rPr>
          <w:spacing w:val="-4"/>
        </w:rPr>
        <w:t> </w:t>
      </w:r>
      <w:r>
        <w:rPr/>
        <w:t>régulières</w:t>
      </w:r>
      <w:r>
        <w:rPr>
          <w:spacing w:val="-6"/>
        </w:rPr>
        <w:t> </w:t>
      </w:r>
      <w:r>
        <w:rPr/>
        <w:t>(concept</w:t>
      </w:r>
      <w:r>
        <w:rPr>
          <w:spacing w:val="-4"/>
        </w:rPr>
        <w:t> </w:t>
      </w:r>
      <w:r>
        <w:rPr/>
        <w:t>de</w:t>
      </w:r>
      <w:r>
        <w:rPr>
          <w:spacing w:val="-7"/>
        </w:rPr>
        <w:t> </w:t>
      </w:r>
      <w:r>
        <w:rPr/>
        <w:t>médecine</w:t>
      </w:r>
      <w:r>
        <w:rPr>
          <w:spacing w:val="-7"/>
        </w:rPr>
        <w:t> </w:t>
      </w:r>
      <w:r>
        <w:rPr/>
        <w:t>de</w:t>
      </w:r>
      <w:r>
        <w:rPr>
          <w:spacing w:val="-7"/>
        </w:rPr>
        <w:t> </w:t>
      </w:r>
      <w:r>
        <w:rPr/>
        <w:t>précision,</w:t>
      </w:r>
      <w:r>
        <w:rPr>
          <w:spacing w:val="-6"/>
        </w:rPr>
        <w:t> </w:t>
      </w:r>
      <w:r>
        <w:rPr/>
        <w:t>étude</w:t>
      </w:r>
      <w:r>
        <w:rPr>
          <w:spacing w:val="-5"/>
        </w:rPr>
        <w:t> </w:t>
      </w:r>
      <w:r>
        <w:rPr/>
        <w:t>métabolomique)</w:t>
      </w:r>
      <w:r>
        <w:rPr>
          <w:spacing w:val="-7"/>
        </w:rPr>
        <w:t> </w:t>
      </w:r>
      <w:r>
        <w:rPr/>
        <w:t>en choisissant des marqueurs spécifiques. Par exemple, les marqueurs de prolifération (Ki67) et d’apoptose</w:t>
      </w:r>
      <w:r>
        <w:rPr>
          <w:spacing w:val="-18"/>
        </w:rPr>
        <w:t> </w:t>
      </w:r>
      <w:r>
        <w:rPr/>
        <w:t>(protéines</w:t>
      </w:r>
      <w:r>
        <w:rPr>
          <w:spacing w:val="-17"/>
        </w:rPr>
        <w:t> </w:t>
      </w:r>
      <w:r>
        <w:rPr/>
        <w:t>PARP</w:t>
      </w:r>
      <w:r>
        <w:rPr>
          <w:spacing w:val="-16"/>
        </w:rPr>
        <w:t> </w:t>
      </w:r>
      <w:r>
        <w:rPr/>
        <w:t>et</w:t>
      </w:r>
      <w:r>
        <w:rPr>
          <w:spacing w:val="-16"/>
        </w:rPr>
        <w:t> </w:t>
      </w:r>
      <w:r>
        <w:rPr/>
        <w:t>Mcl-1)</w:t>
      </w:r>
      <w:r>
        <w:rPr>
          <w:spacing w:val="-18"/>
        </w:rPr>
        <w:t> </w:t>
      </w:r>
      <w:r>
        <w:rPr/>
        <w:t>seraient</w:t>
      </w:r>
      <w:r>
        <w:rPr>
          <w:spacing w:val="-17"/>
        </w:rPr>
        <w:t> </w:t>
      </w:r>
      <w:r>
        <w:rPr/>
        <w:t>intéressants</w:t>
      </w:r>
      <w:r>
        <w:rPr>
          <w:spacing w:val="-17"/>
        </w:rPr>
        <w:t> </w:t>
      </w:r>
      <w:r>
        <w:rPr/>
        <w:t>à</w:t>
      </w:r>
      <w:r>
        <w:rPr>
          <w:spacing w:val="-16"/>
        </w:rPr>
        <w:t> </w:t>
      </w:r>
      <w:r>
        <w:rPr/>
        <w:t>évaluer.</w:t>
      </w:r>
      <w:r>
        <w:rPr>
          <w:spacing w:val="-15"/>
        </w:rPr>
        <w:t> </w:t>
      </w:r>
      <w:r>
        <w:rPr/>
        <w:t>La</w:t>
      </w:r>
      <w:r>
        <w:rPr>
          <w:spacing w:val="-16"/>
        </w:rPr>
        <w:t> </w:t>
      </w:r>
      <w:r>
        <w:rPr/>
        <w:t>date</w:t>
      </w:r>
      <w:r>
        <w:rPr>
          <w:spacing w:val="-18"/>
        </w:rPr>
        <w:t> </w:t>
      </w:r>
      <w:r>
        <w:rPr/>
        <w:t>d’échantillonnage et le délai avant l’analyse devront être</w:t>
      </w:r>
      <w:r>
        <w:rPr>
          <w:spacing w:val="-13"/>
        </w:rPr>
        <w:t> </w:t>
      </w:r>
      <w:r>
        <w:rPr/>
        <w:t>précisés.</w:t>
      </w:r>
    </w:p>
    <w:p>
      <w:pPr>
        <w:pStyle w:val="BodyText"/>
        <w:spacing w:line="276" w:lineRule="auto" w:before="164"/>
        <w:ind w:left="116" w:right="117" w:firstLine="707"/>
        <w:jc w:val="both"/>
      </w:pPr>
      <w:r>
        <w:rPr/>
        <w:t>La concentration de l’IGF-1 (insulin-like growth factor 1) pourrait être un marqueur intéressant</w:t>
      </w:r>
      <w:r>
        <w:rPr>
          <w:spacing w:val="-10"/>
        </w:rPr>
        <w:t> </w:t>
      </w:r>
      <w:r>
        <w:rPr/>
        <w:t>à</w:t>
      </w:r>
      <w:r>
        <w:rPr>
          <w:spacing w:val="-11"/>
        </w:rPr>
        <w:t> </w:t>
      </w:r>
      <w:r>
        <w:rPr/>
        <w:t>suivre</w:t>
      </w:r>
      <w:r>
        <w:rPr>
          <w:spacing w:val="-11"/>
        </w:rPr>
        <w:t> </w:t>
      </w:r>
      <w:r>
        <w:rPr/>
        <w:t>en</w:t>
      </w:r>
      <w:r>
        <w:rPr>
          <w:spacing w:val="-10"/>
        </w:rPr>
        <w:t> </w:t>
      </w:r>
      <w:r>
        <w:rPr/>
        <w:t>parallèle</w:t>
      </w:r>
      <w:r>
        <w:rPr>
          <w:spacing w:val="-10"/>
        </w:rPr>
        <w:t> </w:t>
      </w:r>
      <w:r>
        <w:rPr/>
        <w:t>de</w:t>
      </w:r>
      <w:r>
        <w:rPr>
          <w:spacing w:val="-11"/>
        </w:rPr>
        <w:t> </w:t>
      </w:r>
      <w:r>
        <w:rPr/>
        <w:t>la</w:t>
      </w:r>
      <w:r>
        <w:rPr>
          <w:spacing w:val="-10"/>
        </w:rPr>
        <w:t> </w:t>
      </w:r>
      <w:r>
        <w:rPr/>
        <w:t>thérapie</w:t>
      </w:r>
      <w:r>
        <w:rPr>
          <w:spacing w:val="-10"/>
        </w:rPr>
        <w:t> </w:t>
      </w:r>
      <w:r>
        <w:rPr/>
        <w:t>métabolique.</w:t>
      </w:r>
      <w:r>
        <w:rPr>
          <w:spacing w:val="-10"/>
        </w:rPr>
        <w:t> </w:t>
      </w:r>
      <w:r>
        <w:rPr/>
        <w:t>Une</w:t>
      </w:r>
      <w:r>
        <w:rPr>
          <w:spacing w:val="-11"/>
        </w:rPr>
        <w:t> </w:t>
      </w:r>
      <w:r>
        <w:rPr/>
        <w:t>étude</w:t>
      </w:r>
      <w:r>
        <w:rPr>
          <w:spacing w:val="-10"/>
        </w:rPr>
        <w:t> </w:t>
      </w:r>
      <w:r>
        <w:rPr/>
        <w:t>est</w:t>
      </w:r>
      <w:r>
        <w:rPr>
          <w:spacing w:val="-9"/>
        </w:rPr>
        <w:t> </w:t>
      </w:r>
      <w:r>
        <w:rPr/>
        <w:t>actuellement</w:t>
      </w:r>
      <w:r>
        <w:rPr>
          <w:spacing w:val="-9"/>
        </w:rPr>
        <w:t> </w:t>
      </w:r>
      <w:r>
        <w:rPr/>
        <w:t>en</w:t>
      </w:r>
      <w:r>
        <w:rPr>
          <w:spacing w:val="-10"/>
        </w:rPr>
        <w:t> </w:t>
      </w:r>
      <w:r>
        <w:rPr/>
        <w:t>cours sur des chiens traités pour un lymphome (thérapie conventionnelle) à l’université de Tufts afin de déterminer s’il y a une différence avec des chiens sains. </w:t>
      </w:r>
      <w:r>
        <w:rPr>
          <w:spacing w:val="-3"/>
        </w:rPr>
        <w:t>Il </w:t>
      </w:r>
      <w:r>
        <w:rPr/>
        <w:t>faudra prendre en compte que le format du chien influence le dosage de l’IGF-1 (Eigenmann et al.,</w:t>
      </w:r>
      <w:r>
        <w:rPr>
          <w:spacing w:val="-9"/>
        </w:rPr>
        <w:t> </w:t>
      </w:r>
      <w:r>
        <w:rPr/>
        <w:t>1984).</w:t>
      </w:r>
    </w:p>
    <w:p>
      <w:pPr>
        <w:pStyle w:val="BodyText"/>
        <w:spacing w:line="273" w:lineRule="auto" w:before="164"/>
        <w:ind w:left="116" w:right="115" w:firstLine="707"/>
        <w:jc w:val="both"/>
      </w:pPr>
      <w:r>
        <w:rPr/>
        <w:t>Un suivi du développement tumoral avec la technique du PET-Scan permettra également de préciser l’impact de la TM sur le métabolisme du glucose.</w:t>
      </w:r>
    </w:p>
    <w:p>
      <w:pPr>
        <w:pStyle w:val="BodyText"/>
        <w:rPr>
          <w:sz w:val="26"/>
        </w:rPr>
      </w:pPr>
    </w:p>
    <w:p>
      <w:pPr>
        <w:pStyle w:val="ListParagraph"/>
        <w:numPr>
          <w:ilvl w:val="2"/>
          <w:numId w:val="21"/>
        </w:numPr>
        <w:tabs>
          <w:tab w:pos="1043" w:val="left" w:leader="none"/>
        </w:tabs>
        <w:spacing w:line="240" w:lineRule="auto" w:before="187" w:after="0"/>
        <w:ind w:left="1042" w:right="0" w:hanging="360"/>
        <w:jc w:val="left"/>
        <w:rPr>
          <w:sz w:val="24"/>
        </w:rPr>
      </w:pPr>
      <w:bookmarkStart w:name="_bookmark223" w:id="393"/>
      <w:bookmarkEnd w:id="393"/>
      <w:r>
        <w:rPr/>
      </w:r>
      <w:bookmarkStart w:name="_bookmark223" w:id="394"/>
      <w:bookmarkEnd w:id="394"/>
      <w:r>
        <w:rPr>
          <w:sz w:val="24"/>
          <w:u w:val="single"/>
        </w:rPr>
        <w:t>S</w:t>
      </w:r>
      <w:r>
        <w:rPr>
          <w:sz w:val="24"/>
          <w:u w:val="single"/>
        </w:rPr>
        <w:t>ur quels mécanismes agit la TM en association avec la chimiothérapie</w:t>
      </w:r>
      <w:r>
        <w:rPr>
          <w:spacing w:val="-10"/>
          <w:sz w:val="24"/>
          <w:u w:val="single"/>
        </w:rPr>
        <w:t> </w:t>
      </w:r>
      <w:r>
        <w:rPr>
          <w:sz w:val="24"/>
          <w:u w:val="single"/>
        </w:rPr>
        <w:t>?</w:t>
      </w:r>
    </w:p>
    <w:p>
      <w:pPr>
        <w:pStyle w:val="BodyText"/>
        <w:rPr>
          <w:sz w:val="20"/>
        </w:rPr>
      </w:pPr>
    </w:p>
    <w:p>
      <w:pPr>
        <w:pStyle w:val="BodyText"/>
        <w:spacing w:before="3"/>
        <w:rPr>
          <w:sz w:val="17"/>
        </w:rPr>
      </w:pPr>
    </w:p>
    <w:p>
      <w:pPr>
        <w:pStyle w:val="BodyText"/>
        <w:spacing w:line="276" w:lineRule="auto" w:before="90"/>
        <w:ind w:left="116" w:right="114" w:firstLine="707"/>
        <w:jc w:val="both"/>
      </w:pPr>
      <w:r>
        <w:rPr/>
        <w:t>Est-ce une action propre sur des mécanismes différents ? Existe-t-il une synergie éventuelle</w:t>
      </w:r>
      <w:r>
        <w:rPr>
          <w:spacing w:val="-3"/>
        </w:rPr>
        <w:t> </w:t>
      </w:r>
      <w:r>
        <w:rPr/>
        <w:t>?</w:t>
      </w:r>
      <w:r>
        <w:rPr>
          <w:spacing w:val="-6"/>
        </w:rPr>
        <w:t> </w:t>
      </w:r>
      <w:r>
        <w:rPr/>
        <w:t>La</w:t>
      </w:r>
      <w:r>
        <w:rPr>
          <w:spacing w:val="-11"/>
        </w:rPr>
        <w:t> </w:t>
      </w:r>
      <w:r>
        <w:rPr/>
        <w:t>TM</w:t>
      </w:r>
      <w:r>
        <w:rPr>
          <w:spacing w:val="-10"/>
        </w:rPr>
        <w:t> </w:t>
      </w:r>
      <w:r>
        <w:rPr/>
        <w:t>permettrait-elle</w:t>
      </w:r>
      <w:r>
        <w:rPr>
          <w:spacing w:val="-11"/>
        </w:rPr>
        <w:t> </w:t>
      </w:r>
      <w:r>
        <w:rPr/>
        <w:t>de</w:t>
      </w:r>
      <w:r>
        <w:rPr>
          <w:spacing w:val="-11"/>
        </w:rPr>
        <w:t> </w:t>
      </w:r>
      <w:r>
        <w:rPr/>
        <w:t>diminuer</w:t>
      </w:r>
      <w:r>
        <w:rPr>
          <w:spacing w:val="-11"/>
        </w:rPr>
        <w:t> </w:t>
      </w:r>
      <w:r>
        <w:rPr/>
        <w:t>par</w:t>
      </w:r>
      <w:r>
        <w:rPr>
          <w:spacing w:val="-10"/>
        </w:rPr>
        <w:t> </w:t>
      </w:r>
      <w:r>
        <w:rPr/>
        <w:t>exemple</w:t>
      </w:r>
      <w:r>
        <w:rPr>
          <w:spacing w:val="-11"/>
        </w:rPr>
        <w:t> </w:t>
      </w:r>
      <w:r>
        <w:rPr/>
        <w:t>la</w:t>
      </w:r>
      <w:r>
        <w:rPr>
          <w:spacing w:val="-10"/>
        </w:rPr>
        <w:t> </w:t>
      </w:r>
      <w:r>
        <w:rPr/>
        <w:t>chimiorésistance ?</w:t>
      </w:r>
      <w:r>
        <w:rPr>
          <w:spacing w:val="-6"/>
        </w:rPr>
        <w:t> </w:t>
      </w:r>
      <w:r>
        <w:rPr/>
        <w:t>En</w:t>
      </w:r>
      <w:r>
        <w:rPr>
          <w:spacing w:val="-10"/>
        </w:rPr>
        <w:t> </w:t>
      </w:r>
      <w:r>
        <w:rPr/>
        <w:t>effet,</w:t>
      </w:r>
      <w:r>
        <w:rPr>
          <w:spacing w:val="-10"/>
        </w:rPr>
        <w:t> </w:t>
      </w:r>
      <w:r>
        <w:rPr/>
        <w:t>les phénomènes de résistance à la chimiothérapie conventionnelle se retrouvent également en médecine vétérinaire. Entres autres, des transporteurs cellulaires permettant l’efflux des drogues de chimiothérapie hors des cellules cancéreuses devront être étudiés, comme la glycoprotéine P (codée par le gène MDR1), la BCRP (Breast cancer resistance protein) et la LRP (Lung resistance</w:t>
      </w:r>
      <w:r>
        <w:rPr>
          <w:spacing w:val="-10"/>
        </w:rPr>
        <w:t> </w:t>
      </w:r>
      <w:r>
        <w:rPr/>
        <w:t>protein).</w:t>
      </w:r>
    </w:p>
    <w:p>
      <w:pPr>
        <w:spacing w:after="0" w:line="276" w:lineRule="auto"/>
        <w:jc w:val="both"/>
        <w:sectPr>
          <w:pgSz w:w="11910" w:h="16840"/>
          <w:pgMar w:header="0" w:footer="1055" w:top="1320" w:bottom="1240" w:left="1300" w:right="1300"/>
        </w:sectPr>
      </w:pPr>
    </w:p>
    <w:p>
      <w:pPr>
        <w:pStyle w:val="ListParagraph"/>
        <w:numPr>
          <w:ilvl w:val="2"/>
          <w:numId w:val="21"/>
        </w:numPr>
        <w:tabs>
          <w:tab w:pos="1043" w:val="left" w:leader="none"/>
        </w:tabs>
        <w:spacing w:line="240" w:lineRule="auto" w:before="72" w:after="0"/>
        <w:ind w:left="1042" w:right="0" w:hanging="360"/>
        <w:jc w:val="left"/>
        <w:rPr>
          <w:sz w:val="24"/>
        </w:rPr>
      </w:pPr>
      <w:r>
        <w:rPr>
          <w:sz w:val="24"/>
          <w:u w:val="single"/>
        </w:rPr>
        <w:t>Quelle est l’efficacité de la</w:t>
      </w:r>
      <w:r>
        <w:rPr>
          <w:spacing w:val="-13"/>
          <w:sz w:val="24"/>
          <w:u w:val="single"/>
        </w:rPr>
        <w:t> </w:t>
      </w:r>
      <w:r>
        <w:rPr>
          <w:sz w:val="24"/>
          <w:u w:val="single"/>
        </w:rPr>
        <w:t>TM…</w:t>
      </w:r>
    </w:p>
    <w:p>
      <w:pPr>
        <w:pStyle w:val="BodyText"/>
        <w:rPr>
          <w:sz w:val="20"/>
        </w:rPr>
      </w:pPr>
    </w:p>
    <w:p>
      <w:pPr>
        <w:pStyle w:val="BodyText"/>
        <w:spacing w:before="10"/>
        <w:rPr>
          <w:sz w:val="17"/>
        </w:rPr>
      </w:pPr>
    </w:p>
    <w:p>
      <w:pPr>
        <w:pStyle w:val="Heading5"/>
        <w:numPr>
          <w:ilvl w:val="3"/>
          <w:numId w:val="21"/>
        </w:numPr>
        <w:tabs>
          <w:tab w:pos="2242" w:val="left" w:leader="none"/>
          <w:tab w:pos="2243" w:val="left" w:leader="none"/>
        </w:tabs>
        <w:spacing w:line="240" w:lineRule="auto" w:before="90" w:after="0"/>
        <w:ind w:left="2242" w:right="0" w:hanging="720"/>
        <w:jc w:val="left"/>
        <w:rPr>
          <w:i/>
        </w:rPr>
      </w:pPr>
      <w:bookmarkStart w:name="_bookmark225" w:id="395"/>
      <w:bookmarkEnd w:id="395"/>
      <w:r>
        <w:rPr>
          <w:b w:val="0"/>
          <w:i w:val="0"/>
        </w:rPr>
      </w:r>
      <w:bookmarkStart w:name="_bookmark225" w:id="396"/>
      <w:bookmarkEnd w:id="396"/>
      <w:r>
        <w:rPr>
          <w:i/>
        </w:rPr>
        <w:t>…</w:t>
      </w:r>
      <w:r>
        <w:rPr>
          <w:i/>
        </w:rPr>
        <w:t> en association avec la radiothérapie</w:t>
      </w:r>
      <w:r>
        <w:rPr>
          <w:i/>
          <w:spacing w:val="-8"/>
        </w:rPr>
        <w:t> </w:t>
      </w:r>
      <w:r>
        <w:rPr>
          <w:i/>
        </w:rPr>
        <w:t>?</w:t>
      </w:r>
    </w:p>
    <w:p>
      <w:pPr>
        <w:pStyle w:val="BodyText"/>
        <w:rPr>
          <w:b/>
          <w:i/>
          <w:sz w:val="26"/>
        </w:rPr>
      </w:pPr>
    </w:p>
    <w:p>
      <w:pPr>
        <w:pStyle w:val="BodyText"/>
        <w:spacing w:line="273" w:lineRule="auto" w:before="215"/>
        <w:ind w:left="116" w:right="115" w:firstLine="707"/>
        <w:jc w:val="both"/>
      </w:pPr>
      <w:r>
        <w:rPr/>
        <w:t>Les données </w:t>
      </w:r>
      <w:r>
        <w:rPr>
          <w:i/>
        </w:rPr>
        <w:t>in vitro</w:t>
      </w:r>
      <w:r>
        <w:rPr/>
        <w:t>, </w:t>
      </w:r>
      <w:r>
        <w:rPr>
          <w:i/>
        </w:rPr>
        <w:t>in vivo</w:t>
      </w:r>
      <w:r>
        <w:rPr/>
        <w:t>, ainsi que certains essais cliniques en médecine humaine suggèrent également une efficacité de la TM en association avec la radiothérapie (cf. Tableau 3).</w:t>
      </w:r>
    </w:p>
    <w:p>
      <w:pPr>
        <w:pStyle w:val="BodyText"/>
        <w:rPr>
          <w:sz w:val="26"/>
        </w:rPr>
      </w:pPr>
    </w:p>
    <w:p>
      <w:pPr>
        <w:pStyle w:val="BodyText"/>
        <w:spacing w:before="5"/>
        <w:rPr>
          <w:sz w:val="30"/>
        </w:rPr>
      </w:pPr>
    </w:p>
    <w:p>
      <w:pPr>
        <w:pStyle w:val="Heading5"/>
        <w:numPr>
          <w:ilvl w:val="3"/>
          <w:numId w:val="21"/>
        </w:numPr>
        <w:tabs>
          <w:tab w:pos="2242" w:val="left" w:leader="none"/>
          <w:tab w:pos="2243" w:val="left" w:leader="none"/>
        </w:tabs>
        <w:spacing w:line="276" w:lineRule="auto" w:before="0" w:after="0"/>
        <w:ind w:left="2242" w:right="118" w:hanging="720"/>
        <w:jc w:val="left"/>
      </w:pPr>
      <w:bookmarkStart w:name="_bookmark226" w:id="397"/>
      <w:bookmarkEnd w:id="397"/>
      <w:r>
        <w:rPr>
          <w:b w:val="0"/>
          <w:i w:val="0"/>
        </w:rPr>
      </w:r>
      <w:bookmarkStart w:name="_bookmark226" w:id="398"/>
      <w:bookmarkEnd w:id="398"/>
      <w:r>
        <w:rPr>
          <w:i/>
        </w:rPr>
        <w:t>…</w:t>
      </w:r>
      <w:r>
        <w:rPr>
          <w:i/>
        </w:rPr>
        <w:t> en association avec une dose plus faible de chimiothérapie que les </w:t>
      </w:r>
      <w:r>
        <w:rPr/>
        <w:t>doses de références</w:t>
      </w:r>
      <w:r>
        <w:rPr>
          <w:spacing w:val="-6"/>
        </w:rPr>
        <w:t> </w:t>
      </w:r>
      <w:r>
        <w:rPr/>
        <w:t>?</w:t>
      </w:r>
    </w:p>
    <w:p>
      <w:pPr>
        <w:pStyle w:val="BodyText"/>
        <w:rPr>
          <w:b/>
          <w:i/>
          <w:sz w:val="26"/>
        </w:rPr>
      </w:pPr>
    </w:p>
    <w:p>
      <w:pPr>
        <w:pStyle w:val="BodyText"/>
        <w:spacing w:line="276" w:lineRule="auto" w:before="174"/>
        <w:ind w:left="116" w:right="122" w:firstLine="707"/>
        <w:jc w:val="both"/>
      </w:pPr>
      <w:r>
        <w:rPr/>
        <w:t>Cette étude aurait pour objectif de diminuer les effets secondaires de la chimiothérapie conventionnelle (réduction des doses).</w:t>
      </w:r>
    </w:p>
    <w:p>
      <w:pPr>
        <w:pStyle w:val="BodyText"/>
        <w:rPr>
          <w:sz w:val="26"/>
        </w:rPr>
      </w:pPr>
    </w:p>
    <w:p>
      <w:pPr>
        <w:pStyle w:val="BodyText"/>
        <w:spacing w:before="11"/>
        <w:rPr>
          <w:sz w:val="29"/>
        </w:rPr>
      </w:pPr>
    </w:p>
    <w:p>
      <w:pPr>
        <w:pStyle w:val="Heading5"/>
        <w:numPr>
          <w:ilvl w:val="3"/>
          <w:numId w:val="21"/>
        </w:numPr>
        <w:tabs>
          <w:tab w:pos="2242" w:val="left" w:leader="none"/>
          <w:tab w:pos="2243" w:val="left" w:leader="none"/>
        </w:tabs>
        <w:spacing w:line="240" w:lineRule="auto" w:before="0" w:after="0"/>
        <w:ind w:left="2242" w:right="0" w:hanging="720"/>
        <w:jc w:val="left"/>
        <w:rPr>
          <w:i/>
        </w:rPr>
      </w:pPr>
      <w:bookmarkStart w:name="_bookmark227" w:id="399"/>
      <w:bookmarkEnd w:id="399"/>
      <w:r>
        <w:rPr>
          <w:b w:val="0"/>
          <w:i w:val="0"/>
        </w:rPr>
      </w:r>
      <w:bookmarkStart w:name="_bookmark227" w:id="400"/>
      <w:bookmarkEnd w:id="400"/>
      <w:r>
        <w:rPr>
          <w:i/>
        </w:rPr>
        <w:t>…</w:t>
      </w:r>
      <w:r>
        <w:rPr>
          <w:i/>
        </w:rPr>
        <w:t> utilisée seule</w:t>
      </w:r>
      <w:r>
        <w:rPr>
          <w:i/>
          <w:spacing w:val="-4"/>
        </w:rPr>
        <w:t> </w:t>
      </w:r>
      <w:r>
        <w:rPr>
          <w:i/>
        </w:rPr>
        <w:t>?</w:t>
      </w:r>
    </w:p>
    <w:p>
      <w:pPr>
        <w:pStyle w:val="BodyText"/>
        <w:rPr>
          <w:b/>
          <w:i/>
          <w:sz w:val="26"/>
        </w:rPr>
      </w:pPr>
    </w:p>
    <w:p>
      <w:pPr>
        <w:pStyle w:val="BodyText"/>
        <w:spacing w:line="276" w:lineRule="auto" w:before="216"/>
        <w:ind w:left="116" w:right="117" w:firstLine="767"/>
        <w:jc w:val="both"/>
      </w:pPr>
      <w:r>
        <w:rPr/>
        <w:t>En effet, les propriétaires ne souhaitant pas réaliser de chimiothérapie ne peuvent pas participer à l’étude proposée. Une étude de ce type ne pourra pas être randomisée car le critère de décision des propriétaires conditionnera l’attribution dans un groupe ou l’autre. Il apparaît en effet peu éthique de proposer un groupe ne recevant qu’un traitement placebo.</w:t>
      </w:r>
    </w:p>
    <w:p>
      <w:pPr>
        <w:pStyle w:val="BodyText"/>
        <w:rPr>
          <w:sz w:val="26"/>
        </w:rPr>
      </w:pPr>
    </w:p>
    <w:p>
      <w:pPr>
        <w:pStyle w:val="BodyText"/>
        <w:spacing w:before="1"/>
        <w:rPr>
          <w:sz w:val="30"/>
        </w:rPr>
      </w:pPr>
    </w:p>
    <w:p>
      <w:pPr>
        <w:pStyle w:val="Heading5"/>
        <w:numPr>
          <w:ilvl w:val="3"/>
          <w:numId w:val="21"/>
        </w:numPr>
        <w:tabs>
          <w:tab w:pos="2242" w:val="left" w:leader="none"/>
          <w:tab w:pos="2243" w:val="left" w:leader="none"/>
        </w:tabs>
        <w:spacing w:line="240" w:lineRule="auto" w:before="1" w:after="0"/>
        <w:ind w:left="2242" w:right="0" w:hanging="720"/>
        <w:jc w:val="left"/>
        <w:rPr>
          <w:i/>
        </w:rPr>
      </w:pPr>
      <w:bookmarkStart w:name="_bookmark228" w:id="401"/>
      <w:bookmarkEnd w:id="401"/>
      <w:r>
        <w:rPr>
          <w:b w:val="0"/>
          <w:i w:val="0"/>
        </w:rPr>
      </w:r>
      <w:bookmarkStart w:name="_bookmark228" w:id="402"/>
      <w:bookmarkEnd w:id="402"/>
      <w:r>
        <w:rPr>
          <w:i/>
        </w:rPr>
        <w:t>…</w:t>
      </w:r>
      <w:r>
        <w:rPr>
          <w:i/>
        </w:rPr>
        <w:t> en association avec la diète cétogène</w:t>
      </w:r>
      <w:r>
        <w:rPr>
          <w:i/>
          <w:spacing w:val="-8"/>
        </w:rPr>
        <w:t> </w:t>
      </w:r>
      <w:r>
        <w:rPr>
          <w:i/>
        </w:rPr>
        <w:t>?</w:t>
      </w:r>
    </w:p>
    <w:p>
      <w:pPr>
        <w:pStyle w:val="BodyText"/>
        <w:spacing w:before="10"/>
        <w:rPr>
          <w:b/>
          <w:i/>
          <w:sz w:val="30"/>
        </w:rPr>
      </w:pPr>
    </w:p>
    <w:p>
      <w:pPr>
        <w:pStyle w:val="BodyText"/>
        <w:spacing w:line="276" w:lineRule="auto"/>
        <w:ind w:left="116" w:right="119" w:firstLine="707"/>
        <w:jc w:val="both"/>
      </w:pPr>
      <w:r>
        <w:rPr/>
        <w:t>L’intérêt de la diète cétogène dans la prévention et la lutte contre le cancer sont développés dans l’ouvrage de Seyfried (2013). Les corps cétoniques (béta hydroxybutyrate et acétoacétate) sont alors un carburant alternatif lorsque la glycémie est basse et sont incapables de</w:t>
      </w:r>
      <w:r>
        <w:rPr>
          <w:spacing w:val="-8"/>
        </w:rPr>
        <w:t> </w:t>
      </w:r>
      <w:r>
        <w:rPr/>
        <w:t>maintenir</w:t>
      </w:r>
      <w:r>
        <w:rPr>
          <w:spacing w:val="-8"/>
        </w:rPr>
        <w:t> </w:t>
      </w:r>
      <w:r>
        <w:rPr/>
        <w:t>en</w:t>
      </w:r>
      <w:r>
        <w:rPr>
          <w:spacing w:val="-7"/>
        </w:rPr>
        <w:t> </w:t>
      </w:r>
      <w:r>
        <w:rPr/>
        <w:t>vie</w:t>
      </w:r>
      <w:r>
        <w:rPr>
          <w:spacing w:val="-8"/>
        </w:rPr>
        <w:t> </w:t>
      </w:r>
      <w:r>
        <w:rPr/>
        <w:t>une</w:t>
      </w:r>
      <w:r>
        <w:rPr>
          <w:spacing w:val="-8"/>
        </w:rPr>
        <w:t> </w:t>
      </w:r>
      <w:r>
        <w:rPr/>
        <w:t>cellule</w:t>
      </w:r>
      <w:r>
        <w:rPr>
          <w:spacing w:val="-8"/>
        </w:rPr>
        <w:t> </w:t>
      </w:r>
      <w:r>
        <w:rPr/>
        <w:t>tumorale</w:t>
      </w:r>
      <w:r>
        <w:rPr>
          <w:spacing w:val="-8"/>
        </w:rPr>
        <w:t> </w:t>
      </w:r>
      <w:r>
        <w:rPr/>
        <w:t>en</w:t>
      </w:r>
      <w:r>
        <w:rPr>
          <w:spacing w:val="-7"/>
        </w:rPr>
        <w:t> </w:t>
      </w:r>
      <w:r>
        <w:rPr/>
        <w:t>l’absence</w:t>
      </w:r>
      <w:r>
        <w:rPr>
          <w:spacing w:val="-8"/>
        </w:rPr>
        <w:t> </w:t>
      </w:r>
      <w:r>
        <w:rPr/>
        <w:t>de</w:t>
      </w:r>
      <w:r>
        <w:rPr>
          <w:spacing w:val="-6"/>
        </w:rPr>
        <w:t> </w:t>
      </w:r>
      <w:r>
        <w:rPr/>
        <w:t>glucose</w:t>
      </w:r>
      <w:r>
        <w:rPr>
          <w:spacing w:val="-8"/>
        </w:rPr>
        <w:t> </w:t>
      </w:r>
      <w:r>
        <w:rPr/>
        <w:t>ou</w:t>
      </w:r>
      <w:r>
        <w:rPr>
          <w:spacing w:val="-7"/>
        </w:rPr>
        <w:t> </w:t>
      </w:r>
      <w:r>
        <w:rPr/>
        <w:t>de</w:t>
      </w:r>
      <w:r>
        <w:rPr>
          <w:spacing w:val="-6"/>
        </w:rPr>
        <w:t> </w:t>
      </w:r>
      <w:r>
        <w:rPr/>
        <w:t>glutamine.</w:t>
      </w:r>
      <w:r>
        <w:rPr>
          <w:spacing w:val="-7"/>
        </w:rPr>
        <w:t> </w:t>
      </w:r>
      <w:r>
        <w:rPr/>
        <w:t>Une</w:t>
      </w:r>
      <w:r>
        <w:rPr>
          <w:spacing w:val="-9"/>
        </w:rPr>
        <w:t> </w:t>
      </w:r>
      <w:r>
        <w:rPr/>
        <w:t>thérapie qui diminue la concentration en glucose et élève celle en corps cétoniques va affamer les cellules</w:t>
      </w:r>
      <w:r>
        <w:rPr>
          <w:spacing w:val="-10"/>
        </w:rPr>
        <w:t> </w:t>
      </w:r>
      <w:r>
        <w:rPr/>
        <w:t>tumorales</w:t>
      </w:r>
      <w:r>
        <w:rPr>
          <w:spacing w:val="-7"/>
        </w:rPr>
        <w:t> </w:t>
      </w:r>
      <w:r>
        <w:rPr/>
        <w:t>glucose</w:t>
      </w:r>
      <w:r>
        <w:rPr>
          <w:spacing w:val="-11"/>
        </w:rPr>
        <w:t> </w:t>
      </w:r>
      <w:r>
        <w:rPr/>
        <w:t>dépendantes</w:t>
      </w:r>
      <w:r>
        <w:rPr>
          <w:spacing w:val="-10"/>
        </w:rPr>
        <w:t> </w:t>
      </w:r>
      <w:r>
        <w:rPr/>
        <w:t>tout</w:t>
      </w:r>
      <w:r>
        <w:rPr>
          <w:spacing w:val="-7"/>
        </w:rPr>
        <w:t> </w:t>
      </w:r>
      <w:r>
        <w:rPr/>
        <w:t>en</w:t>
      </w:r>
      <w:r>
        <w:rPr>
          <w:spacing w:val="-10"/>
        </w:rPr>
        <w:t> </w:t>
      </w:r>
      <w:r>
        <w:rPr/>
        <w:t>protégeant</w:t>
      </w:r>
      <w:r>
        <w:rPr>
          <w:spacing w:val="-9"/>
        </w:rPr>
        <w:t> </w:t>
      </w:r>
      <w:r>
        <w:rPr/>
        <w:t>et</w:t>
      </w:r>
      <w:r>
        <w:rPr>
          <w:spacing w:val="-7"/>
        </w:rPr>
        <w:t> </w:t>
      </w:r>
      <w:r>
        <w:rPr/>
        <w:t>nourrissant</w:t>
      </w:r>
      <w:r>
        <w:rPr>
          <w:spacing w:val="-9"/>
        </w:rPr>
        <w:t> </w:t>
      </w:r>
      <w:r>
        <w:rPr/>
        <w:t>les</w:t>
      </w:r>
      <w:r>
        <w:rPr>
          <w:spacing w:val="-5"/>
        </w:rPr>
        <w:t> </w:t>
      </w:r>
      <w:r>
        <w:rPr/>
        <w:t>autres</w:t>
      </w:r>
      <w:r>
        <w:rPr>
          <w:spacing w:val="-9"/>
        </w:rPr>
        <w:t> </w:t>
      </w:r>
      <w:r>
        <w:rPr/>
        <w:t>cellules.</w:t>
      </w:r>
      <w:r>
        <w:rPr>
          <w:spacing w:val="-8"/>
        </w:rPr>
        <w:t> </w:t>
      </w:r>
      <w:r>
        <w:rPr/>
        <w:t>Les molécules exposées sont d’autant plus efficaces qu’elles sont associées à une diète cétogène, comme par exemple le 2-DG (Marsh et al.,</w:t>
      </w:r>
      <w:r>
        <w:rPr>
          <w:spacing w:val="-10"/>
        </w:rPr>
        <w:t> </w:t>
      </w:r>
      <w:r>
        <w:rPr/>
        <w:t>2008).</w:t>
      </w:r>
    </w:p>
    <w:p>
      <w:pPr>
        <w:spacing w:after="0" w:line="276" w:lineRule="auto"/>
        <w:jc w:val="both"/>
        <w:sectPr>
          <w:pgSz w:w="11910" w:h="16840"/>
          <w:pgMar w:header="0" w:footer="1055" w:top="1320" w:bottom="1240" w:left="1300" w:right="1300"/>
        </w:sectPr>
      </w:pPr>
    </w:p>
    <w:p>
      <w:pPr>
        <w:pStyle w:val="BodyText"/>
        <w:rPr>
          <w:sz w:val="20"/>
        </w:rPr>
      </w:pPr>
      <w:r>
        <w:rPr/>
        <w:pict>
          <v:group style="position:absolute;margin-left:0pt;margin-top:234.070007pt;width:586.85pt;height:538.15pt;mso-position-horizontal-relative:page;mso-position-vertical-relative:paragraph;z-index:1912;mso-wrap-distance-left:0;mso-wrap-distance-right:0" coordorigin="0,4681" coordsize="11737,10763">
            <v:shape style="position:absolute;left:0;top:4681;width:11737;height:6371" type="#_x0000_t75" stroked="false">
              <v:imagedata r:id="rId62" o:title=""/>
            </v:shape>
            <v:shape style="position:absolute;left:775;top:11111;width:10147;height:4333" type="#_x0000_t75" stroked="false">
              <v:imagedata r:id="rId63" o:title=""/>
            </v:shape>
            <w10:wrap type="topAndBottom"/>
          </v:group>
        </w:pict>
      </w:r>
      <w:r>
        <w:rPr/>
        <w:pict>
          <v:shape style="position:absolute;margin-left:229.850006pt;margin-top:72.402069pt;width:135.65pt;height:22.2pt;mso-position-horizontal-relative:page;mso-position-vertical-relative:page;z-index:-263200" type="#_x0000_t202" filled="false" stroked="false">
            <v:textbox inset="0,0,0,0">
              <w:txbxContent>
                <w:p>
                  <w:pPr>
                    <w:spacing w:line="444" w:lineRule="exact" w:before="0"/>
                    <w:ind w:left="0" w:right="0" w:firstLine="0"/>
                    <w:jc w:val="left"/>
                    <w:rPr>
                      <w:b/>
                      <w:sz w:val="40"/>
                    </w:rPr>
                  </w:pPr>
                  <w:bookmarkStart w:name="_bookmark229" w:id="403"/>
                  <w:bookmarkEnd w:id="403"/>
                  <w:r>
                    <w:rPr/>
                  </w:r>
                  <w:r>
                    <w:rPr>
                      <w:b/>
                      <w:sz w:val="40"/>
                    </w:rPr>
                    <w:t>CONCLUSION</w:t>
                  </w:r>
                </w:p>
              </w:txbxContent>
            </v:textbox>
            <w10:wrap type="none"/>
          </v:shape>
        </w:pict>
      </w:r>
      <w:r>
        <w:rPr/>
        <w:pict>
          <v:shape style="position:absolute;margin-left:288.649994pt;margin-top:779.146606pt;width:18pt;height:13.3pt;mso-position-horizontal-relative:page;mso-position-vertical-relative:page;z-index:-263176" type="#_x0000_t202" filled="false" stroked="false">
            <v:textbox inset="0,0,0,0">
              <w:txbxContent>
                <w:p>
                  <w:pPr>
                    <w:pStyle w:val="BodyText"/>
                    <w:spacing w:line="266" w:lineRule="exact"/>
                  </w:pPr>
                  <w:r>
                    <w:rPr/>
                    <w:t>139</w:t>
                  </w:r>
                </w:p>
              </w:txbxContent>
            </v:textbox>
            <w10:wrap type="none"/>
          </v:shape>
        </w:pict>
      </w:r>
      <w:r>
        <w:rPr>
          <w:sz w:val="20"/>
        </w:rPr>
        <w:pict>
          <v:group style="width:589.4pt;height:228.2pt;mso-position-horizontal-relative:char;mso-position-vertical-relative:line" coordorigin="0,0" coordsize="11788,4564">
            <v:shape style="position:absolute;left:4351;top:109;width:3454;height:867" type="#_x0000_t75" stroked="false">
              <v:imagedata r:id="rId64" o:title=""/>
            </v:shape>
            <v:shape style="position:absolute;left:4576;top:632;width:2784;height:111" type="#_x0000_t75" stroked="false">
              <v:imagedata r:id="rId65" o:title=""/>
            </v:shape>
            <v:line style="position:absolute" from="4596,671" to="7308,671" stroked="true" strokeweight="1.92pt" strokecolor="#000000">
              <v:stroke dashstyle="solid"/>
            </v:line>
            <v:shape style="position:absolute;left:0;top:0;width:11788;height:4564" type="#_x0000_t75" stroked="false">
              <v:imagedata r:id="rId66" o:title=""/>
            </v:shape>
          </v:group>
        </w:pict>
      </w:r>
      <w:r>
        <w:rPr>
          <w:sz w:val="20"/>
        </w:rPr>
      </w:r>
    </w:p>
    <w:p>
      <w:pPr>
        <w:spacing w:after="0"/>
        <w:rPr>
          <w:sz w:val="20"/>
        </w:rPr>
        <w:sectPr>
          <w:footerReference w:type="default" r:id="rId61"/>
          <w:pgSz w:w="11910" w:h="16840"/>
          <w:pgMar w:footer="0" w:header="0" w:top="1180" w:bottom="0" w:left="0" w:right="0"/>
        </w:sectPr>
      </w:pPr>
    </w:p>
    <w:p>
      <w:pPr>
        <w:pStyle w:val="BodyText"/>
        <w:spacing w:before="4"/>
        <w:rPr>
          <w:sz w:val="17"/>
        </w:rPr>
      </w:pPr>
      <w:bookmarkStart w:name="_bookmark230" w:id="404"/>
      <w:bookmarkEnd w:id="404"/>
      <w:r>
        <w:rPr/>
      </w:r>
      <w:r>
        <w:rPr>
          <w:sz w:val="17"/>
        </w:rPr>
      </w:r>
    </w:p>
    <w:p>
      <w:pPr>
        <w:spacing w:after="0"/>
        <w:rPr>
          <w:sz w:val="17"/>
        </w:rPr>
        <w:sectPr>
          <w:footerReference w:type="even" r:id="rId67"/>
          <w:footerReference w:type="default" r:id="rId68"/>
          <w:pgSz w:w="11910" w:h="16840"/>
          <w:pgMar w:footer="995" w:header="0" w:top="1580" w:bottom="1180" w:left="1680" w:right="1680"/>
          <w:pgNumType w:start="140"/>
        </w:sectPr>
      </w:pPr>
    </w:p>
    <w:p>
      <w:pPr>
        <w:pStyle w:val="Heading1"/>
        <w:ind w:left="2223"/>
        <w:jc w:val="left"/>
        <w:rPr>
          <w:u w:val="none"/>
        </w:rPr>
      </w:pPr>
      <w:r>
        <w:rPr>
          <w:u w:val="thick"/>
        </w:rPr>
        <w:t>Références bibliographiques</w:t>
      </w:r>
    </w:p>
    <w:p>
      <w:pPr>
        <w:pStyle w:val="BodyText"/>
        <w:rPr>
          <w:b/>
          <w:sz w:val="20"/>
        </w:rPr>
      </w:pPr>
    </w:p>
    <w:p>
      <w:pPr>
        <w:pStyle w:val="BodyText"/>
        <w:spacing w:before="5"/>
        <w:rPr>
          <w:b/>
          <w:sz w:val="22"/>
        </w:rPr>
      </w:pPr>
    </w:p>
    <w:p>
      <w:pPr>
        <w:pStyle w:val="BodyText"/>
        <w:ind w:left="836" w:right="112" w:hanging="720"/>
        <w:jc w:val="both"/>
      </w:pPr>
      <w:r>
        <w:rPr/>
        <w:t>Abolhassani,</w:t>
      </w:r>
      <w:r>
        <w:rPr>
          <w:spacing w:val="-11"/>
        </w:rPr>
        <w:t> </w:t>
      </w:r>
      <w:r>
        <w:rPr/>
        <w:t>M,</w:t>
      </w:r>
      <w:r>
        <w:rPr>
          <w:spacing w:val="-11"/>
        </w:rPr>
        <w:t> </w:t>
      </w:r>
      <w:r>
        <w:rPr/>
        <w:t>A</w:t>
      </w:r>
      <w:r>
        <w:rPr>
          <w:spacing w:val="-12"/>
        </w:rPr>
        <w:t> </w:t>
      </w:r>
      <w:r>
        <w:rPr/>
        <w:t>Guais,</w:t>
      </w:r>
      <w:r>
        <w:rPr>
          <w:spacing w:val="-10"/>
        </w:rPr>
        <w:t> </w:t>
      </w:r>
      <w:r>
        <w:rPr/>
        <w:t>E</w:t>
      </w:r>
      <w:r>
        <w:rPr>
          <w:spacing w:val="-10"/>
        </w:rPr>
        <w:t> </w:t>
      </w:r>
      <w:r>
        <w:rPr/>
        <w:t>Sanders,</w:t>
      </w:r>
      <w:r>
        <w:rPr>
          <w:spacing w:val="-9"/>
        </w:rPr>
        <w:t> </w:t>
      </w:r>
      <w:r>
        <w:rPr/>
        <w:t>F</w:t>
      </w:r>
      <w:r>
        <w:rPr>
          <w:spacing w:val="-12"/>
        </w:rPr>
        <w:t> </w:t>
      </w:r>
      <w:r>
        <w:rPr/>
        <w:t>Campion,</w:t>
      </w:r>
      <w:r>
        <w:rPr>
          <w:spacing w:val="-9"/>
        </w:rPr>
        <w:t> </w:t>
      </w:r>
      <w:r>
        <w:rPr/>
        <w:t>I</w:t>
      </w:r>
      <w:r>
        <w:rPr>
          <w:spacing w:val="-12"/>
        </w:rPr>
        <w:t> </w:t>
      </w:r>
      <w:r>
        <w:rPr/>
        <w:t>Fichtner,</w:t>
      </w:r>
      <w:r>
        <w:rPr>
          <w:spacing w:val="-10"/>
        </w:rPr>
        <w:t> </w:t>
      </w:r>
      <w:r>
        <w:rPr/>
        <w:t>J</w:t>
      </w:r>
      <w:r>
        <w:rPr>
          <w:spacing w:val="-7"/>
        </w:rPr>
        <w:t> </w:t>
      </w:r>
      <w:r>
        <w:rPr/>
        <w:t>Bonte,</w:t>
      </w:r>
      <w:r>
        <w:rPr>
          <w:spacing w:val="-12"/>
        </w:rPr>
        <w:t> </w:t>
      </w:r>
      <w:r>
        <w:rPr/>
        <w:t>G</w:t>
      </w:r>
      <w:r>
        <w:rPr>
          <w:spacing w:val="-9"/>
        </w:rPr>
        <w:t> </w:t>
      </w:r>
      <w:r>
        <w:rPr/>
        <w:t>Baronzio,</w:t>
      </w:r>
      <w:r>
        <w:rPr>
          <w:spacing w:val="-11"/>
        </w:rPr>
        <w:t> </w:t>
      </w:r>
      <w:r>
        <w:rPr/>
        <w:t>G</w:t>
      </w:r>
      <w:r>
        <w:rPr>
          <w:spacing w:val="-12"/>
        </w:rPr>
        <w:t> </w:t>
      </w:r>
      <w:r>
        <w:rPr/>
        <w:t>Fiorentini, M</w:t>
      </w:r>
      <w:r>
        <w:rPr>
          <w:spacing w:val="-9"/>
        </w:rPr>
        <w:t> </w:t>
      </w:r>
      <w:r>
        <w:rPr/>
        <w:t>Israël,</w:t>
      </w:r>
      <w:r>
        <w:rPr>
          <w:spacing w:val="-12"/>
        </w:rPr>
        <w:t> </w:t>
      </w:r>
      <w:r>
        <w:rPr/>
        <w:t>et</w:t>
      </w:r>
      <w:r>
        <w:rPr>
          <w:spacing w:val="-9"/>
        </w:rPr>
        <w:t> </w:t>
      </w:r>
      <w:r>
        <w:rPr/>
        <w:t>L</w:t>
      </w:r>
      <w:r>
        <w:rPr>
          <w:spacing w:val="-17"/>
        </w:rPr>
        <w:t> </w:t>
      </w:r>
      <w:r>
        <w:rPr/>
        <w:t>Schwartz.</w:t>
      </w:r>
      <w:r>
        <w:rPr>
          <w:spacing w:val="-11"/>
        </w:rPr>
        <w:t> </w:t>
      </w:r>
      <w:r>
        <w:rPr/>
        <w:t>2012.</w:t>
      </w:r>
      <w:r>
        <w:rPr>
          <w:spacing w:val="-7"/>
        </w:rPr>
        <w:t> </w:t>
      </w:r>
      <w:r>
        <w:rPr/>
        <w:t>«</w:t>
      </w:r>
      <w:r>
        <w:rPr>
          <w:spacing w:val="-10"/>
        </w:rPr>
        <w:t> </w:t>
      </w:r>
      <w:r>
        <w:rPr/>
        <w:t>Screening</w:t>
      </w:r>
      <w:r>
        <w:rPr>
          <w:spacing w:val="-14"/>
        </w:rPr>
        <w:t> </w:t>
      </w:r>
      <w:r>
        <w:rPr/>
        <w:t>of</w:t>
      </w:r>
      <w:r>
        <w:rPr>
          <w:spacing w:val="-13"/>
        </w:rPr>
        <w:t> </w:t>
      </w:r>
      <w:r>
        <w:rPr/>
        <w:t>Well-Established</w:t>
      </w:r>
      <w:r>
        <w:rPr>
          <w:spacing w:val="-12"/>
        </w:rPr>
        <w:t> </w:t>
      </w:r>
      <w:r>
        <w:rPr/>
        <w:t>Drugs</w:t>
      </w:r>
      <w:r>
        <w:rPr>
          <w:spacing w:val="-12"/>
        </w:rPr>
        <w:t> </w:t>
      </w:r>
      <w:r>
        <w:rPr/>
        <w:t>Targeting</w:t>
      </w:r>
      <w:r>
        <w:rPr>
          <w:spacing w:val="-14"/>
        </w:rPr>
        <w:t> </w:t>
      </w:r>
      <w:r>
        <w:rPr/>
        <w:t>Cancer Metabolism: Reproducibility of the Efficacy of a Highly Effective Drug Combination in Mice </w:t>
      </w:r>
      <w:r>
        <w:rPr>
          <w:spacing w:val="-4"/>
        </w:rPr>
        <w:t>». </w:t>
      </w:r>
      <w:r>
        <w:rPr>
          <w:i/>
        </w:rPr>
        <w:t>Investigational New Drugs </w:t>
      </w:r>
      <w:r>
        <w:rPr/>
        <w:t>30 (4):</w:t>
      </w:r>
      <w:r>
        <w:rPr>
          <w:spacing w:val="2"/>
        </w:rPr>
        <w:t> </w:t>
      </w:r>
      <w:r>
        <w:rPr/>
        <w:t>1331</w:t>
      </w:r>
      <w:r>
        <w:rPr>
          <w:rFonts w:ascii="Cambria Math" w:hAnsi="Cambria Math"/>
        </w:rPr>
        <w:t>‑</w:t>
      </w:r>
      <w:r>
        <w:rPr/>
        <w:t>42.</w:t>
      </w:r>
    </w:p>
    <w:p>
      <w:pPr>
        <w:pStyle w:val="BodyText"/>
        <w:spacing w:line="242" w:lineRule="auto"/>
        <w:ind w:left="836" w:right="113" w:hanging="720"/>
        <w:jc w:val="both"/>
      </w:pPr>
      <w:r>
        <w:rPr/>
        <w:t>Ahopelto, K, C Böckelman, J Hagström, S Koskensalo, et C Haglund. 2016. « Transketolase- like Protein 1 Expression Predicts Poor Prognosis in Colorectal Cancer ». </w:t>
      </w:r>
      <w:r>
        <w:rPr>
          <w:i/>
        </w:rPr>
        <w:t>Cancer </w:t>
      </w:r>
      <w:r>
        <w:rPr>
          <w:i/>
        </w:rPr>
        <w:t>Biology &amp; Therapy </w:t>
      </w:r>
      <w:r>
        <w:rPr/>
        <w:t>17 (2): 163</w:t>
      </w:r>
      <w:r>
        <w:rPr>
          <w:rFonts w:ascii="Cambria Math" w:hAnsi="Cambria Math"/>
        </w:rPr>
        <w:t>‑</w:t>
      </w:r>
      <w:r>
        <w:rPr/>
        <w:t>68.</w:t>
      </w:r>
    </w:p>
    <w:p>
      <w:pPr>
        <w:pStyle w:val="BodyText"/>
        <w:spacing w:line="270" w:lineRule="exact" w:before="4"/>
        <w:ind w:left="116"/>
      </w:pPr>
      <w:r>
        <w:rPr/>
        <w:t>Akers, L J, W Fang, A G Levy, A R Franklin, P Huang, et P A Zweidler-McKay. 2011.</w:t>
      </w:r>
    </w:p>
    <w:p>
      <w:pPr>
        <w:pStyle w:val="BodyText"/>
        <w:spacing w:line="242" w:lineRule="auto"/>
        <w:ind w:left="836" w:right="114"/>
        <w:jc w:val="both"/>
      </w:pPr>
      <w:r>
        <w:rPr/>
        <w:t>« Targeting Glycolysis in Leukemia: A Novel Inhibitor 3-BrOP in Combination with Rapamycin ». </w:t>
      </w:r>
      <w:r>
        <w:rPr>
          <w:i/>
        </w:rPr>
        <w:t>Leukemia Research </w:t>
      </w:r>
      <w:r>
        <w:rPr/>
        <w:t>35 (6): 814</w:t>
      </w:r>
      <w:r>
        <w:rPr>
          <w:rFonts w:ascii="Cambria Math" w:hAnsi="Cambria Math"/>
        </w:rPr>
        <w:t>‑</w:t>
      </w:r>
      <w:r>
        <w:rPr/>
        <w:t>20.</w:t>
      </w:r>
    </w:p>
    <w:p>
      <w:pPr>
        <w:pStyle w:val="BodyText"/>
        <w:ind w:left="836" w:right="113" w:hanging="720"/>
        <w:jc w:val="both"/>
      </w:pPr>
      <w:r>
        <w:rPr/>
        <w:t>Alfarouk,</w:t>
      </w:r>
      <w:r>
        <w:rPr>
          <w:spacing w:val="-14"/>
        </w:rPr>
        <w:t> </w:t>
      </w:r>
      <w:r>
        <w:rPr/>
        <w:t>K</w:t>
      </w:r>
      <w:r>
        <w:rPr>
          <w:spacing w:val="-16"/>
        </w:rPr>
        <w:t> </w:t>
      </w:r>
      <w:r>
        <w:rPr/>
        <w:t>O,</w:t>
      </w:r>
      <w:r>
        <w:rPr>
          <w:spacing w:val="-14"/>
        </w:rPr>
        <w:t> </w:t>
      </w:r>
      <w:r>
        <w:rPr/>
        <w:t>D</w:t>
      </w:r>
      <w:r>
        <w:rPr>
          <w:spacing w:val="-14"/>
        </w:rPr>
        <w:t> </w:t>
      </w:r>
      <w:r>
        <w:rPr/>
        <w:t>Verduzco,</w:t>
      </w:r>
      <w:r>
        <w:rPr>
          <w:spacing w:val="-16"/>
        </w:rPr>
        <w:t> </w:t>
      </w:r>
      <w:r>
        <w:rPr/>
        <w:t>C</w:t>
      </w:r>
      <w:r>
        <w:rPr>
          <w:spacing w:val="-14"/>
        </w:rPr>
        <w:t> </w:t>
      </w:r>
      <w:r>
        <w:rPr/>
        <w:t>Rauch,</w:t>
      </w:r>
      <w:r>
        <w:rPr>
          <w:spacing w:val="-16"/>
        </w:rPr>
        <w:t> </w:t>
      </w:r>
      <w:r>
        <w:rPr/>
        <w:t>A</w:t>
      </w:r>
      <w:r>
        <w:rPr>
          <w:spacing w:val="-13"/>
        </w:rPr>
        <w:t> </w:t>
      </w:r>
      <w:r>
        <w:rPr/>
        <w:t>K</w:t>
      </w:r>
      <w:r>
        <w:rPr>
          <w:spacing w:val="-16"/>
        </w:rPr>
        <w:t> </w:t>
      </w:r>
      <w:r>
        <w:rPr/>
        <w:t>Muddathir,</w:t>
      </w:r>
      <w:r>
        <w:rPr>
          <w:spacing w:val="-16"/>
        </w:rPr>
        <w:t> </w:t>
      </w:r>
      <w:r>
        <w:rPr/>
        <w:t>H</w:t>
      </w:r>
      <w:r>
        <w:rPr>
          <w:spacing w:val="-16"/>
        </w:rPr>
        <w:t> </w:t>
      </w:r>
      <w:r>
        <w:rPr/>
        <w:t>H</w:t>
      </w:r>
      <w:r>
        <w:rPr>
          <w:spacing w:val="-12"/>
        </w:rPr>
        <w:t> </w:t>
      </w:r>
      <w:r>
        <w:rPr/>
        <w:t>B</w:t>
      </w:r>
      <w:r>
        <w:rPr>
          <w:spacing w:val="-18"/>
        </w:rPr>
        <w:t> </w:t>
      </w:r>
      <w:r>
        <w:rPr/>
        <w:t>Adil,</w:t>
      </w:r>
      <w:r>
        <w:rPr>
          <w:spacing w:val="-13"/>
        </w:rPr>
        <w:t> </w:t>
      </w:r>
      <w:r>
        <w:rPr/>
        <w:t>G</w:t>
      </w:r>
      <w:r>
        <w:rPr>
          <w:spacing w:val="-16"/>
        </w:rPr>
        <w:t> </w:t>
      </w:r>
      <w:r>
        <w:rPr/>
        <w:t>O</w:t>
      </w:r>
      <w:r>
        <w:rPr>
          <w:spacing w:val="-13"/>
        </w:rPr>
        <w:t> </w:t>
      </w:r>
      <w:r>
        <w:rPr/>
        <w:t>Elhassan,</w:t>
      </w:r>
      <w:r>
        <w:rPr>
          <w:spacing w:val="-16"/>
        </w:rPr>
        <w:t> </w:t>
      </w:r>
      <w:r>
        <w:rPr/>
        <w:t>M</w:t>
      </w:r>
      <w:r>
        <w:rPr>
          <w:spacing w:val="-16"/>
        </w:rPr>
        <w:t> </w:t>
      </w:r>
      <w:r>
        <w:rPr/>
        <w:t>E</w:t>
      </w:r>
      <w:r>
        <w:rPr>
          <w:spacing w:val="-12"/>
        </w:rPr>
        <w:t> </w:t>
      </w:r>
      <w:r>
        <w:rPr/>
        <w:t>Ibrahim, et al. 2014. « Glycolysis, Tumor Metabolism, Cancer Growth and Dissemination. A New</w:t>
      </w:r>
      <w:r>
        <w:rPr>
          <w:spacing w:val="-15"/>
        </w:rPr>
        <w:t> </w:t>
      </w:r>
      <w:r>
        <w:rPr/>
        <w:t>PH-Based</w:t>
      </w:r>
      <w:r>
        <w:rPr>
          <w:spacing w:val="-14"/>
        </w:rPr>
        <w:t> </w:t>
      </w:r>
      <w:r>
        <w:rPr/>
        <w:t>Etiopathogenic</w:t>
      </w:r>
      <w:r>
        <w:rPr>
          <w:spacing w:val="-15"/>
        </w:rPr>
        <w:t> </w:t>
      </w:r>
      <w:r>
        <w:rPr/>
        <w:t>Perspective</w:t>
      </w:r>
      <w:r>
        <w:rPr>
          <w:spacing w:val="-13"/>
        </w:rPr>
        <w:t> </w:t>
      </w:r>
      <w:r>
        <w:rPr/>
        <w:t>and</w:t>
      </w:r>
      <w:r>
        <w:rPr>
          <w:spacing w:val="-14"/>
        </w:rPr>
        <w:t> </w:t>
      </w:r>
      <w:r>
        <w:rPr/>
        <w:t>Therapeutic</w:t>
      </w:r>
      <w:r>
        <w:rPr>
          <w:spacing w:val="-15"/>
        </w:rPr>
        <w:t> </w:t>
      </w:r>
      <w:r>
        <w:rPr/>
        <w:t>Approach</w:t>
      </w:r>
      <w:r>
        <w:rPr>
          <w:spacing w:val="-14"/>
        </w:rPr>
        <w:t> </w:t>
      </w:r>
      <w:r>
        <w:rPr/>
        <w:t>to</w:t>
      </w:r>
      <w:r>
        <w:rPr>
          <w:spacing w:val="-10"/>
        </w:rPr>
        <w:t> </w:t>
      </w:r>
      <w:r>
        <w:rPr/>
        <w:t>an</w:t>
      </w:r>
      <w:r>
        <w:rPr>
          <w:spacing w:val="-14"/>
        </w:rPr>
        <w:t> </w:t>
      </w:r>
      <w:r>
        <w:rPr/>
        <w:t>Old</w:t>
      </w:r>
      <w:r>
        <w:rPr>
          <w:spacing w:val="-14"/>
        </w:rPr>
        <w:t> </w:t>
      </w:r>
      <w:r>
        <w:rPr/>
        <w:t>Cancer Question </w:t>
      </w:r>
      <w:r>
        <w:rPr>
          <w:spacing w:val="-4"/>
        </w:rPr>
        <w:t>». </w:t>
      </w:r>
      <w:r>
        <w:rPr>
          <w:i/>
        </w:rPr>
        <w:t>Oncoscience </w:t>
      </w:r>
      <w:r>
        <w:rPr/>
        <w:t>1 (12):</w:t>
      </w:r>
      <w:r>
        <w:rPr>
          <w:spacing w:val="3"/>
        </w:rPr>
        <w:t> </w:t>
      </w:r>
      <w:r>
        <w:rPr/>
        <w:t>777</w:t>
      </w:r>
      <w:r>
        <w:rPr>
          <w:rFonts w:ascii="Cambria Math" w:hAnsi="Cambria Math"/>
        </w:rPr>
        <w:t>‑</w:t>
      </w:r>
      <w:r>
        <w:rPr/>
        <w:t>802.</w:t>
      </w:r>
    </w:p>
    <w:p>
      <w:pPr>
        <w:pStyle w:val="BodyText"/>
        <w:spacing w:before="5"/>
        <w:ind w:left="824" w:right="117" w:hanging="708"/>
        <w:jc w:val="both"/>
      </w:pPr>
      <w:r>
        <w:rPr/>
        <w:t>American Veterinary Medical Association. </w:t>
      </w:r>
      <w:r>
        <w:rPr>
          <w:i/>
        </w:rPr>
        <w:t>AAHSD Study Search. </w:t>
      </w:r>
      <w:r>
        <w:rPr/>
        <w:t>[en ligne], URL : </w:t>
      </w:r>
      <w:hyperlink r:id="rId69">
        <w:r>
          <w:rPr/>
          <w:t>https://ebusiness.avma.org/aahsd/study_search.aspx</w:t>
        </w:r>
      </w:hyperlink>
      <w:r>
        <w:rPr/>
        <w:t>. [consulté le 10 avril 2017]</w:t>
      </w:r>
    </w:p>
    <w:p>
      <w:pPr>
        <w:pStyle w:val="BodyText"/>
        <w:spacing w:line="237" w:lineRule="auto"/>
        <w:ind w:left="836" w:right="116" w:hanging="720"/>
        <w:jc w:val="both"/>
      </w:pPr>
      <w:r>
        <w:rPr/>
        <w:t>Amith, S R, J M Wilkinson, S Baksh, et L Fliegel. 2015. « The Na</w:t>
      </w:r>
      <w:r>
        <w:rPr>
          <w:position w:val="9"/>
          <w:sz w:val="16"/>
        </w:rPr>
        <w:t>+</w:t>
      </w:r>
      <w:r>
        <w:rPr/>
        <w:t>/H</w:t>
      </w:r>
      <w:r>
        <w:rPr>
          <w:position w:val="9"/>
          <w:sz w:val="16"/>
        </w:rPr>
        <w:t>+ </w:t>
      </w:r>
      <w:r>
        <w:rPr/>
        <w:t>Exchanger (NHE1) as a</w:t>
      </w:r>
      <w:r>
        <w:rPr>
          <w:spacing w:val="18"/>
        </w:rPr>
        <w:t> </w:t>
      </w:r>
      <w:r>
        <w:rPr/>
        <w:t>Novel</w:t>
      </w:r>
      <w:r>
        <w:rPr>
          <w:spacing w:val="20"/>
        </w:rPr>
        <w:t> </w:t>
      </w:r>
      <w:r>
        <w:rPr/>
        <w:t>Co-Adjuvant</w:t>
      </w:r>
      <w:r>
        <w:rPr>
          <w:spacing w:val="20"/>
        </w:rPr>
        <w:t> </w:t>
      </w:r>
      <w:r>
        <w:rPr/>
        <w:t>Target</w:t>
      </w:r>
      <w:r>
        <w:rPr>
          <w:spacing w:val="20"/>
        </w:rPr>
        <w:t> </w:t>
      </w:r>
      <w:r>
        <w:rPr/>
        <w:t>in</w:t>
      </w:r>
      <w:r>
        <w:rPr>
          <w:spacing w:val="20"/>
        </w:rPr>
        <w:t> </w:t>
      </w:r>
      <w:r>
        <w:rPr/>
        <w:t>Paclitaxel</w:t>
      </w:r>
      <w:r>
        <w:rPr>
          <w:spacing w:val="20"/>
        </w:rPr>
        <w:t> </w:t>
      </w:r>
      <w:r>
        <w:rPr/>
        <w:t>Therapy</w:t>
      </w:r>
      <w:r>
        <w:rPr>
          <w:spacing w:val="16"/>
        </w:rPr>
        <w:t> </w:t>
      </w:r>
      <w:r>
        <w:rPr/>
        <w:t>of</w:t>
      </w:r>
      <w:r>
        <w:rPr>
          <w:spacing w:val="18"/>
        </w:rPr>
        <w:t> </w:t>
      </w:r>
      <w:r>
        <w:rPr/>
        <w:t>Triple-Negative</w:t>
      </w:r>
      <w:r>
        <w:rPr>
          <w:spacing w:val="18"/>
        </w:rPr>
        <w:t> </w:t>
      </w:r>
      <w:r>
        <w:rPr/>
        <w:t>Breast</w:t>
      </w:r>
      <w:r>
        <w:rPr>
          <w:spacing w:val="20"/>
        </w:rPr>
        <w:t> </w:t>
      </w:r>
      <w:r>
        <w:rPr/>
        <w:t>Cancer</w:t>
      </w:r>
    </w:p>
    <w:p>
      <w:pPr>
        <w:spacing w:line="281" w:lineRule="exact" w:before="16"/>
        <w:ind w:left="836" w:right="0" w:firstLine="0"/>
        <w:jc w:val="both"/>
        <w:rPr>
          <w:sz w:val="24"/>
        </w:rPr>
      </w:pPr>
      <w:r>
        <w:rPr>
          <w:sz w:val="24"/>
        </w:rPr>
        <w:t>Cells ». </w:t>
      </w:r>
      <w:r>
        <w:rPr>
          <w:i/>
          <w:sz w:val="24"/>
        </w:rPr>
        <w:t>Oncotarget </w:t>
      </w:r>
      <w:r>
        <w:rPr>
          <w:sz w:val="24"/>
        </w:rPr>
        <w:t>6 (2): 1262</w:t>
      </w:r>
      <w:r>
        <w:rPr>
          <w:rFonts w:ascii="Cambria Math" w:hAnsi="Cambria Math"/>
          <w:sz w:val="24"/>
        </w:rPr>
        <w:t>‑</w:t>
      </w:r>
      <w:r>
        <w:rPr>
          <w:sz w:val="24"/>
        </w:rPr>
        <w:t>75.</w:t>
      </w:r>
    </w:p>
    <w:p>
      <w:pPr>
        <w:pStyle w:val="BodyText"/>
        <w:spacing w:line="275" w:lineRule="exact"/>
        <w:ind w:left="116"/>
      </w:pPr>
      <w:r>
        <w:rPr/>
        <w:t>Anastasiou, D, Y Y, W J. Israelsen, J-K Jiang, M B Boxer,  B S Hong, W Tempel, et al. 2012.</w:t>
      </w:r>
    </w:p>
    <w:p>
      <w:pPr>
        <w:pStyle w:val="BodyText"/>
        <w:spacing w:line="242" w:lineRule="auto"/>
        <w:ind w:left="836" w:right="118"/>
        <w:jc w:val="both"/>
      </w:pPr>
      <w:r>
        <w:rPr/>
        <w:t>« Pyruvate Kinase M2 Activators Promote Tetramer Formation and Suppress Tumorigenesis ». </w:t>
      </w:r>
      <w:r>
        <w:rPr>
          <w:i/>
        </w:rPr>
        <w:t>Nature Chemical Biology </w:t>
      </w:r>
      <w:r>
        <w:rPr/>
        <w:t>8 (10): 839</w:t>
      </w:r>
      <w:r>
        <w:rPr>
          <w:rFonts w:ascii="Cambria Math" w:hAnsi="Cambria Math"/>
        </w:rPr>
        <w:t>‑</w:t>
      </w:r>
      <w:r>
        <w:rPr/>
        <w:t>47.</w:t>
      </w:r>
    </w:p>
    <w:p>
      <w:pPr>
        <w:pStyle w:val="BodyText"/>
        <w:spacing w:line="270" w:lineRule="exact"/>
        <w:ind w:left="116"/>
      </w:pPr>
      <w:r>
        <w:rPr/>
        <w:t>André, F, R O’Regan, M Ozguroglu, M Toi, B Xu, G Jerusalem, N Masuda, et al. 2014.</w:t>
      </w:r>
    </w:p>
    <w:p>
      <w:pPr>
        <w:pStyle w:val="BodyText"/>
        <w:spacing w:line="242" w:lineRule="auto"/>
        <w:ind w:left="836" w:right="113"/>
        <w:jc w:val="both"/>
      </w:pPr>
      <w:r>
        <w:rPr/>
        <w:t>« Everolimus for Women with Trastuzumab-Resistant, HER2-Positive, Advanced Breast Cancer (BOLERO-3): A Randomised, Double-Blind, Placebo-Controlled Phase 3 Trial ». </w:t>
      </w:r>
      <w:r>
        <w:rPr>
          <w:i/>
        </w:rPr>
        <w:t>The Lancet. Oncology </w:t>
      </w:r>
      <w:r>
        <w:rPr/>
        <w:t>15 (6): 580</w:t>
      </w:r>
      <w:r>
        <w:rPr>
          <w:rFonts w:ascii="Cambria Math" w:hAnsi="Cambria Math"/>
        </w:rPr>
        <w:t>‑</w:t>
      </w:r>
      <w:r>
        <w:rPr/>
        <w:t>91.</w:t>
      </w:r>
    </w:p>
    <w:p>
      <w:pPr>
        <w:pStyle w:val="BodyText"/>
        <w:ind w:left="836" w:right="116" w:hanging="720"/>
        <w:jc w:val="both"/>
      </w:pPr>
      <w:r>
        <w:rPr/>
        <w:t>Andrzejewski, S, S Gravel, M Pollak, et J St-Pierre. 2014. « Metformin Directly Acts on Mitochondria to Alter Cellular Bioenergetics ». </w:t>
      </w:r>
      <w:r>
        <w:rPr>
          <w:i/>
        </w:rPr>
        <w:t>Cancer &amp; Metabolism </w:t>
      </w:r>
      <w:r>
        <w:rPr/>
        <w:t>3 (2): 12-15.</w:t>
      </w:r>
    </w:p>
    <w:p>
      <w:pPr>
        <w:pStyle w:val="BodyText"/>
        <w:spacing w:before="7"/>
        <w:ind w:left="836" w:right="113" w:hanging="720"/>
        <w:jc w:val="both"/>
      </w:pPr>
      <w:r>
        <w:rPr/>
        <w:t>Astuti, D, F Latif, A Dallol, P L M Dahia, F Douglas, E George, F Sköldberg, E S Husebye, C Eng, et E R Maher. 2001. « Gene Mutations in the Succinate Dehydrogenase Subunit SDHB Cause Susceptibility to Familial Pheochromocytoma and to Familial Paraganglioma ». </w:t>
      </w:r>
      <w:r>
        <w:rPr>
          <w:i/>
        </w:rPr>
        <w:t>The American Journal of Human Genetics </w:t>
      </w:r>
      <w:r>
        <w:rPr/>
        <w:t>69 (1): 49</w:t>
      </w:r>
      <w:r>
        <w:rPr>
          <w:rFonts w:ascii="Cambria Math" w:hAnsi="Cambria Math"/>
        </w:rPr>
        <w:t>‑</w:t>
      </w:r>
      <w:r>
        <w:rPr/>
        <w:t>54.</w:t>
      </w:r>
    </w:p>
    <w:p>
      <w:pPr>
        <w:pStyle w:val="BodyText"/>
        <w:ind w:left="836" w:right="116" w:hanging="720"/>
        <w:jc w:val="both"/>
      </w:pPr>
      <w:r>
        <w:rPr/>
        <w:t>Attia,</w:t>
      </w:r>
      <w:r>
        <w:rPr>
          <w:spacing w:val="-6"/>
        </w:rPr>
        <w:t> </w:t>
      </w:r>
      <w:r>
        <w:rPr/>
        <w:t>Y</w:t>
      </w:r>
      <w:r>
        <w:rPr>
          <w:spacing w:val="-7"/>
        </w:rPr>
        <w:t> </w:t>
      </w:r>
      <w:r>
        <w:rPr/>
        <w:t>M.,</w:t>
      </w:r>
      <w:r>
        <w:rPr>
          <w:spacing w:val="-6"/>
        </w:rPr>
        <w:t> </w:t>
      </w:r>
      <w:r>
        <w:rPr/>
        <w:t>H</w:t>
      </w:r>
      <w:r>
        <w:rPr>
          <w:spacing w:val="-7"/>
        </w:rPr>
        <w:t> </w:t>
      </w:r>
      <w:r>
        <w:rPr/>
        <w:t>S</w:t>
      </w:r>
      <w:r>
        <w:rPr>
          <w:spacing w:val="-6"/>
        </w:rPr>
        <w:t> </w:t>
      </w:r>
      <w:r>
        <w:rPr/>
        <w:t>El-Abhar,</w:t>
      </w:r>
      <w:r>
        <w:rPr>
          <w:spacing w:val="-7"/>
        </w:rPr>
        <w:t> </w:t>
      </w:r>
      <w:r>
        <w:rPr/>
        <w:t>M</w:t>
      </w:r>
      <w:r>
        <w:rPr>
          <w:spacing w:val="-6"/>
        </w:rPr>
        <w:t> </w:t>
      </w:r>
      <w:r>
        <w:rPr/>
        <w:t>M</w:t>
      </w:r>
      <w:r>
        <w:rPr>
          <w:spacing w:val="-6"/>
        </w:rPr>
        <w:t> </w:t>
      </w:r>
      <w:r>
        <w:rPr/>
        <w:t>Al</w:t>
      </w:r>
      <w:r>
        <w:rPr>
          <w:spacing w:val="-6"/>
        </w:rPr>
        <w:t> </w:t>
      </w:r>
      <w:r>
        <w:rPr/>
        <w:t>Marzabani,</w:t>
      </w:r>
      <w:r>
        <w:rPr>
          <w:spacing w:val="-3"/>
        </w:rPr>
        <w:t> </w:t>
      </w:r>
      <w:r>
        <w:rPr/>
        <w:t>et</w:t>
      </w:r>
      <w:r>
        <w:rPr>
          <w:spacing w:val="-3"/>
        </w:rPr>
        <w:t> </w:t>
      </w:r>
      <w:r>
        <w:rPr/>
        <w:t>S</w:t>
      </w:r>
      <w:r>
        <w:rPr>
          <w:spacing w:val="-6"/>
        </w:rPr>
        <w:t> </w:t>
      </w:r>
      <w:r>
        <w:rPr/>
        <w:t>A</w:t>
      </w:r>
      <w:r>
        <w:rPr>
          <w:spacing w:val="-5"/>
        </w:rPr>
        <w:t> </w:t>
      </w:r>
      <w:r>
        <w:rPr/>
        <w:t>Shouman.</w:t>
      </w:r>
      <w:r>
        <w:rPr>
          <w:spacing w:val="-6"/>
        </w:rPr>
        <w:t> </w:t>
      </w:r>
      <w:r>
        <w:rPr/>
        <w:t>2015.</w:t>
      </w:r>
      <w:r>
        <w:rPr>
          <w:spacing w:val="-1"/>
        </w:rPr>
        <w:t> </w:t>
      </w:r>
      <w:r>
        <w:rPr/>
        <w:t>«</w:t>
      </w:r>
      <w:r>
        <w:rPr>
          <w:spacing w:val="-9"/>
        </w:rPr>
        <w:t> </w:t>
      </w:r>
      <w:r>
        <w:rPr/>
        <w:t>Targeting</w:t>
      </w:r>
      <w:r>
        <w:rPr>
          <w:spacing w:val="-9"/>
        </w:rPr>
        <w:t> </w:t>
      </w:r>
      <w:r>
        <w:rPr/>
        <w:t>Glycolysis by 3-Bromopyruvate Improves Tamoxifen Cytotoxicity of Breast Cancer Cell Lines </w:t>
      </w:r>
      <w:r>
        <w:rPr>
          <w:spacing w:val="-4"/>
        </w:rPr>
        <w:t>». </w:t>
      </w:r>
      <w:r>
        <w:rPr>
          <w:i/>
        </w:rPr>
        <w:t>BioMed Central Cancer </w:t>
      </w:r>
      <w:r>
        <w:rPr/>
        <w:t>27 (15):</w:t>
      </w:r>
      <w:r>
        <w:rPr>
          <w:spacing w:val="-6"/>
        </w:rPr>
        <w:t> </w:t>
      </w:r>
      <w:r>
        <w:rPr/>
        <w:t>838-45.</w:t>
      </w:r>
    </w:p>
    <w:p>
      <w:pPr>
        <w:pStyle w:val="BodyText"/>
        <w:spacing w:before="3"/>
        <w:ind w:left="836" w:right="116" w:hanging="720"/>
        <w:jc w:val="both"/>
      </w:pPr>
      <w:r>
        <w:rPr/>
        <w:t>Azevedo-Silva, J, O. Queirós, F Baltazar, S Ułaszewski, A Goffeau, Y H Ko, P L Pedersen, A Preto, et M Casal. 2016. « The Anticancer Agent 3-Bromopyruvate: A Simple but Powerful Molecule Taken from the Lab to the Bedside ». </w:t>
      </w:r>
      <w:r>
        <w:rPr>
          <w:i/>
        </w:rPr>
        <w:t>Journal of Bioenergetics and </w:t>
      </w:r>
      <w:r>
        <w:rPr>
          <w:i/>
        </w:rPr>
        <w:t>Biomembranes </w:t>
      </w:r>
      <w:r>
        <w:rPr/>
        <w:t>48 (4): 349</w:t>
      </w:r>
      <w:r>
        <w:rPr>
          <w:rFonts w:ascii="Cambria Math" w:hAnsi="Cambria Math"/>
        </w:rPr>
        <w:t>‑</w:t>
      </w:r>
      <w:r>
        <w:rPr/>
        <w:t>62.</w:t>
      </w:r>
    </w:p>
    <w:p>
      <w:pPr>
        <w:pStyle w:val="BodyText"/>
        <w:ind w:left="836" w:right="115" w:hanging="720"/>
        <w:jc w:val="both"/>
      </w:pPr>
      <w:r>
        <w:rPr/>
        <w:t>Azzarito, T, G Venturi, A Cesolini, et S Fais. 2015. « Lansoprazole induces sensitivity to suboptimal doses of paclitaxel in human melanoma ». </w:t>
      </w:r>
      <w:r>
        <w:rPr>
          <w:i/>
        </w:rPr>
        <w:t>Cancer Letters </w:t>
      </w:r>
      <w:r>
        <w:rPr/>
        <w:t>356 (2, Part B): 697</w:t>
      </w:r>
      <w:r>
        <w:rPr>
          <w:rFonts w:ascii="Cambria Math" w:hAnsi="Cambria Math"/>
        </w:rPr>
        <w:t>‑</w:t>
      </w:r>
      <w:r>
        <w:rPr/>
        <w:t>703.</w:t>
      </w:r>
    </w:p>
    <w:p>
      <w:pPr>
        <w:spacing w:after="0"/>
        <w:jc w:val="both"/>
        <w:sectPr>
          <w:pgSz w:w="11910" w:h="16840"/>
          <w:pgMar w:header="0" w:footer="1055" w:top="1340" w:bottom="1240" w:left="1300" w:right="1300"/>
        </w:sectPr>
      </w:pPr>
    </w:p>
    <w:p>
      <w:pPr>
        <w:pStyle w:val="BodyText"/>
        <w:spacing w:before="70"/>
        <w:ind w:left="836" w:right="114" w:hanging="720"/>
        <w:jc w:val="both"/>
      </w:pPr>
      <w:r>
        <w:rPr/>
        <w:t>Bachelot,</w:t>
      </w:r>
      <w:r>
        <w:rPr>
          <w:spacing w:val="-10"/>
        </w:rPr>
        <w:t> </w:t>
      </w:r>
      <w:r>
        <w:rPr/>
        <w:t>T,</w:t>
      </w:r>
      <w:r>
        <w:rPr>
          <w:spacing w:val="-10"/>
        </w:rPr>
        <w:t> </w:t>
      </w:r>
      <w:r>
        <w:rPr/>
        <w:t>C</w:t>
      </w:r>
      <w:r>
        <w:rPr>
          <w:spacing w:val="-9"/>
        </w:rPr>
        <w:t> </w:t>
      </w:r>
      <w:r>
        <w:rPr/>
        <w:t>Bourgier,</w:t>
      </w:r>
      <w:r>
        <w:rPr>
          <w:spacing w:val="-8"/>
        </w:rPr>
        <w:t> </w:t>
      </w:r>
      <w:r>
        <w:rPr/>
        <w:t>C</w:t>
      </w:r>
      <w:r>
        <w:rPr>
          <w:spacing w:val="-9"/>
        </w:rPr>
        <w:t> </w:t>
      </w:r>
      <w:r>
        <w:rPr/>
        <w:t>Cropet,</w:t>
      </w:r>
      <w:r>
        <w:rPr>
          <w:spacing w:val="-7"/>
        </w:rPr>
        <w:t> </w:t>
      </w:r>
      <w:r>
        <w:rPr/>
        <w:t>I</w:t>
      </w:r>
      <w:r>
        <w:rPr>
          <w:spacing w:val="-15"/>
        </w:rPr>
        <w:t> </w:t>
      </w:r>
      <w:r>
        <w:rPr/>
        <w:t>Ray-Coquard,</w:t>
      </w:r>
      <w:r>
        <w:rPr>
          <w:spacing w:val="-10"/>
        </w:rPr>
        <w:t> </w:t>
      </w:r>
      <w:r>
        <w:rPr/>
        <w:t>J</w:t>
      </w:r>
      <w:r>
        <w:rPr>
          <w:spacing w:val="-7"/>
        </w:rPr>
        <w:t> </w:t>
      </w:r>
      <w:r>
        <w:rPr/>
        <w:t>Ferrero,</w:t>
      </w:r>
      <w:r>
        <w:rPr>
          <w:spacing w:val="-8"/>
        </w:rPr>
        <w:t> </w:t>
      </w:r>
      <w:r>
        <w:rPr/>
        <w:t>G</w:t>
      </w:r>
      <w:r>
        <w:rPr>
          <w:spacing w:val="-10"/>
        </w:rPr>
        <w:t> </w:t>
      </w:r>
      <w:r>
        <w:rPr/>
        <w:t>Freyer,</w:t>
      </w:r>
      <w:r>
        <w:rPr>
          <w:spacing w:val="-10"/>
        </w:rPr>
        <w:t> </w:t>
      </w:r>
      <w:r>
        <w:rPr/>
        <w:t>S</w:t>
      </w:r>
      <w:r>
        <w:rPr>
          <w:spacing w:val="-9"/>
        </w:rPr>
        <w:t> </w:t>
      </w:r>
      <w:r>
        <w:rPr/>
        <w:t>Abadie-Lacourtoisie, et</w:t>
      </w:r>
      <w:r>
        <w:rPr>
          <w:spacing w:val="-11"/>
        </w:rPr>
        <w:t> </w:t>
      </w:r>
      <w:r>
        <w:rPr/>
        <w:t>al.</w:t>
      </w:r>
      <w:r>
        <w:rPr>
          <w:spacing w:val="-11"/>
        </w:rPr>
        <w:t> </w:t>
      </w:r>
      <w:r>
        <w:rPr/>
        <w:t>2012.</w:t>
      </w:r>
      <w:r>
        <w:rPr>
          <w:spacing w:val="-6"/>
        </w:rPr>
        <w:t> </w:t>
      </w:r>
      <w:r>
        <w:rPr/>
        <w:t>«</w:t>
      </w:r>
      <w:r>
        <w:rPr>
          <w:spacing w:val="-9"/>
        </w:rPr>
        <w:t> </w:t>
      </w:r>
      <w:r>
        <w:rPr/>
        <w:t>Randomized</w:t>
      </w:r>
      <w:r>
        <w:rPr>
          <w:spacing w:val="-11"/>
        </w:rPr>
        <w:t> </w:t>
      </w:r>
      <w:r>
        <w:rPr/>
        <w:t>Phase</w:t>
      </w:r>
      <w:r>
        <w:rPr>
          <w:spacing w:val="-9"/>
        </w:rPr>
        <w:t> </w:t>
      </w:r>
      <w:r>
        <w:rPr/>
        <w:t>II</w:t>
      </w:r>
      <w:r>
        <w:rPr>
          <w:spacing w:val="-15"/>
        </w:rPr>
        <w:t> </w:t>
      </w:r>
      <w:r>
        <w:rPr/>
        <w:t>Trial</w:t>
      </w:r>
      <w:r>
        <w:rPr>
          <w:spacing w:val="-11"/>
        </w:rPr>
        <w:t> </w:t>
      </w:r>
      <w:r>
        <w:rPr/>
        <w:t>of</w:t>
      </w:r>
      <w:r>
        <w:rPr>
          <w:spacing w:val="-10"/>
        </w:rPr>
        <w:t> </w:t>
      </w:r>
      <w:r>
        <w:rPr/>
        <w:t>Everolimus</w:t>
      </w:r>
      <w:r>
        <w:rPr>
          <w:spacing w:val="-11"/>
        </w:rPr>
        <w:t> </w:t>
      </w:r>
      <w:r>
        <w:rPr/>
        <w:t>in</w:t>
      </w:r>
      <w:r>
        <w:rPr>
          <w:spacing w:val="-11"/>
        </w:rPr>
        <w:t> </w:t>
      </w:r>
      <w:r>
        <w:rPr/>
        <w:t>Combination</w:t>
      </w:r>
      <w:r>
        <w:rPr>
          <w:spacing w:val="-11"/>
        </w:rPr>
        <w:t> </w:t>
      </w:r>
      <w:r>
        <w:rPr/>
        <w:t>with</w:t>
      </w:r>
      <w:r>
        <w:rPr>
          <w:spacing w:val="-11"/>
        </w:rPr>
        <w:t> </w:t>
      </w:r>
      <w:r>
        <w:rPr/>
        <w:t>Tamoxifen in Patients with Hormone Receptor-Positive, Human Epidermal Growth Factor Receptor 2-Negative Metastatic Breast Cancer with Prior Exposure to Aromatase Inhibitors: A GINECO Study </w:t>
      </w:r>
      <w:r>
        <w:rPr>
          <w:spacing w:val="-4"/>
        </w:rPr>
        <w:t>». </w:t>
      </w:r>
      <w:r>
        <w:rPr>
          <w:i/>
        </w:rPr>
        <w:t>Journal of Clinical Oncology: Official Journal of the </w:t>
      </w:r>
      <w:r>
        <w:rPr>
          <w:i/>
        </w:rPr>
        <w:t>American Society of Clinical Oncology </w:t>
      </w:r>
      <w:r>
        <w:rPr/>
        <w:t>30 (22):</w:t>
      </w:r>
      <w:r>
        <w:rPr>
          <w:spacing w:val="-6"/>
        </w:rPr>
        <w:t> </w:t>
      </w:r>
      <w:r>
        <w:rPr/>
        <w:t>2718</w:t>
      </w:r>
      <w:r>
        <w:rPr>
          <w:rFonts w:ascii="Cambria Math" w:hAnsi="Cambria Math"/>
        </w:rPr>
        <w:t>‑</w:t>
      </w:r>
      <w:r>
        <w:rPr/>
        <w:t>24.</w:t>
      </w:r>
    </w:p>
    <w:p>
      <w:pPr>
        <w:pStyle w:val="BodyText"/>
        <w:ind w:left="836" w:right="114" w:hanging="720"/>
        <w:jc w:val="both"/>
      </w:pPr>
      <w:r>
        <w:rPr/>
        <w:t>Barbieri, F, SThellung, A Ratto, E Carra, V Marini, C Fucile, A Bajetto, et al. 2015. « In vitro and in vivo antiproliferative activity of metformin on stem-like cells isolated from spontaneous canine mammary carcinomas: translational implications for human  tumors </w:t>
      </w:r>
      <w:r>
        <w:rPr>
          <w:spacing w:val="-4"/>
        </w:rPr>
        <w:t>». </w:t>
      </w:r>
      <w:r>
        <w:rPr>
          <w:i/>
        </w:rPr>
        <w:t>BioMed Central Cancer </w:t>
      </w:r>
      <w:r>
        <w:rPr/>
        <w:t>15 (8):</w:t>
      </w:r>
      <w:r>
        <w:rPr>
          <w:spacing w:val="1"/>
        </w:rPr>
        <w:t> </w:t>
      </w:r>
      <w:r>
        <w:rPr/>
        <w:t>221-28.</w:t>
      </w:r>
    </w:p>
    <w:p>
      <w:pPr>
        <w:pStyle w:val="BodyText"/>
        <w:spacing w:line="242" w:lineRule="auto" w:before="1"/>
        <w:ind w:left="836" w:right="114" w:hanging="720"/>
        <w:jc w:val="both"/>
      </w:pPr>
      <w:r>
        <w:rPr/>
        <w:t>Barnes, K, E McIntosh, A D Whetton, G Q Daley, J Bentley, et S A Baldwin. 2005. « Chronic Myeloid Leukaemia: An Investigation into the Role of Bcr-Abl-Induced</w:t>
      </w:r>
      <w:r>
        <w:rPr>
          <w:spacing w:val="-28"/>
        </w:rPr>
        <w:t> </w:t>
      </w:r>
      <w:r>
        <w:rPr/>
        <w:t>Abnormalities in Glucose Transport Regulation </w:t>
      </w:r>
      <w:r>
        <w:rPr>
          <w:spacing w:val="-4"/>
        </w:rPr>
        <w:t>». </w:t>
      </w:r>
      <w:r>
        <w:rPr>
          <w:i/>
        </w:rPr>
        <w:t>Oncogene </w:t>
      </w:r>
      <w:r>
        <w:rPr/>
        <w:t>24 (20):</w:t>
      </w:r>
      <w:r>
        <w:rPr>
          <w:spacing w:val="2"/>
        </w:rPr>
        <w:t> </w:t>
      </w:r>
      <w:r>
        <w:rPr/>
        <w:t>3257</w:t>
      </w:r>
      <w:r>
        <w:rPr>
          <w:rFonts w:ascii="Cambria Math" w:hAnsi="Cambria Math"/>
        </w:rPr>
        <w:t>‑</w:t>
      </w:r>
      <w:r>
        <w:rPr/>
        <w:t>67.</w:t>
      </w:r>
    </w:p>
    <w:p>
      <w:pPr>
        <w:pStyle w:val="BodyText"/>
        <w:spacing w:line="270" w:lineRule="exact"/>
        <w:ind w:left="116"/>
      </w:pPr>
      <w:r>
        <w:rPr/>
        <w:t>Baselga, J, M Campone, M Piccart, H A Burris, H S Rugo, T Sahmoud, S Noguchi, et al. 2012.</w:t>
      </w:r>
    </w:p>
    <w:p>
      <w:pPr>
        <w:spacing w:line="242" w:lineRule="auto" w:before="0"/>
        <w:ind w:left="836" w:right="117" w:firstLine="0"/>
        <w:jc w:val="both"/>
        <w:rPr>
          <w:sz w:val="24"/>
        </w:rPr>
      </w:pPr>
      <w:r>
        <w:rPr>
          <w:sz w:val="24"/>
        </w:rPr>
        <w:t>« Everolimus in Postmenopausal Hormone-Receptor-Positive Advanced Breast Cancer </w:t>
      </w:r>
      <w:r>
        <w:rPr>
          <w:spacing w:val="-4"/>
          <w:sz w:val="24"/>
        </w:rPr>
        <w:t>». </w:t>
      </w:r>
      <w:r>
        <w:rPr>
          <w:i/>
          <w:sz w:val="24"/>
        </w:rPr>
        <w:t>The New England Journal of Medicine </w:t>
      </w:r>
      <w:r>
        <w:rPr>
          <w:sz w:val="24"/>
        </w:rPr>
        <w:t>366 (6):</w:t>
      </w:r>
      <w:r>
        <w:rPr>
          <w:spacing w:val="2"/>
          <w:sz w:val="24"/>
        </w:rPr>
        <w:t> </w:t>
      </w:r>
      <w:r>
        <w:rPr>
          <w:sz w:val="24"/>
        </w:rPr>
        <w:t>520</w:t>
      </w:r>
      <w:r>
        <w:rPr>
          <w:rFonts w:ascii="Cambria Math" w:hAnsi="Cambria Math"/>
          <w:sz w:val="24"/>
        </w:rPr>
        <w:t>‑</w:t>
      </w:r>
      <w:r>
        <w:rPr>
          <w:sz w:val="24"/>
        </w:rPr>
        <w:t>29.</w:t>
      </w:r>
    </w:p>
    <w:p>
      <w:pPr>
        <w:pStyle w:val="BodyText"/>
        <w:spacing w:line="242" w:lineRule="auto"/>
        <w:ind w:left="836" w:right="111" w:hanging="720"/>
        <w:jc w:val="both"/>
      </w:pPr>
      <w:r>
        <w:rPr/>
        <w:t>Baur, M, M Gneist, T Owa, et C Dittrich. 2007. « Clinical Complete Long-Term Remission of a Patient with Metastatic Malignant Melanoma under Therapy with  Indisulam  (E7070) </w:t>
      </w:r>
      <w:r>
        <w:rPr>
          <w:spacing w:val="-4"/>
        </w:rPr>
        <w:t>». </w:t>
      </w:r>
      <w:r>
        <w:rPr>
          <w:i/>
        </w:rPr>
        <w:t>Melanoma Research </w:t>
      </w:r>
      <w:r>
        <w:rPr/>
        <w:t>17 (5):</w:t>
      </w:r>
      <w:r>
        <w:rPr>
          <w:spacing w:val="3"/>
        </w:rPr>
        <w:t> </w:t>
      </w:r>
      <w:r>
        <w:rPr/>
        <w:t>329</w:t>
      </w:r>
      <w:r>
        <w:rPr>
          <w:rFonts w:ascii="Cambria Math" w:hAnsi="Cambria Math"/>
        </w:rPr>
        <w:t>‑</w:t>
      </w:r>
      <w:r>
        <w:rPr/>
        <w:t>31.</w:t>
      </w:r>
    </w:p>
    <w:p>
      <w:pPr>
        <w:pStyle w:val="BodyText"/>
        <w:ind w:left="836" w:right="117" w:hanging="720"/>
        <w:jc w:val="both"/>
      </w:pPr>
      <w:r>
        <w:rPr/>
        <w:t>Behbakht, K, M W Sill, K M. Darcy, C Rubin, R S Mannel, S Waggoner, R J Schilder, K Q Cai, A K Godwin, et R K Alpaugh. 2011. « Phase II Trial of the MTOR Inhibitor, Temsirolimus and Evaluation of Circulating Tumor Cells and Tumor Biomarkers in Persistent and Recurrent Epithelial Ovarian and Primary Peritoneal Malignancies: A Gynecologic Oncology Group Study ». </w:t>
      </w:r>
      <w:r>
        <w:rPr>
          <w:i/>
        </w:rPr>
        <w:t>Gynecologic Oncology </w:t>
      </w:r>
      <w:r>
        <w:rPr/>
        <w:t>123 (1): 19</w:t>
      </w:r>
      <w:r>
        <w:rPr>
          <w:rFonts w:ascii="Cambria Math" w:hAnsi="Cambria Math"/>
        </w:rPr>
        <w:t>‑</w:t>
      </w:r>
      <w:r>
        <w:rPr/>
        <w:t>26.</w:t>
      </w:r>
    </w:p>
    <w:p>
      <w:pPr>
        <w:pStyle w:val="BodyText"/>
        <w:spacing w:line="242" w:lineRule="auto"/>
        <w:ind w:left="836" w:right="115" w:hanging="720"/>
        <w:jc w:val="both"/>
      </w:pPr>
      <w:r>
        <w:rPr/>
        <w:t>Bensinger, S J, et H R Christofk. 2012. « New aspects of the Warburg effect in cancer cell biology ». </w:t>
      </w:r>
      <w:r>
        <w:rPr>
          <w:i/>
        </w:rPr>
        <w:t>Seminars in Cell &amp; Developmental Biology</w:t>
      </w:r>
      <w:r>
        <w:rPr/>
        <w:t>, Cancer Cell Metabolism &amp; Notch Signaling, 23 (4): 352</w:t>
      </w:r>
      <w:r>
        <w:rPr>
          <w:rFonts w:ascii="Cambria Math" w:hAnsi="Cambria Math"/>
        </w:rPr>
        <w:t>‑</w:t>
      </w:r>
      <w:r>
        <w:rPr/>
        <w:t>61.</w:t>
      </w:r>
    </w:p>
    <w:p>
      <w:pPr>
        <w:spacing w:line="242" w:lineRule="auto" w:before="0"/>
        <w:ind w:left="836" w:right="118" w:hanging="720"/>
        <w:jc w:val="both"/>
        <w:rPr>
          <w:sz w:val="24"/>
        </w:rPr>
      </w:pPr>
      <w:r>
        <w:rPr>
          <w:sz w:val="24"/>
        </w:rPr>
        <w:t>Berg, J, M Weinstein, D Springfield, et W Rand. 1995. « Results of Surgery and Doxorubicin Chemotherapy in Dogs with Osteosarcoma. » </w:t>
      </w:r>
      <w:r>
        <w:rPr>
          <w:i/>
          <w:sz w:val="24"/>
        </w:rPr>
        <w:t>Journal of the American Veterinary </w:t>
      </w:r>
      <w:r>
        <w:rPr>
          <w:i/>
          <w:sz w:val="24"/>
        </w:rPr>
        <w:t>Medical Association </w:t>
      </w:r>
      <w:r>
        <w:rPr>
          <w:sz w:val="24"/>
        </w:rPr>
        <w:t>206 (10): 1555</w:t>
      </w:r>
      <w:r>
        <w:rPr>
          <w:rFonts w:ascii="Cambria Math" w:hAnsi="Cambria Math"/>
          <w:sz w:val="24"/>
        </w:rPr>
        <w:t>‑</w:t>
      </w:r>
      <w:r>
        <w:rPr>
          <w:sz w:val="24"/>
        </w:rPr>
        <w:t>60.</w:t>
      </w:r>
    </w:p>
    <w:p>
      <w:pPr>
        <w:pStyle w:val="BodyText"/>
        <w:ind w:left="824" w:right="114" w:hanging="708"/>
        <w:jc w:val="both"/>
      </w:pPr>
      <w:r>
        <w:rPr/>
        <w:t>Berg</w:t>
      </w:r>
      <w:r>
        <w:rPr>
          <w:spacing w:val="-11"/>
        </w:rPr>
        <w:t> </w:t>
      </w:r>
      <w:r>
        <w:rPr/>
        <w:t>J</w:t>
      </w:r>
      <w:r>
        <w:rPr>
          <w:spacing w:val="-6"/>
        </w:rPr>
        <w:t> </w:t>
      </w:r>
      <w:r>
        <w:rPr/>
        <w:t>M,</w:t>
      </w:r>
      <w:r>
        <w:rPr>
          <w:spacing w:val="-8"/>
        </w:rPr>
        <w:t> </w:t>
      </w:r>
      <w:r>
        <w:rPr/>
        <w:t>J</w:t>
      </w:r>
      <w:r>
        <w:rPr>
          <w:spacing w:val="-6"/>
        </w:rPr>
        <w:t> </w:t>
      </w:r>
      <w:r>
        <w:rPr/>
        <w:t>L</w:t>
      </w:r>
      <w:r>
        <w:rPr>
          <w:spacing w:val="-14"/>
        </w:rPr>
        <w:t> </w:t>
      </w:r>
      <w:r>
        <w:rPr/>
        <w:t>Tymoczko</w:t>
      </w:r>
      <w:r>
        <w:rPr>
          <w:spacing w:val="-9"/>
        </w:rPr>
        <w:t> </w:t>
      </w:r>
      <w:r>
        <w:rPr/>
        <w:t>et</w:t>
      </w:r>
      <w:r>
        <w:rPr>
          <w:spacing w:val="-6"/>
        </w:rPr>
        <w:t> </w:t>
      </w:r>
      <w:r>
        <w:rPr/>
        <w:t>L</w:t>
      </w:r>
      <w:r>
        <w:rPr>
          <w:spacing w:val="-14"/>
        </w:rPr>
        <w:t> </w:t>
      </w:r>
      <w:r>
        <w:rPr/>
        <w:t>Stryer.</w:t>
      </w:r>
      <w:r>
        <w:rPr>
          <w:spacing w:val="-7"/>
        </w:rPr>
        <w:t> </w:t>
      </w:r>
      <w:r>
        <w:rPr/>
        <w:t>2013a.</w:t>
      </w:r>
      <w:r>
        <w:rPr>
          <w:spacing w:val="-4"/>
        </w:rPr>
        <w:t> </w:t>
      </w:r>
      <w:r>
        <w:rPr/>
        <w:t>«</w:t>
      </w:r>
      <w:r>
        <w:rPr>
          <w:spacing w:val="-6"/>
        </w:rPr>
        <w:t> </w:t>
      </w:r>
      <w:r>
        <w:rPr/>
        <w:t>Glycolyse</w:t>
      </w:r>
      <w:r>
        <w:rPr>
          <w:spacing w:val="-7"/>
        </w:rPr>
        <w:t> </w:t>
      </w:r>
      <w:r>
        <w:rPr/>
        <w:t>et</w:t>
      </w:r>
      <w:r>
        <w:rPr>
          <w:spacing w:val="-8"/>
        </w:rPr>
        <w:t> </w:t>
      </w:r>
      <w:r>
        <w:rPr/>
        <w:t>Néoglucogenèse</w:t>
      </w:r>
      <w:r>
        <w:rPr>
          <w:spacing w:val="-4"/>
        </w:rPr>
        <w:t> ».</w:t>
      </w:r>
      <w:r>
        <w:rPr>
          <w:spacing w:val="-9"/>
        </w:rPr>
        <w:t> </w:t>
      </w:r>
      <w:r>
        <w:rPr>
          <w:i/>
        </w:rPr>
        <w:t>Biochimie</w:t>
      </w:r>
      <w:r>
        <w:rPr>
          <w:i/>
          <w:spacing w:val="-10"/>
        </w:rPr>
        <w:t> </w:t>
      </w:r>
      <w:r>
        <w:rPr>
          <w:i/>
        </w:rPr>
        <w:t>7ème </w:t>
      </w:r>
      <w:r>
        <w:rPr>
          <w:i/>
        </w:rPr>
        <w:t>édition</w:t>
      </w:r>
      <w:r>
        <w:rPr/>
        <w:t>. Paris : Lavoisier,</w:t>
      </w:r>
      <w:r>
        <w:rPr>
          <w:spacing w:val="-8"/>
        </w:rPr>
        <w:t> </w:t>
      </w:r>
      <w:r>
        <w:rPr/>
        <w:t>453-91.</w:t>
      </w:r>
    </w:p>
    <w:p>
      <w:pPr>
        <w:pStyle w:val="BodyText"/>
        <w:spacing w:before="6"/>
        <w:ind w:left="824" w:right="114" w:hanging="708"/>
        <w:jc w:val="both"/>
      </w:pPr>
      <w:r>
        <w:rPr/>
        <w:t>Berg J M, J L Tymoczko et L Stryer. 2013b. « Cycle de l’acide citrique ». </w:t>
      </w:r>
      <w:r>
        <w:rPr>
          <w:i/>
        </w:rPr>
        <w:t>Biochimie 7ème </w:t>
      </w:r>
      <w:r>
        <w:rPr>
          <w:i/>
        </w:rPr>
        <w:t>édition</w:t>
      </w:r>
      <w:r>
        <w:rPr/>
        <w:t>. Paris : Lavoisier, 497-518.</w:t>
      </w:r>
    </w:p>
    <w:p>
      <w:pPr>
        <w:pStyle w:val="BodyText"/>
        <w:ind w:left="824" w:right="114" w:hanging="708"/>
        <w:jc w:val="both"/>
      </w:pPr>
      <w:r>
        <w:rPr/>
        <w:t>Berg</w:t>
      </w:r>
      <w:r>
        <w:rPr>
          <w:spacing w:val="-11"/>
        </w:rPr>
        <w:t> </w:t>
      </w:r>
      <w:r>
        <w:rPr/>
        <w:t>J</w:t>
      </w:r>
      <w:r>
        <w:rPr>
          <w:spacing w:val="-9"/>
        </w:rPr>
        <w:t> </w:t>
      </w:r>
      <w:r>
        <w:rPr/>
        <w:t>M,</w:t>
      </w:r>
      <w:r>
        <w:rPr>
          <w:spacing w:val="-11"/>
        </w:rPr>
        <w:t> </w:t>
      </w:r>
      <w:r>
        <w:rPr/>
        <w:t>J</w:t>
      </w:r>
      <w:r>
        <w:rPr>
          <w:spacing w:val="-9"/>
        </w:rPr>
        <w:t> </w:t>
      </w:r>
      <w:r>
        <w:rPr/>
        <w:t>L</w:t>
      </w:r>
      <w:r>
        <w:rPr>
          <w:spacing w:val="-16"/>
        </w:rPr>
        <w:t> </w:t>
      </w:r>
      <w:r>
        <w:rPr/>
        <w:t>Tymoczko</w:t>
      </w:r>
      <w:r>
        <w:rPr>
          <w:spacing w:val="-9"/>
        </w:rPr>
        <w:t> </w:t>
      </w:r>
      <w:r>
        <w:rPr/>
        <w:t>et</w:t>
      </w:r>
      <w:r>
        <w:rPr>
          <w:spacing w:val="-8"/>
        </w:rPr>
        <w:t> </w:t>
      </w:r>
      <w:r>
        <w:rPr/>
        <w:t>L</w:t>
      </w:r>
      <w:r>
        <w:rPr>
          <w:spacing w:val="-12"/>
        </w:rPr>
        <w:t> </w:t>
      </w:r>
      <w:r>
        <w:rPr/>
        <w:t>Stryer.</w:t>
      </w:r>
      <w:r>
        <w:rPr>
          <w:spacing w:val="-11"/>
        </w:rPr>
        <w:t> </w:t>
      </w:r>
      <w:r>
        <w:rPr/>
        <w:t>2013c.</w:t>
      </w:r>
      <w:r>
        <w:rPr>
          <w:spacing w:val="-6"/>
        </w:rPr>
        <w:t> </w:t>
      </w:r>
      <w:r>
        <w:rPr/>
        <w:t>«</w:t>
      </w:r>
      <w:r>
        <w:rPr>
          <w:spacing w:val="-4"/>
        </w:rPr>
        <w:t> </w:t>
      </w:r>
      <w:r>
        <w:rPr/>
        <w:t>La</w:t>
      </w:r>
      <w:r>
        <w:rPr>
          <w:spacing w:val="-12"/>
        </w:rPr>
        <w:t> </w:t>
      </w:r>
      <w:r>
        <w:rPr/>
        <w:t>phosphorylation</w:t>
      </w:r>
      <w:r>
        <w:rPr>
          <w:spacing w:val="-10"/>
        </w:rPr>
        <w:t> </w:t>
      </w:r>
      <w:r>
        <w:rPr/>
        <w:t>oxydative</w:t>
      </w:r>
      <w:r>
        <w:rPr>
          <w:spacing w:val="-4"/>
        </w:rPr>
        <w:t> ».</w:t>
      </w:r>
      <w:r>
        <w:rPr>
          <w:spacing w:val="-11"/>
        </w:rPr>
        <w:t> </w:t>
      </w:r>
      <w:r>
        <w:rPr>
          <w:i/>
        </w:rPr>
        <w:t>Biochimie</w:t>
      </w:r>
      <w:r>
        <w:rPr>
          <w:i/>
          <w:spacing w:val="-12"/>
        </w:rPr>
        <w:t> </w:t>
      </w:r>
      <w:r>
        <w:rPr>
          <w:i/>
        </w:rPr>
        <w:t>7ème </w:t>
      </w:r>
      <w:r>
        <w:rPr>
          <w:i/>
        </w:rPr>
        <w:t>édition</w:t>
      </w:r>
      <w:r>
        <w:rPr/>
        <w:t>. Paris : Lavoisier,</w:t>
      </w:r>
      <w:r>
        <w:rPr>
          <w:spacing w:val="-8"/>
        </w:rPr>
        <w:t> </w:t>
      </w:r>
      <w:r>
        <w:rPr/>
        <w:t>525-59.</w:t>
      </w:r>
    </w:p>
    <w:p>
      <w:pPr>
        <w:pStyle w:val="BodyText"/>
        <w:ind w:left="116"/>
      </w:pPr>
      <w:r>
        <w:rPr/>
        <w:t>Berruti, A, R Bitossi, G Gorzegno, A Bottini, P Alquati, A De Matteis, F Nuzzo, et al. 2002.</w:t>
      </w:r>
    </w:p>
    <w:p>
      <w:pPr>
        <w:spacing w:line="240" w:lineRule="auto" w:before="0"/>
        <w:ind w:left="836" w:right="115" w:firstLine="0"/>
        <w:jc w:val="both"/>
        <w:rPr>
          <w:sz w:val="24"/>
        </w:rPr>
      </w:pPr>
      <w:r>
        <w:rPr>
          <w:sz w:val="24"/>
        </w:rPr>
        <w:t>« Time to Progression in Metastatic Breast Cancer Patients Treated with Epirubicin Is Not Improved by the Addition of Either Cisplatin or Lonidamine: Final Results of a Phase III Study with a Factorial Design ». </w:t>
      </w:r>
      <w:r>
        <w:rPr>
          <w:i/>
          <w:sz w:val="24"/>
        </w:rPr>
        <w:t>Journal of Clinical Oncology: Official </w:t>
      </w:r>
      <w:r>
        <w:rPr>
          <w:i/>
          <w:sz w:val="24"/>
        </w:rPr>
        <w:t>Journal of the American Society of Clinical Oncology </w:t>
      </w:r>
      <w:r>
        <w:rPr>
          <w:sz w:val="24"/>
        </w:rPr>
        <w:t>20 (20): 4150</w:t>
      </w:r>
      <w:r>
        <w:rPr>
          <w:rFonts w:ascii="Cambria Math" w:hAnsi="Cambria Math"/>
          <w:sz w:val="24"/>
        </w:rPr>
        <w:t>‑</w:t>
      </w:r>
      <w:r>
        <w:rPr>
          <w:sz w:val="24"/>
        </w:rPr>
        <w:t>59.</w:t>
      </w:r>
    </w:p>
    <w:p>
      <w:pPr>
        <w:spacing w:line="240" w:lineRule="auto" w:before="0"/>
        <w:ind w:left="824" w:right="117" w:hanging="708"/>
        <w:jc w:val="both"/>
        <w:rPr>
          <w:sz w:val="24"/>
        </w:rPr>
      </w:pPr>
      <w:r>
        <w:rPr>
          <w:sz w:val="24"/>
        </w:rPr>
        <w:t>Betterlife. </w:t>
      </w:r>
      <w:r>
        <w:rPr>
          <w:i/>
          <w:sz w:val="24"/>
        </w:rPr>
        <w:t>Betterlife.com Vitamins and Supplements</w:t>
      </w:r>
      <w:r>
        <w:rPr>
          <w:sz w:val="24"/>
        </w:rPr>
        <w:t>. [en ligne], URL : </w:t>
      </w:r>
      <w:hyperlink r:id="rId70">
        <w:r>
          <w:rPr>
            <w:sz w:val="24"/>
          </w:rPr>
          <w:t>http://www.betterlife.com/</w:t>
        </w:r>
      </w:hyperlink>
      <w:r>
        <w:rPr>
          <w:sz w:val="24"/>
        </w:rPr>
        <w:t>.[consulté le 15 septembre 2016]</w:t>
      </w:r>
    </w:p>
    <w:p>
      <w:pPr>
        <w:pStyle w:val="BodyText"/>
        <w:spacing w:before="3"/>
        <w:ind w:left="836" w:right="112" w:hanging="720"/>
        <w:jc w:val="both"/>
      </w:pPr>
      <w:r>
        <w:rPr/>
        <w:t>Beuster,</w:t>
      </w:r>
      <w:r>
        <w:rPr>
          <w:spacing w:val="-14"/>
        </w:rPr>
        <w:t> </w:t>
      </w:r>
      <w:r>
        <w:rPr/>
        <w:t>G,</w:t>
      </w:r>
      <w:r>
        <w:rPr>
          <w:spacing w:val="-16"/>
        </w:rPr>
        <w:t> </w:t>
      </w:r>
      <w:r>
        <w:rPr/>
        <w:t>K</w:t>
      </w:r>
      <w:r>
        <w:rPr>
          <w:spacing w:val="-14"/>
        </w:rPr>
        <w:t> </w:t>
      </w:r>
      <w:r>
        <w:rPr/>
        <w:t>Zarse,</w:t>
      </w:r>
      <w:r>
        <w:rPr>
          <w:spacing w:val="-14"/>
        </w:rPr>
        <w:t> </w:t>
      </w:r>
      <w:r>
        <w:rPr/>
        <w:t>C</w:t>
      </w:r>
      <w:r>
        <w:rPr>
          <w:spacing w:val="-15"/>
        </w:rPr>
        <w:t> </w:t>
      </w:r>
      <w:r>
        <w:rPr/>
        <w:t>Kaleta,</w:t>
      </w:r>
      <w:r>
        <w:rPr>
          <w:spacing w:val="-16"/>
        </w:rPr>
        <w:t> </w:t>
      </w:r>
      <w:r>
        <w:rPr/>
        <w:t>R</w:t>
      </w:r>
      <w:r>
        <w:rPr>
          <w:spacing w:val="-14"/>
        </w:rPr>
        <w:t> </w:t>
      </w:r>
      <w:r>
        <w:rPr/>
        <w:t>Thierbach,</w:t>
      </w:r>
      <w:r>
        <w:rPr>
          <w:spacing w:val="-16"/>
        </w:rPr>
        <w:t> </w:t>
      </w:r>
      <w:r>
        <w:rPr/>
        <w:t>M</w:t>
      </w:r>
      <w:r>
        <w:rPr>
          <w:spacing w:val="-15"/>
        </w:rPr>
        <w:t> </w:t>
      </w:r>
      <w:r>
        <w:rPr/>
        <w:t>Kiehntopf,</w:t>
      </w:r>
      <w:r>
        <w:rPr>
          <w:spacing w:val="-16"/>
        </w:rPr>
        <w:t> </w:t>
      </w:r>
      <w:r>
        <w:rPr/>
        <w:t>P</w:t>
      </w:r>
      <w:r>
        <w:rPr>
          <w:spacing w:val="-14"/>
        </w:rPr>
        <w:t> </w:t>
      </w:r>
      <w:r>
        <w:rPr/>
        <w:t>Steinberg,</w:t>
      </w:r>
      <w:r>
        <w:rPr>
          <w:spacing w:val="-16"/>
        </w:rPr>
        <w:t> </w:t>
      </w:r>
      <w:r>
        <w:rPr/>
        <w:t>S</w:t>
      </w:r>
      <w:r>
        <w:rPr>
          <w:spacing w:val="-15"/>
        </w:rPr>
        <w:t> </w:t>
      </w:r>
      <w:r>
        <w:rPr/>
        <w:t>Schuster,</w:t>
      </w:r>
      <w:r>
        <w:rPr>
          <w:spacing w:val="-17"/>
        </w:rPr>
        <w:t> </w:t>
      </w:r>
      <w:r>
        <w:rPr/>
        <w:t>et</w:t>
      </w:r>
      <w:r>
        <w:rPr>
          <w:spacing w:val="-15"/>
        </w:rPr>
        <w:t> </w:t>
      </w:r>
      <w:r>
        <w:rPr/>
        <w:t>M</w:t>
      </w:r>
      <w:r>
        <w:rPr>
          <w:spacing w:val="-14"/>
        </w:rPr>
        <w:t> </w:t>
      </w:r>
      <w:r>
        <w:rPr/>
        <w:t>Ristow. 2011. « Inhibition of Alanine Aminotransferase in Silico and in Vivo Promotes Mitochondrial Metabolism to Impair Malignant Growth </w:t>
      </w:r>
      <w:r>
        <w:rPr>
          <w:spacing w:val="-4"/>
        </w:rPr>
        <w:t>».</w:t>
      </w:r>
      <w:r>
        <w:rPr>
          <w:spacing w:val="51"/>
        </w:rPr>
        <w:t> </w:t>
      </w:r>
      <w:r>
        <w:rPr>
          <w:i/>
        </w:rPr>
        <w:t>Journal of Biological </w:t>
      </w:r>
      <w:r>
        <w:rPr>
          <w:i/>
        </w:rPr>
        <w:t>Chemistry </w:t>
      </w:r>
      <w:r>
        <w:rPr/>
        <w:t>286 (25):</w:t>
      </w:r>
      <w:r>
        <w:rPr>
          <w:spacing w:val="-4"/>
        </w:rPr>
        <w:t> </w:t>
      </w:r>
      <w:r>
        <w:rPr/>
        <w:t>22323</w:t>
      </w:r>
      <w:r>
        <w:rPr>
          <w:rFonts w:ascii="Cambria Math" w:hAnsi="Cambria Math"/>
        </w:rPr>
        <w:t>‑</w:t>
      </w:r>
      <w:r>
        <w:rPr/>
        <w:t>30.</w:t>
      </w:r>
    </w:p>
    <w:p>
      <w:pPr>
        <w:spacing w:line="242" w:lineRule="auto" w:before="0"/>
        <w:ind w:left="836" w:right="115" w:hanging="720"/>
        <w:jc w:val="both"/>
        <w:rPr>
          <w:sz w:val="24"/>
        </w:rPr>
      </w:pPr>
      <w:r>
        <w:rPr>
          <w:sz w:val="24"/>
        </w:rPr>
        <w:t>Bhaskar, A, et B N Tiwary. 2016. « Hypoxia Inducible Factor-1 Alpha and  Multiple  Myeloma </w:t>
      </w:r>
      <w:r>
        <w:rPr>
          <w:spacing w:val="-4"/>
          <w:sz w:val="24"/>
        </w:rPr>
        <w:t>». </w:t>
      </w:r>
      <w:r>
        <w:rPr>
          <w:i/>
          <w:sz w:val="24"/>
        </w:rPr>
        <w:t>International Journal of Advanced Research </w:t>
      </w:r>
      <w:r>
        <w:rPr>
          <w:sz w:val="24"/>
        </w:rPr>
        <w:t>4 (1):</w:t>
      </w:r>
      <w:r>
        <w:rPr>
          <w:spacing w:val="-2"/>
          <w:sz w:val="24"/>
        </w:rPr>
        <w:t> </w:t>
      </w:r>
      <w:r>
        <w:rPr>
          <w:sz w:val="24"/>
        </w:rPr>
        <w:t>706</w:t>
      </w:r>
      <w:r>
        <w:rPr>
          <w:rFonts w:ascii="Cambria Math" w:hAnsi="Cambria Math"/>
          <w:sz w:val="24"/>
        </w:rPr>
        <w:t>‑</w:t>
      </w:r>
      <w:r>
        <w:rPr>
          <w:sz w:val="24"/>
        </w:rPr>
        <w:t>15.</w:t>
      </w:r>
    </w:p>
    <w:p>
      <w:pPr>
        <w:spacing w:after="0" w:line="242" w:lineRule="auto"/>
        <w:jc w:val="both"/>
        <w:rPr>
          <w:sz w:val="24"/>
        </w:rPr>
        <w:sectPr>
          <w:pgSz w:w="11910" w:h="16840"/>
          <w:pgMar w:header="0" w:footer="995" w:top="1320" w:bottom="1180" w:left="1300" w:right="1300"/>
        </w:sectPr>
      </w:pPr>
    </w:p>
    <w:p>
      <w:pPr>
        <w:pStyle w:val="BodyText"/>
        <w:spacing w:line="242" w:lineRule="auto" w:before="70"/>
        <w:ind w:left="836" w:right="112" w:hanging="720"/>
        <w:jc w:val="both"/>
      </w:pPr>
      <w:r>
        <w:rPr/>
        <w:t>Bhat, T A, S Kumar, A K Chaudhary, N Yadav, et D Chandra. 2015. « Restoration of Mitochondria</w:t>
      </w:r>
      <w:r>
        <w:rPr>
          <w:spacing w:val="-12"/>
        </w:rPr>
        <w:t> </w:t>
      </w:r>
      <w:r>
        <w:rPr/>
        <w:t>Function</w:t>
      </w:r>
      <w:r>
        <w:rPr>
          <w:spacing w:val="-11"/>
        </w:rPr>
        <w:t> </w:t>
      </w:r>
      <w:r>
        <w:rPr/>
        <w:t>as</w:t>
      </w:r>
      <w:r>
        <w:rPr>
          <w:spacing w:val="-11"/>
        </w:rPr>
        <w:t> </w:t>
      </w:r>
      <w:r>
        <w:rPr/>
        <w:t>a</w:t>
      </w:r>
      <w:r>
        <w:rPr>
          <w:spacing w:val="-12"/>
        </w:rPr>
        <w:t> </w:t>
      </w:r>
      <w:r>
        <w:rPr/>
        <w:t>Target</w:t>
      </w:r>
      <w:r>
        <w:rPr>
          <w:spacing w:val="-11"/>
        </w:rPr>
        <w:t> </w:t>
      </w:r>
      <w:r>
        <w:rPr/>
        <w:t>for</w:t>
      </w:r>
      <w:r>
        <w:rPr>
          <w:spacing w:val="-13"/>
        </w:rPr>
        <w:t> </w:t>
      </w:r>
      <w:r>
        <w:rPr/>
        <w:t>Cancer</w:t>
      </w:r>
      <w:r>
        <w:rPr>
          <w:spacing w:val="-12"/>
        </w:rPr>
        <w:t> </w:t>
      </w:r>
      <w:r>
        <w:rPr/>
        <w:t>Therapy</w:t>
      </w:r>
      <w:r>
        <w:rPr>
          <w:spacing w:val="1"/>
        </w:rPr>
        <w:t> </w:t>
      </w:r>
      <w:r>
        <w:rPr>
          <w:spacing w:val="-4"/>
        </w:rPr>
        <w:t>».</w:t>
      </w:r>
      <w:r>
        <w:rPr>
          <w:spacing w:val="-9"/>
        </w:rPr>
        <w:t> </w:t>
      </w:r>
      <w:r>
        <w:rPr>
          <w:i/>
        </w:rPr>
        <w:t>Drug</w:t>
      </w:r>
      <w:r>
        <w:rPr>
          <w:i/>
          <w:spacing w:val="-11"/>
        </w:rPr>
        <w:t> </w:t>
      </w:r>
      <w:r>
        <w:rPr>
          <w:i/>
        </w:rPr>
        <w:t>Discovery</w:t>
      </w:r>
      <w:r>
        <w:rPr>
          <w:i/>
          <w:spacing w:val="-12"/>
        </w:rPr>
        <w:t> </w:t>
      </w:r>
      <w:r>
        <w:rPr>
          <w:i/>
        </w:rPr>
        <w:t>Today</w:t>
      </w:r>
      <w:r>
        <w:rPr>
          <w:i/>
          <w:spacing w:val="-11"/>
        </w:rPr>
        <w:t> </w:t>
      </w:r>
      <w:r>
        <w:rPr/>
        <w:t>20</w:t>
      </w:r>
      <w:r>
        <w:rPr>
          <w:spacing w:val="-11"/>
        </w:rPr>
        <w:t> </w:t>
      </w:r>
      <w:r>
        <w:rPr/>
        <w:t>(5): 635</w:t>
      </w:r>
      <w:r>
        <w:rPr>
          <w:rFonts w:ascii="Cambria Math" w:hAnsi="Cambria Math"/>
        </w:rPr>
        <w:t>‑</w:t>
      </w:r>
      <w:r>
        <w:rPr/>
        <w:t>43.</w:t>
      </w:r>
    </w:p>
    <w:p>
      <w:pPr>
        <w:pStyle w:val="BodyText"/>
        <w:spacing w:line="272" w:lineRule="exact"/>
        <w:ind w:left="116"/>
      </w:pPr>
      <w:r>
        <w:rPr/>
        <w:t>Billiard, J, J B Dennison, J Briand, R S Annan, D Chai, M Colón, C S Dodson, et al. 2013.</w:t>
      </w:r>
    </w:p>
    <w:p>
      <w:pPr>
        <w:pStyle w:val="BodyText"/>
        <w:ind w:left="836" w:right="119"/>
        <w:jc w:val="both"/>
      </w:pPr>
      <w:r>
        <w:rPr/>
        <w:t>« Quinoline 3-Sulfonamides Inhibit Lactate Dehydrogenase A and Reverse Aerobic Glycolysis in Cancer Cells ». </w:t>
      </w:r>
      <w:r>
        <w:rPr>
          <w:i/>
        </w:rPr>
        <w:t>Cancer &amp; Metabolism </w:t>
      </w:r>
      <w:r>
        <w:rPr/>
        <w:t>1 (1): 1-19.</w:t>
      </w:r>
    </w:p>
    <w:p>
      <w:pPr>
        <w:pStyle w:val="BodyText"/>
        <w:ind w:left="116"/>
      </w:pPr>
      <w:r>
        <w:rPr/>
        <w:t>Blagosklonny, M V. 2012. « Rapalogs in Cancer Prevention: Anti-Aging or Anticancer? »</w:t>
      </w:r>
    </w:p>
    <w:p>
      <w:pPr>
        <w:spacing w:line="279" w:lineRule="exact" w:before="3"/>
        <w:ind w:left="836" w:right="0" w:firstLine="0"/>
        <w:jc w:val="both"/>
        <w:rPr>
          <w:sz w:val="24"/>
        </w:rPr>
      </w:pPr>
      <w:r>
        <w:rPr>
          <w:i/>
          <w:sz w:val="24"/>
        </w:rPr>
        <w:t>Cancer Biology &amp; Therapy </w:t>
      </w:r>
      <w:r>
        <w:rPr>
          <w:sz w:val="24"/>
        </w:rPr>
        <w:t>13 (14): 1349</w:t>
      </w:r>
      <w:r>
        <w:rPr>
          <w:rFonts w:ascii="Cambria Math" w:hAnsi="Cambria Math"/>
          <w:sz w:val="24"/>
        </w:rPr>
        <w:t>‑</w:t>
      </w:r>
      <w:r>
        <w:rPr>
          <w:sz w:val="24"/>
        </w:rPr>
        <w:t>54.</w:t>
      </w:r>
    </w:p>
    <w:p>
      <w:pPr>
        <w:pStyle w:val="BodyText"/>
        <w:ind w:left="836" w:right="112" w:hanging="720"/>
        <w:jc w:val="both"/>
      </w:pPr>
      <w:r>
        <w:rPr/>
        <w:t>Bonnet, S, S L Archer, J Allalunis-Turner, A Haromy, C Beaulieu, R Thompson, C T Lee, et al. 2007. « A Mitochondria-K+ Channel Axis Is Suppressed in Cancer and Its Normalization Promotes Apoptosis and Inhibits Cancer Growth ». </w:t>
      </w:r>
      <w:r>
        <w:rPr>
          <w:i/>
        </w:rPr>
        <w:t>Cancer Cell </w:t>
      </w:r>
      <w:r>
        <w:rPr/>
        <w:t>11 (1): 37</w:t>
      </w:r>
      <w:r>
        <w:rPr>
          <w:rFonts w:ascii="Cambria Math" w:hAnsi="Cambria Math"/>
        </w:rPr>
        <w:t>‑</w:t>
      </w:r>
      <w:r>
        <w:rPr/>
        <w:t>51.</w:t>
      </w:r>
    </w:p>
    <w:p>
      <w:pPr>
        <w:pStyle w:val="BodyText"/>
        <w:ind w:left="836" w:right="117" w:hanging="720"/>
        <w:jc w:val="both"/>
      </w:pPr>
      <w:r>
        <w:rPr/>
        <w:t>Bucay,</w:t>
      </w:r>
      <w:r>
        <w:rPr>
          <w:spacing w:val="-2"/>
        </w:rPr>
        <w:t> </w:t>
      </w:r>
      <w:r>
        <w:rPr/>
        <w:t>A</w:t>
      </w:r>
      <w:r>
        <w:rPr>
          <w:spacing w:val="-4"/>
        </w:rPr>
        <w:t> </w:t>
      </w:r>
      <w:r>
        <w:rPr/>
        <w:t>H.</w:t>
      </w:r>
      <w:r>
        <w:rPr>
          <w:spacing w:val="-4"/>
        </w:rPr>
        <w:t> </w:t>
      </w:r>
      <w:r>
        <w:rPr/>
        <w:t>2009.</w:t>
      </w:r>
      <w:r>
        <w:rPr>
          <w:spacing w:val="0"/>
        </w:rPr>
        <w:t> </w:t>
      </w:r>
      <w:r>
        <w:rPr/>
        <w:t>«</w:t>
      </w:r>
      <w:r>
        <w:rPr>
          <w:spacing w:val="-6"/>
        </w:rPr>
        <w:t> </w:t>
      </w:r>
      <w:r>
        <w:rPr/>
        <w:t>Hypothesis</w:t>
      </w:r>
      <w:r>
        <w:rPr>
          <w:spacing w:val="-3"/>
        </w:rPr>
        <w:t> </w:t>
      </w:r>
      <w:r>
        <w:rPr/>
        <w:t>proved…citric</w:t>
      </w:r>
      <w:r>
        <w:rPr>
          <w:spacing w:val="-3"/>
        </w:rPr>
        <w:t> </w:t>
      </w:r>
      <w:r>
        <w:rPr/>
        <w:t>acid</w:t>
      </w:r>
      <w:r>
        <w:rPr>
          <w:spacing w:val="-3"/>
        </w:rPr>
        <w:t> </w:t>
      </w:r>
      <w:r>
        <w:rPr/>
        <w:t>(citrate)</w:t>
      </w:r>
      <w:r>
        <w:rPr>
          <w:spacing w:val="-5"/>
        </w:rPr>
        <w:t> </w:t>
      </w:r>
      <w:r>
        <w:rPr/>
        <w:t>does</w:t>
      </w:r>
      <w:r>
        <w:rPr>
          <w:spacing w:val="-4"/>
        </w:rPr>
        <w:t> </w:t>
      </w:r>
      <w:r>
        <w:rPr/>
        <w:t>improve</w:t>
      </w:r>
      <w:r>
        <w:rPr>
          <w:spacing w:val="-3"/>
        </w:rPr>
        <w:t> </w:t>
      </w:r>
      <w:r>
        <w:rPr/>
        <w:t>cancer:</w:t>
      </w:r>
      <w:r>
        <w:rPr>
          <w:spacing w:val="-4"/>
        </w:rPr>
        <w:t> </w:t>
      </w:r>
      <w:r>
        <w:rPr/>
        <w:t>A</w:t>
      </w:r>
      <w:r>
        <w:rPr>
          <w:spacing w:val="-4"/>
        </w:rPr>
        <w:t> </w:t>
      </w:r>
      <w:r>
        <w:rPr/>
        <w:t>case</w:t>
      </w:r>
      <w:r>
        <w:rPr>
          <w:spacing w:val="-5"/>
        </w:rPr>
        <w:t> </w:t>
      </w:r>
      <w:r>
        <w:rPr/>
        <w:t>of</w:t>
      </w:r>
      <w:r>
        <w:rPr>
          <w:spacing w:val="-5"/>
        </w:rPr>
        <w:t> </w:t>
      </w:r>
      <w:r>
        <w:rPr/>
        <w:t>a patient suffering from medullary thyroid cancer ». </w:t>
      </w:r>
      <w:r>
        <w:rPr>
          <w:i/>
        </w:rPr>
        <w:t>Medical Hypotheses </w:t>
      </w:r>
      <w:r>
        <w:rPr/>
        <w:t>73 (2):</w:t>
      </w:r>
      <w:r>
        <w:rPr>
          <w:spacing w:val="-14"/>
        </w:rPr>
        <w:t> </w:t>
      </w:r>
      <w:r>
        <w:rPr/>
        <w:t>271-79.</w:t>
      </w:r>
    </w:p>
    <w:p>
      <w:pPr>
        <w:spacing w:before="1"/>
        <w:ind w:left="836" w:right="112" w:hanging="720"/>
        <w:jc w:val="both"/>
        <w:rPr>
          <w:sz w:val="24"/>
        </w:rPr>
      </w:pPr>
      <w:r>
        <w:rPr>
          <w:sz w:val="24"/>
        </w:rPr>
        <w:t>Bucay, A H. 2011. « Clinical report: A patient with primary peritoneal mesothelioma that has improved after taking citric acid orally ». </w:t>
      </w:r>
      <w:r>
        <w:rPr>
          <w:i/>
          <w:sz w:val="24"/>
        </w:rPr>
        <w:t>Clinics and Research in Hepatology and </w:t>
      </w:r>
      <w:r>
        <w:rPr>
          <w:i/>
          <w:sz w:val="24"/>
        </w:rPr>
        <w:t>Gastroenterology </w:t>
      </w:r>
      <w:r>
        <w:rPr>
          <w:sz w:val="24"/>
        </w:rPr>
        <w:t>35 (3): 241-48.</w:t>
      </w:r>
    </w:p>
    <w:p>
      <w:pPr>
        <w:pStyle w:val="BodyText"/>
        <w:spacing w:line="242" w:lineRule="auto"/>
        <w:ind w:left="836" w:right="113" w:hanging="720"/>
        <w:jc w:val="both"/>
      </w:pPr>
      <w:r>
        <w:rPr/>
        <w:t>Budczies, J, B M Pfitzner, B Györffy, K Winzer, C Radke, M Dietel, O Fiehn, et C Denkert. 2015. « Glutamate Enrichment as New Diagnostic Opportunity in Breast Cancer ». </w:t>
      </w:r>
      <w:r>
        <w:rPr>
          <w:i/>
        </w:rPr>
        <w:t>International Journal of Cancer </w:t>
      </w:r>
      <w:r>
        <w:rPr/>
        <w:t>136 (7): 1619</w:t>
      </w:r>
      <w:r>
        <w:rPr>
          <w:rFonts w:ascii="Cambria Math" w:hAnsi="Cambria Math"/>
        </w:rPr>
        <w:t>‑</w:t>
      </w:r>
      <w:r>
        <w:rPr/>
        <w:t>28.</w:t>
      </w:r>
    </w:p>
    <w:p>
      <w:pPr>
        <w:pStyle w:val="BodyText"/>
        <w:ind w:left="836" w:right="111" w:hanging="720"/>
        <w:jc w:val="both"/>
      </w:pPr>
      <w:r>
        <w:rPr/>
        <w:t>Byun, E, J W Lim, J M Kim, et H Kim. 2014. « α-Lipoic Acid Inhibits Helicobacter Pylori- Induced</w:t>
      </w:r>
      <w:r>
        <w:rPr>
          <w:spacing w:val="-10"/>
        </w:rPr>
        <w:t> </w:t>
      </w:r>
      <w:r>
        <w:rPr/>
        <w:t>Oncogene</w:t>
      </w:r>
      <w:r>
        <w:rPr>
          <w:spacing w:val="-11"/>
        </w:rPr>
        <w:t> </w:t>
      </w:r>
      <w:r>
        <w:rPr/>
        <w:t>Expression</w:t>
      </w:r>
      <w:r>
        <w:rPr>
          <w:spacing w:val="-10"/>
        </w:rPr>
        <w:t> </w:t>
      </w:r>
      <w:r>
        <w:rPr/>
        <w:t>and</w:t>
      </w:r>
      <w:r>
        <w:rPr>
          <w:spacing w:val="-10"/>
        </w:rPr>
        <w:t> </w:t>
      </w:r>
      <w:r>
        <w:rPr/>
        <w:t>Hyperproliferation</w:t>
      </w:r>
      <w:r>
        <w:rPr>
          <w:spacing w:val="-9"/>
        </w:rPr>
        <w:t> </w:t>
      </w:r>
      <w:r>
        <w:rPr/>
        <w:t>by</w:t>
      </w:r>
      <w:r>
        <w:rPr>
          <w:spacing w:val="-13"/>
        </w:rPr>
        <w:t> </w:t>
      </w:r>
      <w:r>
        <w:rPr/>
        <w:t>Suppressing</w:t>
      </w:r>
      <w:r>
        <w:rPr>
          <w:spacing w:val="-12"/>
        </w:rPr>
        <w:t> </w:t>
      </w:r>
      <w:r>
        <w:rPr/>
        <w:t>the</w:t>
      </w:r>
      <w:r>
        <w:rPr>
          <w:spacing w:val="-10"/>
        </w:rPr>
        <w:t> </w:t>
      </w:r>
      <w:r>
        <w:rPr/>
        <w:t>Activation</w:t>
      </w:r>
      <w:r>
        <w:rPr>
          <w:spacing w:val="-10"/>
        </w:rPr>
        <w:t> </w:t>
      </w:r>
      <w:r>
        <w:rPr/>
        <w:t>of NADPH Oxidase in Gastric Epithelial Cells </w:t>
      </w:r>
      <w:r>
        <w:rPr>
          <w:spacing w:val="-4"/>
        </w:rPr>
        <w:t>». </w:t>
      </w:r>
      <w:r>
        <w:rPr>
          <w:i/>
        </w:rPr>
        <w:t>Mediators of Inflammation </w:t>
      </w:r>
      <w:r>
        <w:rPr/>
        <w:t>38 (8): 232- 39.</w:t>
      </w:r>
    </w:p>
    <w:p>
      <w:pPr>
        <w:spacing w:line="242" w:lineRule="auto" w:before="6"/>
        <w:ind w:left="836" w:right="114" w:hanging="720"/>
        <w:jc w:val="both"/>
        <w:rPr>
          <w:sz w:val="24"/>
        </w:rPr>
      </w:pPr>
      <w:r>
        <w:rPr>
          <w:sz w:val="24"/>
        </w:rPr>
        <w:t>Caino, M C, et D C Altieri. 2016. « Molecular Pathways: Mitochondrial Reprogramming in Tumor Progression and Therapy ». </w:t>
      </w:r>
      <w:r>
        <w:rPr>
          <w:i/>
          <w:sz w:val="24"/>
        </w:rPr>
        <w:t>Clinical Cancer Research: An Official Journal of </w:t>
      </w:r>
      <w:r>
        <w:rPr>
          <w:i/>
          <w:sz w:val="24"/>
        </w:rPr>
        <w:t>the American Association for Cancer Research </w:t>
      </w:r>
      <w:r>
        <w:rPr>
          <w:sz w:val="24"/>
        </w:rPr>
        <w:t>22 (3): 540</w:t>
      </w:r>
      <w:r>
        <w:rPr>
          <w:rFonts w:ascii="Cambria Math" w:hAnsi="Cambria Math"/>
          <w:sz w:val="24"/>
        </w:rPr>
        <w:t>‑</w:t>
      </w:r>
      <w:r>
        <w:rPr>
          <w:sz w:val="24"/>
        </w:rPr>
        <w:t>45.</w:t>
      </w:r>
    </w:p>
    <w:p>
      <w:pPr>
        <w:pStyle w:val="BodyText"/>
        <w:ind w:left="836" w:right="115" w:hanging="720"/>
        <w:jc w:val="both"/>
      </w:pPr>
      <w:r>
        <w:rPr/>
        <w:t>Canu,</w:t>
      </w:r>
      <w:r>
        <w:rPr>
          <w:spacing w:val="-11"/>
        </w:rPr>
        <w:t> </w:t>
      </w:r>
      <w:r>
        <w:rPr/>
        <w:t>B,</w:t>
      </w:r>
      <w:r>
        <w:rPr>
          <w:spacing w:val="-9"/>
        </w:rPr>
        <w:t> </w:t>
      </w:r>
      <w:r>
        <w:rPr/>
        <w:t>A</w:t>
      </w:r>
      <w:r>
        <w:rPr>
          <w:spacing w:val="-9"/>
        </w:rPr>
        <w:t> </w:t>
      </w:r>
      <w:r>
        <w:rPr/>
        <w:t>Fioravanti,</w:t>
      </w:r>
      <w:r>
        <w:rPr>
          <w:spacing w:val="-11"/>
        </w:rPr>
        <w:t> </w:t>
      </w:r>
      <w:r>
        <w:rPr/>
        <w:t>P</w:t>
      </w:r>
      <w:r>
        <w:rPr>
          <w:spacing w:val="-8"/>
        </w:rPr>
        <w:t> </w:t>
      </w:r>
      <w:r>
        <w:rPr/>
        <w:t>Orlandi,</w:t>
      </w:r>
      <w:r>
        <w:rPr>
          <w:spacing w:val="-11"/>
        </w:rPr>
        <w:t> </w:t>
      </w:r>
      <w:r>
        <w:rPr/>
        <w:t>T</w:t>
      </w:r>
      <w:r>
        <w:rPr>
          <w:spacing w:val="-11"/>
        </w:rPr>
        <w:t> </w:t>
      </w:r>
      <w:r>
        <w:rPr/>
        <w:t>Di</w:t>
      </w:r>
      <w:r>
        <w:rPr>
          <w:spacing w:val="-9"/>
        </w:rPr>
        <w:t> </w:t>
      </w:r>
      <w:r>
        <w:rPr/>
        <w:t>Desidero,</w:t>
      </w:r>
      <w:r>
        <w:rPr>
          <w:spacing w:val="-9"/>
        </w:rPr>
        <w:t> </w:t>
      </w:r>
      <w:r>
        <w:rPr/>
        <w:t>G</w:t>
      </w:r>
      <w:r>
        <w:rPr>
          <w:spacing w:val="-12"/>
        </w:rPr>
        <w:t> </w:t>
      </w:r>
      <w:r>
        <w:rPr/>
        <w:t>Alì,</w:t>
      </w:r>
      <w:r>
        <w:rPr>
          <w:spacing w:val="-11"/>
        </w:rPr>
        <w:t> </w:t>
      </w:r>
      <w:r>
        <w:rPr/>
        <w:t>G</w:t>
      </w:r>
      <w:r>
        <w:rPr>
          <w:spacing w:val="-8"/>
        </w:rPr>
        <w:t> </w:t>
      </w:r>
      <w:r>
        <w:rPr/>
        <w:t>Fontanini,</w:t>
      </w:r>
      <w:r>
        <w:rPr>
          <w:spacing w:val="-11"/>
        </w:rPr>
        <w:t> </w:t>
      </w:r>
      <w:r>
        <w:rPr/>
        <w:t>A</w:t>
      </w:r>
      <w:r>
        <w:rPr>
          <w:spacing w:val="-9"/>
        </w:rPr>
        <w:t> </w:t>
      </w:r>
      <w:r>
        <w:rPr/>
        <w:t>Di</w:t>
      </w:r>
      <w:r>
        <w:rPr>
          <w:spacing w:val="-9"/>
        </w:rPr>
        <w:t> </w:t>
      </w:r>
      <w:r>
        <w:rPr/>
        <w:t>Paolo,</w:t>
      </w:r>
      <w:r>
        <w:rPr>
          <w:spacing w:val="-11"/>
        </w:rPr>
        <w:t> </w:t>
      </w:r>
      <w:r>
        <w:rPr/>
        <w:t>M</w:t>
      </w:r>
      <w:r>
        <w:rPr>
          <w:spacing w:val="-10"/>
        </w:rPr>
        <w:t> </w:t>
      </w:r>
      <w:r>
        <w:rPr/>
        <w:t>Del</w:t>
      </w:r>
      <w:r>
        <w:rPr>
          <w:spacing w:val="-11"/>
        </w:rPr>
        <w:t> </w:t>
      </w:r>
      <w:r>
        <w:rPr/>
        <w:t>Tacca, R</w:t>
      </w:r>
      <w:r>
        <w:rPr>
          <w:spacing w:val="-7"/>
        </w:rPr>
        <w:t> </w:t>
      </w:r>
      <w:r>
        <w:rPr/>
        <w:t>Danesi,</w:t>
      </w:r>
      <w:r>
        <w:rPr>
          <w:spacing w:val="-7"/>
        </w:rPr>
        <w:t> </w:t>
      </w:r>
      <w:r>
        <w:rPr/>
        <w:t>et</w:t>
      </w:r>
      <w:r>
        <w:rPr>
          <w:spacing w:val="-7"/>
        </w:rPr>
        <w:t> </w:t>
      </w:r>
      <w:r>
        <w:rPr/>
        <w:t>G</w:t>
      </w:r>
      <w:r>
        <w:rPr>
          <w:spacing w:val="-8"/>
        </w:rPr>
        <w:t> </w:t>
      </w:r>
      <w:r>
        <w:rPr/>
        <w:t>Bocci.</w:t>
      </w:r>
      <w:r>
        <w:rPr>
          <w:spacing w:val="-6"/>
        </w:rPr>
        <w:t> </w:t>
      </w:r>
      <w:r>
        <w:rPr/>
        <w:t>2011.</w:t>
      </w:r>
      <w:r>
        <w:rPr>
          <w:spacing w:val="-2"/>
        </w:rPr>
        <w:t> </w:t>
      </w:r>
      <w:r>
        <w:rPr/>
        <w:t>«</w:t>
      </w:r>
      <w:r>
        <w:rPr>
          <w:spacing w:val="-7"/>
        </w:rPr>
        <w:t> </w:t>
      </w:r>
      <w:r>
        <w:rPr/>
        <w:t>Irinotecan</w:t>
      </w:r>
      <w:r>
        <w:rPr>
          <w:spacing w:val="-7"/>
        </w:rPr>
        <w:t> </w:t>
      </w:r>
      <w:r>
        <w:rPr/>
        <w:t>Synergistically</w:t>
      </w:r>
      <w:r>
        <w:rPr>
          <w:spacing w:val="-12"/>
        </w:rPr>
        <w:t> </w:t>
      </w:r>
      <w:r>
        <w:rPr/>
        <w:t>Enhances</w:t>
      </w:r>
      <w:r>
        <w:rPr>
          <w:spacing w:val="-7"/>
        </w:rPr>
        <w:t> </w:t>
      </w:r>
      <w:r>
        <w:rPr/>
        <w:t>the</w:t>
      </w:r>
      <w:r>
        <w:rPr>
          <w:spacing w:val="-8"/>
        </w:rPr>
        <w:t> </w:t>
      </w:r>
      <w:r>
        <w:rPr/>
        <w:t>Antiproliferative and Proapoptotic Effects of Axitinib </w:t>
      </w:r>
      <w:r>
        <w:rPr>
          <w:spacing w:val="-3"/>
        </w:rPr>
        <w:t>In </w:t>
      </w:r>
      <w:r>
        <w:rPr/>
        <w:t>Vitro and Improves Its Anticancer Activity In Vivo </w:t>
      </w:r>
      <w:r>
        <w:rPr>
          <w:spacing w:val="-4"/>
        </w:rPr>
        <w:t>». </w:t>
      </w:r>
      <w:r>
        <w:rPr>
          <w:i/>
        </w:rPr>
        <w:t>Neoplasia (New York, N.Y.) </w:t>
      </w:r>
      <w:r>
        <w:rPr/>
        <w:t>13 (3):</w:t>
      </w:r>
      <w:r>
        <w:rPr>
          <w:spacing w:val="2"/>
        </w:rPr>
        <w:t> </w:t>
      </w:r>
      <w:r>
        <w:rPr/>
        <w:t>217</w:t>
      </w:r>
      <w:r>
        <w:rPr>
          <w:rFonts w:ascii="Cambria Math" w:hAnsi="Cambria Math"/>
        </w:rPr>
        <w:t>‑</w:t>
      </w:r>
      <w:r>
        <w:rPr/>
        <w:t>29.</w:t>
      </w:r>
    </w:p>
    <w:p>
      <w:pPr>
        <w:pStyle w:val="BodyText"/>
        <w:spacing w:line="242" w:lineRule="auto" w:before="6"/>
        <w:ind w:left="836" w:right="114" w:hanging="720"/>
        <w:jc w:val="both"/>
      </w:pPr>
      <w:r>
        <w:rPr/>
        <w:t>Cao,</w:t>
      </w:r>
      <w:r>
        <w:rPr>
          <w:spacing w:val="-4"/>
        </w:rPr>
        <w:t> </w:t>
      </w:r>
      <w:r>
        <w:rPr/>
        <w:t>W,</w:t>
      </w:r>
      <w:r>
        <w:rPr>
          <w:spacing w:val="-4"/>
        </w:rPr>
        <w:t> </w:t>
      </w:r>
      <w:r>
        <w:rPr/>
        <w:t>S</w:t>
      </w:r>
      <w:r>
        <w:rPr>
          <w:spacing w:val="-3"/>
        </w:rPr>
        <w:t> </w:t>
      </w:r>
      <w:r>
        <w:rPr/>
        <w:t>Yacoub,</w:t>
      </w:r>
      <w:r>
        <w:rPr>
          <w:spacing w:val="-4"/>
        </w:rPr>
        <w:t> </w:t>
      </w:r>
      <w:r>
        <w:rPr/>
        <w:t>K</w:t>
      </w:r>
      <w:r>
        <w:rPr>
          <w:spacing w:val="-4"/>
        </w:rPr>
        <w:t> </w:t>
      </w:r>
      <w:r>
        <w:rPr/>
        <w:t>T</w:t>
      </w:r>
      <w:r>
        <w:rPr>
          <w:spacing w:val="-3"/>
        </w:rPr>
        <w:t> </w:t>
      </w:r>
      <w:r>
        <w:rPr/>
        <w:t>Shiverick,</w:t>
      </w:r>
      <w:r>
        <w:rPr>
          <w:spacing w:val="-4"/>
        </w:rPr>
        <w:t> </w:t>
      </w:r>
      <w:r>
        <w:rPr/>
        <w:t>K</w:t>
      </w:r>
      <w:r>
        <w:rPr>
          <w:spacing w:val="-4"/>
        </w:rPr>
        <w:t> </w:t>
      </w:r>
      <w:r>
        <w:rPr/>
        <w:t>Namiki,</w:t>
      </w:r>
      <w:r>
        <w:rPr>
          <w:spacing w:val="-3"/>
        </w:rPr>
        <w:t> </w:t>
      </w:r>
      <w:r>
        <w:rPr/>
        <w:t>Y</w:t>
      </w:r>
      <w:r>
        <w:rPr>
          <w:spacing w:val="-3"/>
        </w:rPr>
        <w:t> </w:t>
      </w:r>
      <w:r>
        <w:rPr/>
        <w:t>Sakai,</w:t>
      </w:r>
      <w:r>
        <w:rPr>
          <w:spacing w:val="-3"/>
        </w:rPr>
        <w:t> </w:t>
      </w:r>
      <w:r>
        <w:rPr/>
        <w:t>S</w:t>
      </w:r>
      <w:r>
        <w:rPr>
          <w:spacing w:val="-3"/>
        </w:rPr>
        <w:t> </w:t>
      </w:r>
      <w:r>
        <w:rPr/>
        <w:t>Porvasnik,</w:t>
      </w:r>
      <w:r>
        <w:rPr>
          <w:spacing w:val="-3"/>
        </w:rPr>
        <w:t> </w:t>
      </w:r>
      <w:r>
        <w:rPr/>
        <w:t>C</w:t>
      </w:r>
      <w:r>
        <w:rPr>
          <w:spacing w:val="-3"/>
        </w:rPr>
        <w:t> </w:t>
      </w:r>
      <w:r>
        <w:rPr/>
        <w:t>Urbanek,</w:t>
      </w:r>
      <w:r>
        <w:rPr>
          <w:spacing w:val="-4"/>
        </w:rPr>
        <w:t> </w:t>
      </w:r>
      <w:r>
        <w:rPr/>
        <w:t>et</w:t>
      </w:r>
      <w:r>
        <w:rPr>
          <w:spacing w:val="-3"/>
        </w:rPr>
        <w:t> </w:t>
      </w:r>
      <w:r>
        <w:rPr/>
        <w:t>C</w:t>
      </w:r>
      <w:r>
        <w:rPr>
          <w:spacing w:val="-3"/>
        </w:rPr>
        <w:t> </w:t>
      </w:r>
      <w:r>
        <w:rPr/>
        <w:t>J</w:t>
      </w:r>
      <w:r>
        <w:rPr>
          <w:spacing w:val="-2"/>
        </w:rPr>
        <w:t> </w:t>
      </w:r>
      <w:r>
        <w:rPr/>
        <w:t>Rosser. 2008. « Dichloroacetate (DCA) Sensitizes Both Wild-Type and over Expressing Bcl-2 Prostate Cancer Cells in Vitro to Radiation </w:t>
      </w:r>
      <w:r>
        <w:rPr>
          <w:spacing w:val="-4"/>
        </w:rPr>
        <w:t>». </w:t>
      </w:r>
      <w:r>
        <w:rPr>
          <w:i/>
        </w:rPr>
        <w:t>The Prostate </w:t>
      </w:r>
      <w:r>
        <w:rPr/>
        <w:t>68 (11):</w:t>
      </w:r>
      <w:r>
        <w:rPr>
          <w:spacing w:val="6"/>
        </w:rPr>
        <w:t> </w:t>
      </w:r>
      <w:r>
        <w:rPr/>
        <w:t>1223</w:t>
      </w:r>
      <w:r>
        <w:rPr>
          <w:rFonts w:ascii="Cambria Math" w:hAnsi="Cambria Math"/>
        </w:rPr>
        <w:t>‑</w:t>
      </w:r>
      <w:r>
        <w:rPr/>
        <w:t>31.</w:t>
      </w:r>
    </w:p>
    <w:p>
      <w:pPr>
        <w:pStyle w:val="BodyText"/>
        <w:spacing w:line="270" w:lineRule="exact"/>
        <w:ind w:left="116"/>
      </w:pPr>
      <w:r>
        <w:rPr/>
        <w:t>Cao, X, L Fang, S Gibbs, Y Huang, Z Dai, P Wen, X Zheng, W Sadee, et D Sun. 2007.</w:t>
      </w:r>
    </w:p>
    <w:p>
      <w:pPr>
        <w:spacing w:line="242" w:lineRule="auto" w:before="0"/>
        <w:ind w:left="836" w:right="115" w:firstLine="0"/>
        <w:jc w:val="both"/>
        <w:rPr>
          <w:sz w:val="24"/>
        </w:rPr>
      </w:pPr>
      <w:r>
        <w:rPr>
          <w:sz w:val="24"/>
        </w:rPr>
        <w:t>« Glucose Uptake Inhibitor Sensitizes Cancer Cells to Daunorubicin and Overcomes Drug Resistance in Hypoxia ». </w:t>
      </w:r>
      <w:r>
        <w:rPr>
          <w:i/>
          <w:sz w:val="24"/>
        </w:rPr>
        <w:t>Cancer Chemotherapy and Pharmacology </w:t>
      </w:r>
      <w:r>
        <w:rPr>
          <w:sz w:val="24"/>
        </w:rPr>
        <w:t>59 (4): 495</w:t>
      </w:r>
      <w:r>
        <w:rPr>
          <w:rFonts w:ascii="Cambria Math" w:hAnsi="Cambria Math"/>
          <w:sz w:val="24"/>
        </w:rPr>
        <w:t>‑</w:t>
      </w:r>
      <w:r>
        <w:rPr>
          <w:sz w:val="24"/>
        </w:rPr>
        <w:t>505.</w:t>
      </w:r>
    </w:p>
    <w:p>
      <w:pPr>
        <w:pStyle w:val="BodyText"/>
        <w:spacing w:line="242" w:lineRule="auto"/>
        <w:ind w:left="836" w:right="116" w:hanging="720"/>
        <w:jc w:val="both"/>
      </w:pPr>
      <w:r>
        <w:rPr/>
        <w:t>Cardone, R A, V Casavola, et S J Reshkin. 2005. « The Role of Disturbed PH Dynamics and the Na+/H+ Exchanger in Metastasis ». </w:t>
      </w:r>
      <w:r>
        <w:rPr>
          <w:i/>
        </w:rPr>
        <w:t>Nature Reviews. Cancer </w:t>
      </w:r>
      <w:r>
        <w:rPr/>
        <w:t>5 (10): 786</w:t>
      </w:r>
      <w:r>
        <w:rPr>
          <w:rFonts w:ascii="Cambria Math" w:hAnsi="Cambria Math"/>
        </w:rPr>
        <w:t>‑</w:t>
      </w:r>
      <w:r>
        <w:rPr/>
        <w:t>95.</w:t>
      </w:r>
    </w:p>
    <w:p>
      <w:pPr>
        <w:pStyle w:val="BodyText"/>
        <w:spacing w:line="242" w:lineRule="auto"/>
        <w:ind w:left="836" w:right="111" w:hanging="720"/>
        <w:jc w:val="both"/>
      </w:pPr>
      <w:r>
        <w:rPr/>
        <w:t>Casneuf,</w:t>
      </w:r>
      <w:r>
        <w:rPr>
          <w:spacing w:val="-12"/>
        </w:rPr>
        <w:t> </w:t>
      </w:r>
      <w:r>
        <w:rPr/>
        <w:t>V</w:t>
      </w:r>
      <w:r>
        <w:rPr>
          <w:spacing w:val="-12"/>
        </w:rPr>
        <w:t> </w:t>
      </w:r>
      <w:r>
        <w:rPr/>
        <w:t>F,</w:t>
      </w:r>
      <w:r>
        <w:rPr>
          <w:spacing w:val="-11"/>
        </w:rPr>
        <w:t> </w:t>
      </w:r>
      <w:r>
        <w:rPr/>
        <w:t>P</w:t>
      </w:r>
      <w:r>
        <w:rPr>
          <w:spacing w:val="-10"/>
        </w:rPr>
        <w:t> </w:t>
      </w:r>
      <w:r>
        <w:rPr/>
        <w:t>Fonteyne,</w:t>
      </w:r>
      <w:r>
        <w:rPr>
          <w:spacing w:val="-11"/>
        </w:rPr>
        <w:t> </w:t>
      </w:r>
      <w:r>
        <w:rPr/>
        <w:t>N</w:t>
      </w:r>
      <w:r>
        <w:rPr>
          <w:spacing w:val="-12"/>
        </w:rPr>
        <w:t> </w:t>
      </w:r>
      <w:r>
        <w:rPr/>
        <w:t>Van</w:t>
      </w:r>
      <w:r>
        <w:rPr>
          <w:spacing w:val="-11"/>
        </w:rPr>
        <w:t> </w:t>
      </w:r>
      <w:r>
        <w:rPr/>
        <w:t>Damme,</w:t>
      </w:r>
      <w:r>
        <w:rPr>
          <w:spacing w:val="-11"/>
        </w:rPr>
        <w:t> </w:t>
      </w:r>
      <w:r>
        <w:rPr/>
        <w:t>P</w:t>
      </w:r>
      <w:r>
        <w:rPr>
          <w:spacing w:val="-9"/>
        </w:rPr>
        <w:t> </w:t>
      </w:r>
      <w:r>
        <w:rPr/>
        <w:t>Demetter,</w:t>
      </w:r>
      <w:r>
        <w:rPr>
          <w:spacing w:val="-12"/>
        </w:rPr>
        <w:t> </w:t>
      </w:r>
      <w:r>
        <w:rPr/>
        <w:t>P</w:t>
      </w:r>
      <w:r>
        <w:rPr>
          <w:spacing w:val="-10"/>
        </w:rPr>
        <w:t> </w:t>
      </w:r>
      <w:r>
        <w:rPr/>
        <w:t>Pauwels,</w:t>
      </w:r>
      <w:r>
        <w:rPr>
          <w:spacing w:val="-10"/>
        </w:rPr>
        <w:t> </w:t>
      </w:r>
      <w:r>
        <w:rPr/>
        <w:t>B</w:t>
      </w:r>
      <w:r>
        <w:rPr>
          <w:spacing w:val="-13"/>
        </w:rPr>
        <w:t> </w:t>
      </w:r>
      <w:r>
        <w:rPr/>
        <w:t>de</w:t>
      </w:r>
      <w:r>
        <w:rPr>
          <w:spacing w:val="-12"/>
        </w:rPr>
        <w:t> </w:t>
      </w:r>
      <w:r>
        <w:rPr/>
        <w:t>Hemptinne,</w:t>
      </w:r>
      <w:r>
        <w:rPr>
          <w:spacing w:val="-12"/>
        </w:rPr>
        <w:t> </w:t>
      </w:r>
      <w:r>
        <w:rPr/>
        <w:t>M</w:t>
      </w:r>
      <w:r>
        <w:rPr>
          <w:spacing w:val="-11"/>
        </w:rPr>
        <w:t> </w:t>
      </w:r>
      <w:r>
        <w:rPr/>
        <w:t>De</w:t>
      </w:r>
      <w:r>
        <w:rPr>
          <w:spacing w:val="-13"/>
        </w:rPr>
        <w:t> </w:t>
      </w:r>
      <w:r>
        <w:rPr/>
        <w:t>Vos, C</w:t>
      </w:r>
      <w:r>
        <w:rPr>
          <w:spacing w:val="-7"/>
        </w:rPr>
        <w:t> </w:t>
      </w:r>
      <w:r>
        <w:rPr/>
        <w:t>Van</w:t>
      </w:r>
      <w:r>
        <w:rPr>
          <w:spacing w:val="-7"/>
        </w:rPr>
        <w:t> </w:t>
      </w:r>
      <w:r>
        <w:rPr/>
        <w:t>de</w:t>
      </w:r>
      <w:r>
        <w:rPr>
          <w:spacing w:val="-8"/>
        </w:rPr>
        <w:t> </w:t>
      </w:r>
      <w:r>
        <w:rPr/>
        <w:t>Wiele,</w:t>
      </w:r>
      <w:r>
        <w:rPr>
          <w:spacing w:val="-7"/>
        </w:rPr>
        <w:t> </w:t>
      </w:r>
      <w:r>
        <w:rPr/>
        <w:t>et</w:t>
      </w:r>
      <w:r>
        <w:rPr>
          <w:spacing w:val="-7"/>
        </w:rPr>
        <w:t> </w:t>
      </w:r>
      <w:r>
        <w:rPr/>
        <w:t>M</w:t>
      </w:r>
      <w:r>
        <w:rPr>
          <w:spacing w:val="-9"/>
        </w:rPr>
        <w:t> </w:t>
      </w:r>
      <w:r>
        <w:rPr/>
        <w:t>Peeters.</w:t>
      </w:r>
      <w:r>
        <w:rPr>
          <w:spacing w:val="-6"/>
        </w:rPr>
        <w:t> </w:t>
      </w:r>
      <w:r>
        <w:rPr/>
        <w:t>2008.</w:t>
      </w:r>
      <w:r>
        <w:rPr>
          <w:spacing w:val="-2"/>
        </w:rPr>
        <w:t> </w:t>
      </w:r>
      <w:r>
        <w:rPr/>
        <w:t>«</w:t>
      </w:r>
      <w:r>
        <w:rPr>
          <w:spacing w:val="-9"/>
        </w:rPr>
        <w:t> </w:t>
      </w:r>
      <w:r>
        <w:rPr/>
        <w:t>Expression</w:t>
      </w:r>
      <w:r>
        <w:rPr>
          <w:spacing w:val="-7"/>
        </w:rPr>
        <w:t> </w:t>
      </w:r>
      <w:r>
        <w:rPr/>
        <w:t>of</w:t>
      </w:r>
      <w:r>
        <w:rPr>
          <w:spacing w:val="-8"/>
        </w:rPr>
        <w:t> </w:t>
      </w:r>
      <w:r>
        <w:rPr/>
        <w:t>SGLT1,</w:t>
      </w:r>
      <w:r>
        <w:rPr>
          <w:spacing w:val="-7"/>
        </w:rPr>
        <w:t> </w:t>
      </w:r>
      <w:r>
        <w:rPr/>
        <w:t>Bcl-2</w:t>
      </w:r>
      <w:r>
        <w:rPr>
          <w:spacing w:val="-7"/>
        </w:rPr>
        <w:t> </w:t>
      </w:r>
      <w:r>
        <w:rPr/>
        <w:t>and</w:t>
      </w:r>
      <w:r>
        <w:rPr>
          <w:spacing w:val="-7"/>
        </w:rPr>
        <w:t> </w:t>
      </w:r>
      <w:r>
        <w:rPr/>
        <w:t>P53</w:t>
      </w:r>
      <w:r>
        <w:rPr>
          <w:spacing w:val="-7"/>
        </w:rPr>
        <w:t> </w:t>
      </w:r>
      <w:r>
        <w:rPr/>
        <w:t>in</w:t>
      </w:r>
      <w:r>
        <w:rPr>
          <w:spacing w:val="-7"/>
        </w:rPr>
        <w:t> </w:t>
      </w:r>
      <w:r>
        <w:rPr/>
        <w:t>Primary Pancreatic Cancer Related to Survival </w:t>
      </w:r>
      <w:r>
        <w:rPr>
          <w:spacing w:val="-4"/>
        </w:rPr>
        <w:t>». </w:t>
      </w:r>
      <w:r>
        <w:rPr>
          <w:i/>
        </w:rPr>
        <w:t>Cancer Investigation </w:t>
      </w:r>
      <w:r>
        <w:rPr/>
        <w:t>26 (8): 852</w:t>
      </w:r>
      <w:r>
        <w:rPr>
          <w:rFonts w:ascii="Cambria Math" w:hAnsi="Cambria Math"/>
        </w:rPr>
        <w:t>‑</w:t>
      </w:r>
      <w:r>
        <w:rPr/>
        <w:t>59.</w:t>
      </w:r>
    </w:p>
    <w:p>
      <w:pPr>
        <w:pStyle w:val="BodyText"/>
        <w:ind w:left="836" w:right="112" w:hanging="720"/>
        <w:jc w:val="both"/>
      </w:pPr>
      <w:r>
        <w:rPr/>
        <w:t>Cassago,</w:t>
      </w:r>
      <w:r>
        <w:rPr>
          <w:spacing w:val="-9"/>
        </w:rPr>
        <w:t> </w:t>
      </w:r>
      <w:r>
        <w:rPr/>
        <w:t>A,</w:t>
      </w:r>
      <w:r>
        <w:rPr>
          <w:spacing w:val="-11"/>
        </w:rPr>
        <w:t> </w:t>
      </w:r>
      <w:r>
        <w:rPr/>
        <w:t>A</w:t>
      </w:r>
      <w:r>
        <w:rPr>
          <w:spacing w:val="-9"/>
        </w:rPr>
        <w:t> </w:t>
      </w:r>
      <w:r>
        <w:rPr/>
        <w:t>P</w:t>
      </w:r>
      <w:r>
        <w:rPr>
          <w:spacing w:val="-10"/>
        </w:rPr>
        <w:t> </w:t>
      </w:r>
      <w:r>
        <w:rPr/>
        <w:t>S</w:t>
      </w:r>
      <w:r>
        <w:rPr>
          <w:spacing w:val="-10"/>
        </w:rPr>
        <w:t> </w:t>
      </w:r>
      <w:r>
        <w:rPr/>
        <w:t>Ferreira,</w:t>
      </w:r>
      <w:r>
        <w:rPr>
          <w:spacing w:val="-9"/>
        </w:rPr>
        <w:t> </w:t>
      </w:r>
      <w:r>
        <w:rPr/>
        <w:t>I</w:t>
      </w:r>
      <w:r>
        <w:rPr>
          <w:spacing w:val="-13"/>
        </w:rPr>
        <w:t> </w:t>
      </w:r>
      <w:r>
        <w:rPr/>
        <w:t>M</w:t>
      </w:r>
      <w:r>
        <w:rPr>
          <w:spacing w:val="-8"/>
        </w:rPr>
        <w:t> </w:t>
      </w:r>
      <w:r>
        <w:rPr/>
        <w:t>Ferreira,</w:t>
      </w:r>
      <w:r>
        <w:rPr>
          <w:spacing w:val="-11"/>
        </w:rPr>
        <w:t> </w:t>
      </w:r>
      <w:r>
        <w:rPr/>
        <w:t>C</w:t>
      </w:r>
      <w:r>
        <w:rPr>
          <w:spacing w:val="-7"/>
        </w:rPr>
        <w:t> </w:t>
      </w:r>
      <w:r>
        <w:rPr/>
        <w:t>Fornezari,</w:t>
      </w:r>
      <w:r>
        <w:rPr>
          <w:spacing w:val="-11"/>
        </w:rPr>
        <w:t> </w:t>
      </w:r>
      <w:r>
        <w:rPr/>
        <w:t>E</w:t>
      </w:r>
      <w:r>
        <w:rPr>
          <w:spacing w:val="-10"/>
        </w:rPr>
        <w:t> </w:t>
      </w:r>
      <w:r>
        <w:rPr/>
        <w:t>R</w:t>
      </w:r>
      <w:r>
        <w:rPr>
          <w:spacing w:val="-10"/>
        </w:rPr>
        <w:t> </w:t>
      </w:r>
      <w:r>
        <w:rPr/>
        <w:t>M</w:t>
      </w:r>
      <w:r>
        <w:rPr>
          <w:spacing w:val="-8"/>
        </w:rPr>
        <w:t> </w:t>
      </w:r>
      <w:r>
        <w:rPr/>
        <w:t>Gomes,</w:t>
      </w:r>
      <w:r>
        <w:rPr>
          <w:spacing w:val="-11"/>
        </w:rPr>
        <w:t> </w:t>
      </w:r>
      <w:r>
        <w:rPr/>
        <w:t>K</w:t>
      </w:r>
      <w:r>
        <w:rPr>
          <w:spacing w:val="-12"/>
        </w:rPr>
        <w:t> </w:t>
      </w:r>
      <w:r>
        <w:rPr/>
        <w:t>S</w:t>
      </w:r>
      <w:r>
        <w:rPr>
          <w:spacing w:val="-8"/>
        </w:rPr>
        <w:t> </w:t>
      </w:r>
      <w:r>
        <w:rPr/>
        <w:t>Greene,</w:t>
      </w:r>
      <w:r>
        <w:rPr>
          <w:spacing w:val="-9"/>
        </w:rPr>
        <w:t> </w:t>
      </w:r>
      <w:r>
        <w:rPr/>
        <w:t>H</w:t>
      </w:r>
      <w:r>
        <w:rPr>
          <w:spacing w:val="-10"/>
        </w:rPr>
        <w:t> </w:t>
      </w:r>
      <w:r>
        <w:rPr/>
        <w:t>M</w:t>
      </w:r>
      <w:r>
        <w:rPr>
          <w:spacing w:val="-11"/>
        </w:rPr>
        <w:t> </w:t>
      </w:r>
      <w:r>
        <w:rPr/>
        <w:t>Pereira, R C Garratt, S M G Dias, et A L B Ambrosio. 2012. « Mitochondrial Localization and Structure-Based Phosphate Activation Mechanism of Glutaminase C with Implications for Cancer Metabolism </w:t>
      </w:r>
      <w:r>
        <w:rPr>
          <w:spacing w:val="-3"/>
        </w:rPr>
        <w:t>». </w:t>
      </w:r>
      <w:r>
        <w:rPr>
          <w:i/>
        </w:rPr>
        <w:t>Proceedings of the National Academy of Sciences </w:t>
      </w:r>
      <w:r>
        <w:rPr/>
        <w:t>109 (4): 1092</w:t>
      </w:r>
      <w:r>
        <w:rPr>
          <w:rFonts w:ascii="Cambria Math" w:hAnsi="Cambria Math"/>
        </w:rPr>
        <w:t>‑</w:t>
      </w:r>
      <w:r>
        <w:rPr/>
        <w:t>97.</w:t>
      </w:r>
    </w:p>
    <w:p>
      <w:pPr>
        <w:spacing w:after="0"/>
        <w:jc w:val="both"/>
        <w:sectPr>
          <w:pgSz w:w="11910" w:h="16840"/>
          <w:pgMar w:header="0" w:footer="1055" w:top="1320" w:bottom="1240" w:left="1300" w:right="1300"/>
        </w:sectPr>
      </w:pPr>
    </w:p>
    <w:p>
      <w:pPr>
        <w:pStyle w:val="BodyText"/>
        <w:spacing w:before="70"/>
        <w:ind w:left="836" w:right="112" w:hanging="720"/>
        <w:jc w:val="both"/>
      </w:pPr>
      <w:r>
        <w:rPr/>
        <w:t>Castro-Vega, L J, A Buffet, A A De Cubas, A Cascón, M Menara, E Khalifa, L Amar, et al. 2014. « Germline Mutations in FH Confer Predisposition to Malignant Pheochromocytomas and Paragangliomas </w:t>
      </w:r>
      <w:r>
        <w:rPr>
          <w:spacing w:val="-4"/>
        </w:rPr>
        <w:t>».</w:t>
      </w:r>
      <w:r>
        <w:rPr>
          <w:spacing w:val="51"/>
        </w:rPr>
        <w:t> </w:t>
      </w:r>
      <w:r>
        <w:rPr>
          <w:i/>
        </w:rPr>
        <w:t>Human Molecular Genetics </w:t>
      </w:r>
      <w:r>
        <w:rPr/>
        <w:t>23 (9): 2440</w:t>
      </w:r>
      <w:r>
        <w:rPr>
          <w:rFonts w:ascii="Cambria Math" w:hAnsi="Cambria Math"/>
        </w:rPr>
        <w:t>‑</w:t>
      </w:r>
      <w:r>
        <w:rPr/>
        <w:t>46.</w:t>
      </w:r>
    </w:p>
    <w:p>
      <w:pPr>
        <w:pStyle w:val="BodyText"/>
        <w:ind w:left="836" w:right="113" w:hanging="720"/>
        <w:jc w:val="both"/>
      </w:pPr>
      <w:r>
        <w:rPr/>
        <w:t>Cazzaniga, M, et B Bonanni. 2015. « Breast Cancer Metabolism and Mitochondrial Activity: The</w:t>
      </w:r>
      <w:r>
        <w:rPr>
          <w:spacing w:val="-10"/>
        </w:rPr>
        <w:t> </w:t>
      </w:r>
      <w:r>
        <w:rPr/>
        <w:t>Possibility</w:t>
      </w:r>
      <w:r>
        <w:rPr>
          <w:spacing w:val="-16"/>
        </w:rPr>
        <w:t> </w:t>
      </w:r>
      <w:r>
        <w:rPr/>
        <w:t>of</w:t>
      </w:r>
      <w:r>
        <w:rPr>
          <w:spacing w:val="-9"/>
        </w:rPr>
        <w:t> </w:t>
      </w:r>
      <w:r>
        <w:rPr/>
        <w:t>Chemoprevention</w:t>
      </w:r>
      <w:r>
        <w:rPr>
          <w:spacing w:val="-9"/>
        </w:rPr>
        <w:t> </w:t>
      </w:r>
      <w:r>
        <w:rPr/>
        <w:t>with</w:t>
      </w:r>
      <w:r>
        <w:rPr>
          <w:spacing w:val="-8"/>
        </w:rPr>
        <w:t> </w:t>
      </w:r>
      <w:r>
        <w:rPr/>
        <w:t>Metformin</w:t>
      </w:r>
      <w:r>
        <w:rPr>
          <w:spacing w:val="6"/>
        </w:rPr>
        <w:t> </w:t>
      </w:r>
      <w:r>
        <w:rPr>
          <w:spacing w:val="-4"/>
        </w:rPr>
        <w:t>».</w:t>
      </w:r>
      <w:r>
        <w:rPr>
          <w:spacing w:val="-9"/>
        </w:rPr>
        <w:t> </w:t>
      </w:r>
      <w:r>
        <w:rPr>
          <w:i/>
        </w:rPr>
        <w:t>BioMed</w:t>
      </w:r>
      <w:r>
        <w:rPr>
          <w:i/>
          <w:spacing w:val="-9"/>
        </w:rPr>
        <w:t> </w:t>
      </w:r>
      <w:r>
        <w:rPr>
          <w:i/>
        </w:rPr>
        <w:t>Research</w:t>
      </w:r>
      <w:r>
        <w:rPr>
          <w:i/>
          <w:spacing w:val="-6"/>
        </w:rPr>
        <w:t> </w:t>
      </w:r>
      <w:r>
        <w:rPr>
          <w:i/>
        </w:rPr>
        <w:t>International </w:t>
      </w:r>
      <w:r>
        <w:rPr/>
        <w:t>97 (21)</w:t>
      </w:r>
      <w:r>
        <w:rPr>
          <w:spacing w:val="-3"/>
        </w:rPr>
        <w:t> </w:t>
      </w:r>
      <w:r>
        <w:rPr/>
        <w:t>93-99.</w:t>
      </w:r>
    </w:p>
    <w:p>
      <w:pPr>
        <w:pStyle w:val="BodyText"/>
        <w:spacing w:before="1"/>
        <w:ind w:left="116"/>
      </w:pPr>
      <w:r>
        <w:rPr/>
        <w:t>CCOGC. </w:t>
      </w:r>
      <w:r>
        <w:rPr>
          <w:i/>
        </w:rPr>
        <w:t>Home </w:t>
      </w:r>
      <w:r>
        <w:rPr/>
        <w:t>[en ligne], URL </w:t>
      </w:r>
      <w:hyperlink r:id="rId71">
        <w:r>
          <w:rPr/>
          <w:t>: http://ccogc.net/.</w:t>
        </w:r>
      </w:hyperlink>
      <w:r>
        <w:rPr/>
        <w:t> [consulté le 10 mai 2017]</w:t>
      </w:r>
    </w:p>
    <w:p>
      <w:pPr>
        <w:pStyle w:val="BodyText"/>
        <w:ind w:left="836" w:right="113" w:hanging="720"/>
        <w:jc w:val="both"/>
      </w:pPr>
      <w:r>
        <w:rPr/>
        <w:t>Cervantes-Madrid,</w:t>
      </w:r>
      <w:r>
        <w:rPr>
          <w:spacing w:val="-7"/>
        </w:rPr>
        <w:t> </w:t>
      </w:r>
      <w:r>
        <w:rPr/>
        <w:t>D,</w:t>
      </w:r>
      <w:r>
        <w:rPr>
          <w:spacing w:val="-7"/>
        </w:rPr>
        <w:t> </w:t>
      </w:r>
      <w:r>
        <w:rPr/>
        <w:t>Y</w:t>
      </w:r>
      <w:r>
        <w:rPr>
          <w:spacing w:val="-4"/>
        </w:rPr>
        <w:t> </w:t>
      </w:r>
      <w:r>
        <w:rPr/>
        <w:t>Romero,</w:t>
      </w:r>
      <w:r>
        <w:rPr>
          <w:spacing w:val="-6"/>
        </w:rPr>
        <w:t> </w:t>
      </w:r>
      <w:r>
        <w:rPr/>
        <w:t>et</w:t>
      </w:r>
      <w:r>
        <w:rPr>
          <w:spacing w:val="-6"/>
        </w:rPr>
        <w:t> </w:t>
      </w:r>
      <w:r>
        <w:rPr/>
        <w:t>A</w:t>
      </w:r>
      <w:r>
        <w:rPr>
          <w:spacing w:val="-4"/>
        </w:rPr>
        <w:t> </w:t>
      </w:r>
      <w:r>
        <w:rPr/>
        <w:t>Lez.</w:t>
      </w:r>
      <w:r>
        <w:rPr>
          <w:spacing w:val="-6"/>
        </w:rPr>
        <w:t> </w:t>
      </w:r>
      <w:r>
        <w:rPr/>
        <w:t>2015.</w:t>
      </w:r>
      <w:r>
        <w:rPr>
          <w:spacing w:val="-2"/>
        </w:rPr>
        <w:t> </w:t>
      </w:r>
      <w:r>
        <w:rPr/>
        <w:t>«</w:t>
      </w:r>
      <w:r>
        <w:rPr>
          <w:spacing w:val="-4"/>
        </w:rPr>
        <w:t> </w:t>
      </w:r>
      <w:r>
        <w:rPr/>
        <w:t>Reviving</w:t>
      </w:r>
      <w:r>
        <w:rPr>
          <w:spacing w:val="-6"/>
        </w:rPr>
        <w:t> </w:t>
      </w:r>
      <w:r>
        <w:rPr/>
        <w:t>Lonidamine</w:t>
      </w:r>
      <w:r>
        <w:rPr>
          <w:spacing w:val="-7"/>
        </w:rPr>
        <w:t> </w:t>
      </w:r>
      <w:r>
        <w:rPr/>
        <w:t>and</w:t>
      </w:r>
      <w:r>
        <w:rPr>
          <w:spacing w:val="-6"/>
        </w:rPr>
        <w:t> </w:t>
      </w:r>
      <w:r>
        <w:rPr/>
        <w:t>6-Diazo-5-Oxo- L-Norleucine to Be Used in Combination for Metabolic Cancer Therapy, Reviving Lonidamine and 6-Diazo-5-Oxo-L-Norleucine to Be Used in Combination for Metabolic Cancer Therapy </w:t>
      </w:r>
      <w:r>
        <w:rPr>
          <w:spacing w:val="-4"/>
        </w:rPr>
        <w:t>». </w:t>
      </w:r>
      <w:r>
        <w:rPr>
          <w:i/>
        </w:rPr>
        <w:t>BioMed Research International </w:t>
      </w:r>
      <w:r>
        <w:rPr/>
        <w:t>69 (4):</w:t>
      </w:r>
      <w:r>
        <w:rPr>
          <w:spacing w:val="3"/>
        </w:rPr>
        <w:t> </w:t>
      </w:r>
      <w:r>
        <w:rPr/>
        <w:t>1155-62.</w:t>
      </w:r>
    </w:p>
    <w:p>
      <w:pPr>
        <w:pStyle w:val="BodyText"/>
        <w:spacing w:before="1"/>
        <w:ind w:left="836" w:right="111" w:hanging="720"/>
        <w:jc w:val="both"/>
      </w:pPr>
      <w:r>
        <w:rPr/>
        <w:t>Cesari, I M, E Carvalho, M F Rodrigues, B Dos Santos Mendonça, N Dias Amôedo, et F D Rumjanek.</w:t>
      </w:r>
      <w:r>
        <w:rPr>
          <w:spacing w:val="-7"/>
        </w:rPr>
        <w:t> </w:t>
      </w:r>
      <w:r>
        <w:rPr/>
        <w:t>2014.</w:t>
      </w:r>
      <w:r>
        <w:rPr>
          <w:spacing w:val="-2"/>
        </w:rPr>
        <w:t> </w:t>
      </w:r>
      <w:r>
        <w:rPr/>
        <w:t>«</w:t>
      </w:r>
      <w:r>
        <w:rPr>
          <w:spacing w:val="-7"/>
        </w:rPr>
        <w:t> </w:t>
      </w:r>
      <w:r>
        <w:rPr/>
        <w:t>Methyl</w:t>
      </w:r>
      <w:r>
        <w:rPr>
          <w:spacing w:val="-5"/>
        </w:rPr>
        <w:t> </w:t>
      </w:r>
      <w:r>
        <w:rPr/>
        <w:t>Jasmonate:</w:t>
      </w:r>
      <w:r>
        <w:rPr>
          <w:spacing w:val="-7"/>
        </w:rPr>
        <w:t> </w:t>
      </w:r>
      <w:r>
        <w:rPr/>
        <w:t>Putative</w:t>
      </w:r>
      <w:r>
        <w:rPr>
          <w:spacing w:val="-8"/>
        </w:rPr>
        <w:t> </w:t>
      </w:r>
      <w:r>
        <w:rPr/>
        <w:t>Mechanisms</w:t>
      </w:r>
      <w:r>
        <w:rPr>
          <w:spacing w:val="-7"/>
        </w:rPr>
        <w:t> </w:t>
      </w:r>
      <w:r>
        <w:rPr/>
        <w:t>of</w:t>
      </w:r>
      <w:r>
        <w:rPr>
          <w:spacing w:val="-6"/>
        </w:rPr>
        <w:t> </w:t>
      </w:r>
      <w:r>
        <w:rPr/>
        <w:t>Action</w:t>
      </w:r>
      <w:r>
        <w:rPr>
          <w:spacing w:val="-7"/>
        </w:rPr>
        <w:t> </w:t>
      </w:r>
      <w:r>
        <w:rPr/>
        <w:t>on</w:t>
      </w:r>
      <w:r>
        <w:rPr>
          <w:spacing w:val="0"/>
        </w:rPr>
        <w:t> </w:t>
      </w:r>
      <w:r>
        <w:rPr/>
        <w:t>Cancer</w:t>
      </w:r>
      <w:r>
        <w:rPr>
          <w:spacing w:val="-6"/>
        </w:rPr>
        <w:t> </w:t>
      </w:r>
      <w:r>
        <w:rPr/>
        <w:t>Cells Cycle,</w:t>
      </w:r>
      <w:r>
        <w:rPr>
          <w:spacing w:val="-7"/>
        </w:rPr>
        <w:t> </w:t>
      </w:r>
      <w:r>
        <w:rPr/>
        <w:t>Metabolism,</w:t>
      </w:r>
      <w:r>
        <w:rPr>
          <w:spacing w:val="-8"/>
        </w:rPr>
        <w:t> </w:t>
      </w:r>
      <w:r>
        <w:rPr/>
        <w:t>and</w:t>
      </w:r>
      <w:r>
        <w:rPr>
          <w:spacing w:val="-4"/>
        </w:rPr>
        <w:t> </w:t>
      </w:r>
      <w:r>
        <w:rPr/>
        <w:t>Apoptosis</w:t>
      </w:r>
      <w:r>
        <w:rPr>
          <w:spacing w:val="5"/>
        </w:rPr>
        <w:t> </w:t>
      </w:r>
      <w:r>
        <w:rPr>
          <w:spacing w:val="-4"/>
        </w:rPr>
        <w:t>».</w:t>
      </w:r>
      <w:r>
        <w:rPr>
          <w:spacing w:val="-9"/>
        </w:rPr>
        <w:t> </w:t>
      </w:r>
      <w:r>
        <w:rPr>
          <w:i/>
        </w:rPr>
        <w:t>International</w:t>
      </w:r>
      <w:r>
        <w:rPr>
          <w:i/>
          <w:spacing w:val="-8"/>
        </w:rPr>
        <w:t> </w:t>
      </w:r>
      <w:r>
        <w:rPr>
          <w:i/>
        </w:rPr>
        <w:t>Journal</w:t>
      </w:r>
      <w:r>
        <w:rPr>
          <w:i/>
          <w:spacing w:val="-8"/>
        </w:rPr>
        <w:t> </w:t>
      </w:r>
      <w:r>
        <w:rPr>
          <w:i/>
        </w:rPr>
        <w:t>of</w:t>
      </w:r>
      <w:r>
        <w:rPr>
          <w:i/>
          <w:spacing w:val="-8"/>
        </w:rPr>
        <w:t> </w:t>
      </w:r>
      <w:r>
        <w:rPr>
          <w:i/>
        </w:rPr>
        <w:t>Cell</w:t>
      </w:r>
      <w:r>
        <w:rPr>
          <w:i/>
          <w:spacing w:val="-8"/>
        </w:rPr>
        <w:t> </w:t>
      </w:r>
      <w:r>
        <w:rPr>
          <w:i/>
        </w:rPr>
        <w:t>Biology</w:t>
      </w:r>
      <w:r>
        <w:rPr>
          <w:i/>
          <w:spacing w:val="-6"/>
        </w:rPr>
        <w:t> </w:t>
      </w:r>
      <w:r>
        <w:rPr/>
        <w:t>57</w:t>
      </w:r>
      <w:r>
        <w:rPr>
          <w:spacing w:val="-6"/>
        </w:rPr>
        <w:t> </w:t>
      </w:r>
      <w:r>
        <w:rPr/>
        <w:t>(20):</w:t>
      </w:r>
      <w:r>
        <w:rPr>
          <w:spacing w:val="-9"/>
        </w:rPr>
        <w:t> </w:t>
      </w:r>
      <w:r>
        <w:rPr/>
        <w:t>97- 115.</w:t>
      </w:r>
    </w:p>
    <w:p>
      <w:pPr>
        <w:pStyle w:val="BodyText"/>
        <w:ind w:left="836" w:right="110" w:hanging="720"/>
        <w:jc w:val="both"/>
      </w:pPr>
      <w:r>
        <w:rPr/>
        <w:t>Chang,</w:t>
      </w:r>
      <w:r>
        <w:rPr>
          <w:spacing w:val="-4"/>
        </w:rPr>
        <w:t> </w:t>
      </w:r>
      <w:r>
        <w:rPr/>
        <w:t>J</w:t>
      </w:r>
      <w:r>
        <w:rPr>
          <w:spacing w:val="-1"/>
        </w:rPr>
        <w:t> </w:t>
      </w:r>
      <w:r>
        <w:rPr/>
        <w:t>M,</w:t>
      </w:r>
      <w:r>
        <w:rPr>
          <w:spacing w:val="-4"/>
        </w:rPr>
        <w:t> </w:t>
      </w:r>
      <w:r>
        <w:rPr/>
        <w:t>J</w:t>
      </w:r>
      <w:r>
        <w:rPr>
          <w:spacing w:val="-4"/>
        </w:rPr>
        <w:t> </w:t>
      </w:r>
      <w:r>
        <w:rPr/>
        <w:t>W</w:t>
      </w:r>
      <w:r>
        <w:rPr>
          <w:spacing w:val="-3"/>
        </w:rPr>
        <w:t> </w:t>
      </w:r>
      <w:r>
        <w:rPr/>
        <w:t>Chung,</w:t>
      </w:r>
      <w:r>
        <w:rPr>
          <w:spacing w:val="-4"/>
        </w:rPr>
        <w:t> </w:t>
      </w:r>
      <w:r>
        <w:rPr/>
        <w:t>H</w:t>
      </w:r>
      <w:r>
        <w:rPr>
          <w:spacing w:val="-3"/>
        </w:rPr>
        <w:t> </w:t>
      </w:r>
      <w:r>
        <w:rPr/>
        <w:t>J</w:t>
      </w:r>
      <w:r>
        <w:rPr>
          <w:spacing w:val="-4"/>
        </w:rPr>
        <w:t> </w:t>
      </w:r>
      <w:r>
        <w:rPr/>
        <w:t>Jae,</w:t>
      </w:r>
      <w:r>
        <w:rPr>
          <w:spacing w:val="-4"/>
        </w:rPr>
        <w:t> </w:t>
      </w:r>
      <w:r>
        <w:rPr/>
        <w:t>H</w:t>
      </w:r>
      <w:r>
        <w:rPr>
          <w:spacing w:val="-4"/>
        </w:rPr>
        <w:t> </w:t>
      </w:r>
      <w:r>
        <w:rPr/>
        <w:t>Eh,</w:t>
      </w:r>
      <w:r>
        <w:rPr>
          <w:spacing w:val="-4"/>
        </w:rPr>
        <w:t> </w:t>
      </w:r>
      <w:r>
        <w:rPr/>
        <w:t>K</w:t>
      </w:r>
      <w:r>
        <w:rPr>
          <w:spacing w:val="-4"/>
        </w:rPr>
        <w:t> </w:t>
      </w:r>
      <w:r>
        <w:rPr/>
        <w:t>R</w:t>
      </w:r>
      <w:r>
        <w:rPr>
          <w:spacing w:val="-3"/>
        </w:rPr>
        <w:t> </w:t>
      </w:r>
      <w:r>
        <w:rPr/>
        <w:t>Son,</w:t>
      </w:r>
      <w:r>
        <w:rPr>
          <w:spacing w:val="-4"/>
        </w:rPr>
        <w:t> </w:t>
      </w:r>
      <w:r>
        <w:rPr/>
        <w:t>K</w:t>
      </w:r>
      <w:r>
        <w:rPr>
          <w:spacing w:val="-4"/>
        </w:rPr>
        <w:t> </w:t>
      </w:r>
      <w:r>
        <w:rPr/>
        <w:t>C</w:t>
      </w:r>
      <w:r>
        <w:rPr>
          <w:spacing w:val="-1"/>
        </w:rPr>
        <w:t> </w:t>
      </w:r>
      <w:r>
        <w:rPr/>
        <w:t>Lee,</w:t>
      </w:r>
      <w:r>
        <w:rPr>
          <w:spacing w:val="-4"/>
        </w:rPr>
        <w:t> </w:t>
      </w:r>
      <w:r>
        <w:rPr/>
        <w:t>et</w:t>
      </w:r>
      <w:r>
        <w:rPr>
          <w:spacing w:val="-3"/>
        </w:rPr>
        <w:t> </w:t>
      </w:r>
      <w:r>
        <w:rPr/>
        <w:t>J</w:t>
      </w:r>
      <w:r>
        <w:rPr>
          <w:spacing w:val="-1"/>
        </w:rPr>
        <w:t> </w:t>
      </w:r>
      <w:r>
        <w:rPr/>
        <w:t>H</w:t>
      </w:r>
      <w:r>
        <w:rPr>
          <w:spacing w:val="-3"/>
        </w:rPr>
        <w:t> </w:t>
      </w:r>
      <w:r>
        <w:rPr/>
        <w:t>Park.</w:t>
      </w:r>
      <w:r>
        <w:rPr>
          <w:spacing w:val="-5"/>
        </w:rPr>
        <w:t> </w:t>
      </w:r>
      <w:r>
        <w:rPr/>
        <w:t>2007.</w:t>
      </w:r>
      <w:r>
        <w:rPr>
          <w:spacing w:val="0"/>
        </w:rPr>
        <w:t> </w:t>
      </w:r>
      <w:r>
        <w:rPr/>
        <w:t>«</w:t>
      </w:r>
      <w:r>
        <w:rPr>
          <w:spacing w:val="-6"/>
        </w:rPr>
        <w:t> </w:t>
      </w:r>
      <w:r>
        <w:rPr/>
        <w:t>Local</w:t>
      </w:r>
      <w:r>
        <w:rPr>
          <w:spacing w:val="-3"/>
        </w:rPr>
        <w:t> </w:t>
      </w:r>
      <w:r>
        <w:rPr/>
        <w:t>Toxicity of Hepatic Arterial Infusion of Hexokinase II Inhibitor, 3-Bromopyruvate: In Vivo Investigation in Normal Rabbit Model </w:t>
      </w:r>
      <w:r>
        <w:rPr>
          <w:spacing w:val="-4"/>
        </w:rPr>
        <w:t>». </w:t>
      </w:r>
      <w:r>
        <w:rPr>
          <w:i/>
        </w:rPr>
        <w:t>Academic Radiology </w:t>
      </w:r>
      <w:r>
        <w:rPr/>
        <w:t>14 (1):</w:t>
      </w:r>
      <w:r>
        <w:rPr>
          <w:spacing w:val="2"/>
        </w:rPr>
        <w:t> </w:t>
      </w:r>
      <w:r>
        <w:rPr/>
        <w:t>85</w:t>
      </w:r>
      <w:r>
        <w:rPr>
          <w:rFonts w:ascii="Cambria Math" w:hAnsi="Cambria Math"/>
        </w:rPr>
        <w:t>‑</w:t>
      </w:r>
      <w:r>
        <w:rPr/>
        <w:t>92.</w:t>
      </w:r>
    </w:p>
    <w:p>
      <w:pPr>
        <w:pStyle w:val="BodyText"/>
        <w:spacing w:line="242" w:lineRule="auto"/>
        <w:ind w:left="836" w:right="114" w:hanging="720"/>
        <w:jc w:val="both"/>
      </w:pPr>
      <w:r>
        <w:rPr/>
        <w:t>Chen, J, J Xie, Z Jiang, B Wang, Y Wang, et X Hu. 2011. « Shikonin and Its Analogs Inhibit Cancer Cell Glycolysis by Targeting Tumor Pyruvate Kinase-M2 </w:t>
      </w:r>
      <w:r>
        <w:rPr>
          <w:spacing w:val="-4"/>
        </w:rPr>
        <w:t>». </w:t>
      </w:r>
      <w:r>
        <w:rPr>
          <w:i/>
        </w:rPr>
        <w:t>Oncogene </w:t>
      </w:r>
      <w:r>
        <w:rPr/>
        <w:t>30</w:t>
      </w:r>
      <w:r>
        <w:rPr>
          <w:spacing w:val="-33"/>
        </w:rPr>
        <w:t> </w:t>
      </w:r>
      <w:r>
        <w:rPr/>
        <w:t>(42): 4297</w:t>
      </w:r>
      <w:r>
        <w:rPr>
          <w:rFonts w:ascii="Cambria Math" w:hAnsi="Cambria Math"/>
        </w:rPr>
        <w:t>‑</w:t>
      </w:r>
      <w:r>
        <w:rPr/>
        <w:t>4306.</w:t>
      </w:r>
    </w:p>
    <w:p>
      <w:pPr>
        <w:spacing w:line="242" w:lineRule="auto" w:before="0"/>
        <w:ind w:left="836" w:right="118" w:hanging="720"/>
        <w:jc w:val="both"/>
        <w:rPr>
          <w:sz w:val="24"/>
        </w:rPr>
      </w:pPr>
      <w:r>
        <w:rPr>
          <w:sz w:val="24"/>
        </w:rPr>
        <w:t>Chen, J, et J Russo. 2012. « Dysregulation of glucose transport, glycolysis, TCA cycle and glutaminolysis by oncogenes and tumor suppressors in cancer cells ». </w:t>
      </w:r>
      <w:r>
        <w:rPr>
          <w:i/>
          <w:sz w:val="24"/>
        </w:rPr>
        <w:t>Biochimica et </w:t>
      </w:r>
      <w:r>
        <w:rPr>
          <w:i/>
          <w:sz w:val="24"/>
        </w:rPr>
        <w:t>Biophysica Acta (BBA) - Reviews on Cancer </w:t>
      </w:r>
      <w:r>
        <w:rPr>
          <w:sz w:val="24"/>
        </w:rPr>
        <w:t>1826 (2): 370</w:t>
      </w:r>
      <w:r>
        <w:rPr>
          <w:rFonts w:ascii="Cambria Math" w:hAnsi="Cambria Math"/>
          <w:sz w:val="24"/>
        </w:rPr>
        <w:t>‑</w:t>
      </w:r>
      <w:r>
        <w:rPr>
          <w:sz w:val="24"/>
        </w:rPr>
        <w:t>84.</w:t>
      </w:r>
    </w:p>
    <w:p>
      <w:pPr>
        <w:pStyle w:val="BodyText"/>
        <w:ind w:left="836" w:right="113" w:hanging="720"/>
        <w:jc w:val="both"/>
      </w:pPr>
      <w:r>
        <w:rPr/>
        <w:t>Chen, Z, T Zhang, B Wu, et X Zhang. 2016. « Insights into the Therapeutic Potential of Hypoxia-Inducible</w:t>
      </w:r>
      <w:r>
        <w:rPr>
          <w:spacing w:val="-16"/>
        </w:rPr>
        <w:t> </w:t>
      </w:r>
      <w:r>
        <w:rPr/>
        <w:t>Factor-1α</w:t>
      </w:r>
      <w:r>
        <w:rPr>
          <w:spacing w:val="-19"/>
        </w:rPr>
        <w:t> </w:t>
      </w:r>
      <w:r>
        <w:rPr/>
        <w:t>Small</w:t>
      </w:r>
      <w:r>
        <w:rPr>
          <w:spacing w:val="-15"/>
        </w:rPr>
        <w:t> </w:t>
      </w:r>
      <w:r>
        <w:rPr/>
        <w:t>Interfering</w:t>
      </w:r>
      <w:r>
        <w:rPr>
          <w:spacing w:val="-20"/>
        </w:rPr>
        <w:t> </w:t>
      </w:r>
      <w:r>
        <w:rPr/>
        <w:t>RNA</w:t>
      </w:r>
      <w:r>
        <w:rPr>
          <w:spacing w:val="-19"/>
        </w:rPr>
        <w:t> </w:t>
      </w:r>
      <w:r>
        <w:rPr/>
        <w:t>in</w:t>
      </w:r>
      <w:r>
        <w:rPr>
          <w:spacing w:val="-17"/>
        </w:rPr>
        <w:t> </w:t>
      </w:r>
      <w:r>
        <w:rPr/>
        <w:t>Malignant</w:t>
      </w:r>
      <w:r>
        <w:rPr>
          <w:spacing w:val="-17"/>
        </w:rPr>
        <w:t> </w:t>
      </w:r>
      <w:r>
        <w:rPr/>
        <w:t>Melanoma</w:t>
      </w:r>
      <w:r>
        <w:rPr>
          <w:spacing w:val="-18"/>
        </w:rPr>
        <w:t> </w:t>
      </w:r>
      <w:r>
        <w:rPr/>
        <w:t>Delivered via Folate-Decorated Cationic Liposomes </w:t>
      </w:r>
      <w:r>
        <w:rPr>
          <w:spacing w:val="-4"/>
        </w:rPr>
        <w:t>». </w:t>
      </w:r>
      <w:r>
        <w:rPr>
          <w:i/>
        </w:rPr>
        <w:t>International Journal of Nanomedicine </w:t>
      </w:r>
      <w:r>
        <w:rPr/>
        <w:t>114 (11):</w:t>
      </w:r>
      <w:r>
        <w:rPr>
          <w:spacing w:val="-3"/>
        </w:rPr>
        <w:t> </w:t>
      </w:r>
      <w:r>
        <w:rPr/>
        <w:t>991</w:t>
      </w:r>
      <w:r>
        <w:rPr>
          <w:rFonts w:ascii="Cambria Math" w:hAnsi="Cambria Math"/>
        </w:rPr>
        <w:t>‑</w:t>
      </w:r>
      <w:r>
        <w:rPr/>
        <w:t>1002.</w:t>
      </w:r>
    </w:p>
    <w:p>
      <w:pPr>
        <w:spacing w:line="242" w:lineRule="auto" w:before="0"/>
        <w:ind w:left="836" w:right="117" w:hanging="720"/>
        <w:jc w:val="both"/>
        <w:rPr>
          <w:sz w:val="24"/>
        </w:rPr>
      </w:pPr>
      <w:r>
        <w:rPr>
          <w:sz w:val="24"/>
        </w:rPr>
        <w:t>Choi, S Y, J H Yu, et H Kim. 2009. « Mechanism of Alpha-Lipoic Acid-Induced Apoptosis of Lung Cancer Cells ». </w:t>
      </w:r>
      <w:r>
        <w:rPr>
          <w:i/>
          <w:sz w:val="24"/>
        </w:rPr>
        <w:t>Annals of the New York Academy of Sciences </w:t>
      </w:r>
      <w:r>
        <w:rPr>
          <w:sz w:val="24"/>
        </w:rPr>
        <w:t>1171 (8): 149</w:t>
      </w:r>
      <w:r>
        <w:rPr>
          <w:rFonts w:ascii="Cambria Math" w:hAnsi="Cambria Math"/>
          <w:sz w:val="24"/>
        </w:rPr>
        <w:t>‑</w:t>
      </w:r>
      <w:r>
        <w:rPr>
          <w:sz w:val="24"/>
        </w:rPr>
        <w:t>55.</w:t>
      </w:r>
    </w:p>
    <w:p>
      <w:pPr>
        <w:pStyle w:val="BodyText"/>
        <w:ind w:left="836" w:right="111" w:hanging="720"/>
        <w:jc w:val="both"/>
      </w:pPr>
      <w:r>
        <w:rPr/>
        <w:t>Christofk, H R, M G Vander Heiden, M H Harris, A Ramanathan, R E Gerszten, R Wei, M D Fleming, S L Schreiber, et L C Cantley. 2008. « The M2 Splice Isoform of Pyruvate Kinase Is Important for Cancer Metabolism and Tumour Growth </w:t>
      </w:r>
      <w:r>
        <w:rPr>
          <w:spacing w:val="-4"/>
        </w:rPr>
        <w:t>». </w:t>
      </w:r>
      <w:r>
        <w:rPr>
          <w:i/>
        </w:rPr>
        <w:t>Nature </w:t>
      </w:r>
      <w:r>
        <w:rPr/>
        <w:t>452</w:t>
      </w:r>
      <w:r>
        <w:rPr>
          <w:spacing w:val="-25"/>
        </w:rPr>
        <w:t> </w:t>
      </w:r>
      <w:r>
        <w:rPr/>
        <w:t>(7184): 230</w:t>
      </w:r>
      <w:r>
        <w:rPr>
          <w:rFonts w:ascii="Cambria Math" w:hAnsi="Cambria Math"/>
        </w:rPr>
        <w:t>‑</w:t>
      </w:r>
      <w:r>
        <w:rPr/>
        <w:t>33.</w:t>
      </w:r>
    </w:p>
    <w:p>
      <w:pPr>
        <w:pStyle w:val="BodyText"/>
        <w:spacing w:line="242" w:lineRule="auto"/>
        <w:ind w:left="836" w:right="113" w:hanging="720"/>
        <w:jc w:val="both"/>
      </w:pPr>
      <w:r>
        <w:rPr/>
        <w:t>Chu, C A, N Wiernsperger, N Muscato, M Knauf, D W Neal, et A D Cherrington. 2000. «</w:t>
      </w:r>
      <w:r>
        <w:rPr>
          <w:spacing w:val="-29"/>
        </w:rPr>
        <w:t> </w:t>
      </w:r>
      <w:r>
        <w:rPr/>
        <w:t>The acute effect of metformin on glucose production in the conscious dog is primarily attributable to inhibition of glycogenolysis </w:t>
      </w:r>
      <w:r>
        <w:rPr>
          <w:spacing w:val="-4"/>
        </w:rPr>
        <w:t>». </w:t>
      </w:r>
      <w:r>
        <w:rPr>
          <w:i/>
        </w:rPr>
        <w:t>Metabolism </w:t>
      </w:r>
      <w:r>
        <w:rPr/>
        <w:t>49 (12):</w:t>
      </w:r>
      <w:r>
        <w:rPr>
          <w:spacing w:val="2"/>
        </w:rPr>
        <w:t> </w:t>
      </w:r>
      <w:r>
        <w:rPr/>
        <w:t>1619</w:t>
      </w:r>
      <w:r>
        <w:rPr>
          <w:rFonts w:ascii="Cambria Math" w:hAnsi="Cambria Math"/>
        </w:rPr>
        <w:t>‑</w:t>
      </w:r>
      <w:r>
        <w:rPr/>
        <w:t>26.</w:t>
      </w:r>
    </w:p>
    <w:p>
      <w:pPr>
        <w:spacing w:line="240" w:lineRule="auto" w:before="0"/>
        <w:ind w:left="836" w:right="112" w:hanging="720"/>
        <w:jc w:val="both"/>
        <w:rPr>
          <w:sz w:val="24"/>
        </w:rPr>
      </w:pPr>
      <w:r>
        <w:rPr>
          <w:sz w:val="24"/>
        </w:rPr>
        <w:t>Chuah, L O, S K Yeap, W Y Ho, Bo K Beh, et N B Alitheen. 2012. « In Vitro and In Vivo Toxicity of Garcinia or Hydroxycitric Acid: A Review ». </w:t>
      </w:r>
      <w:r>
        <w:rPr>
          <w:i/>
          <w:sz w:val="24"/>
        </w:rPr>
        <w:t>Evidence-based </w:t>
      </w:r>
      <w:r>
        <w:rPr>
          <w:i/>
          <w:sz w:val="24"/>
        </w:rPr>
        <w:t>Complementary and Alternative Medicine : eCAM </w:t>
      </w:r>
      <w:r>
        <w:rPr>
          <w:sz w:val="24"/>
        </w:rPr>
        <w:t>2 (1) 15-26.</w:t>
      </w:r>
    </w:p>
    <w:p>
      <w:pPr>
        <w:spacing w:before="5"/>
        <w:ind w:left="836" w:right="113" w:hanging="720"/>
        <w:jc w:val="both"/>
        <w:rPr>
          <w:sz w:val="24"/>
        </w:rPr>
      </w:pPr>
      <w:r>
        <w:rPr>
          <w:sz w:val="24"/>
        </w:rPr>
        <w:t>Clark,</w:t>
      </w:r>
      <w:r>
        <w:rPr>
          <w:spacing w:val="-6"/>
          <w:sz w:val="24"/>
        </w:rPr>
        <w:t> </w:t>
      </w:r>
      <w:r>
        <w:rPr>
          <w:sz w:val="24"/>
        </w:rPr>
        <w:t>G</w:t>
      </w:r>
      <w:r>
        <w:rPr>
          <w:spacing w:val="-7"/>
          <w:sz w:val="24"/>
        </w:rPr>
        <w:t> </w:t>
      </w:r>
      <w:r>
        <w:rPr>
          <w:sz w:val="24"/>
        </w:rPr>
        <w:t>R,</w:t>
      </w:r>
      <w:r>
        <w:rPr>
          <w:spacing w:val="-6"/>
          <w:sz w:val="24"/>
        </w:rPr>
        <w:t> </w:t>
      </w:r>
      <w:r>
        <w:rPr>
          <w:sz w:val="24"/>
        </w:rPr>
        <w:t>M</w:t>
      </w:r>
      <w:r>
        <w:rPr>
          <w:spacing w:val="-6"/>
          <w:sz w:val="24"/>
        </w:rPr>
        <w:t> </w:t>
      </w:r>
      <w:r>
        <w:rPr>
          <w:sz w:val="24"/>
        </w:rPr>
        <w:t>Sciacovelli,</w:t>
      </w:r>
      <w:r>
        <w:rPr>
          <w:spacing w:val="-6"/>
          <w:sz w:val="24"/>
        </w:rPr>
        <w:t> </w:t>
      </w:r>
      <w:r>
        <w:rPr>
          <w:sz w:val="24"/>
        </w:rPr>
        <w:t>E</w:t>
      </w:r>
      <w:r>
        <w:rPr>
          <w:spacing w:val="-6"/>
          <w:sz w:val="24"/>
        </w:rPr>
        <w:t> </w:t>
      </w:r>
      <w:r>
        <w:rPr>
          <w:sz w:val="24"/>
        </w:rPr>
        <w:t>Gaude,</w:t>
      </w:r>
      <w:r>
        <w:rPr>
          <w:spacing w:val="-6"/>
          <w:sz w:val="24"/>
        </w:rPr>
        <w:t> </w:t>
      </w:r>
      <w:r>
        <w:rPr>
          <w:sz w:val="24"/>
        </w:rPr>
        <w:t>D</w:t>
      </w:r>
      <w:r>
        <w:rPr>
          <w:spacing w:val="-5"/>
          <w:sz w:val="24"/>
        </w:rPr>
        <w:t> </w:t>
      </w:r>
      <w:r>
        <w:rPr>
          <w:sz w:val="24"/>
        </w:rPr>
        <w:t>M</w:t>
      </w:r>
      <w:r>
        <w:rPr>
          <w:spacing w:val="-6"/>
          <w:sz w:val="24"/>
        </w:rPr>
        <w:t> </w:t>
      </w:r>
      <w:r>
        <w:rPr>
          <w:sz w:val="24"/>
        </w:rPr>
        <w:t>Walsh,</w:t>
      </w:r>
      <w:r>
        <w:rPr>
          <w:spacing w:val="-6"/>
          <w:sz w:val="24"/>
        </w:rPr>
        <w:t> </w:t>
      </w:r>
      <w:r>
        <w:rPr>
          <w:sz w:val="24"/>
        </w:rPr>
        <w:t>G</w:t>
      </w:r>
      <w:r>
        <w:rPr>
          <w:spacing w:val="-5"/>
          <w:sz w:val="24"/>
        </w:rPr>
        <w:t> </w:t>
      </w:r>
      <w:r>
        <w:rPr>
          <w:sz w:val="24"/>
        </w:rPr>
        <w:t>Kirby,</w:t>
      </w:r>
      <w:r>
        <w:rPr>
          <w:spacing w:val="-6"/>
          <w:sz w:val="24"/>
        </w:rPr>
        <w:t> </w:t>
      </w:r>
      <w:r>
        <w:rPr>
          <w:sz w:val="24"/>
        </w:rPr>
        <w:t>M</w:t>
      </w:r>
      <w:r>
        <w:rPr>
          <w:spacing w:val="-6"/>
          <w:sz w:val="24"/>
        </w:rPr>
        <w:t> </w:t>
      </w:r>
      <w:r>
        <w:rPr>
          <w:sz w:val="24"/>
        </w:rPr>
        <w:t>A</w:t>
      </w:r>
      <w:r>
        <w:rPr>
          <w:spacing w:val="-7"/>
          <w:sz w:val="24"/>
        </w:rPr>
        <w:t> </w:t>
      </w:r>
      <w:r>
        <w:rPr>
          <w:sz w:val="24"/>
        </w:rPr>
        <w:t>Simpson,</w:t>
      </w:r>
      <w:r>
        <w:rPr>
          <w:spacing w:val="-6"/>
          <w:sz w:val="24"/>
        </w:rPr>
        <w:t> </w:t>
      </w:r>
      <w:r>
        <w:rPr>
          <w:sz w:val="24"/>
        </w:rPr>
        <w:t>R</w:t>
      </w:r>
      <w:r>
        <w:rPr>
          <w:spacing w:val="-4"/>
          <w:sz w:val="24"/>
        </w:rPr>
        <w:t> </w:t>
      </w:r>
      <w:r>
        <w:rPr>
          <w:sz w:val="24"/>
        </w:rPr>
        <w:t>C</w:t>
      </w:r>
      <w:r>
        <w:rPr>
          <w:spacing w:val="-6"/>
          <w:sz w:val="24"/>
        </w:rPr>
        <w:t> </w:t>
      </w:r>
      <w:r>
        <w:rPr>
          <w:sz w:val="24"/>
        </w:rPr>
        <w:t>Trembath,</w:t>
      </w:r>
      <w:r>
        <w:rPr>
          <w:spacing w:val="-6"/>
          <w:sz w:val="24"/>
        </w:rPr>
        <w:t> </w:t>
      </w:r>
      <w:r>
        <w:rPr>
          <w:sz w:val="24"/>
        </w:rPr>
        <w:t>et</w:t>
      </w:r>
      <w:r>
        <w:rPr>
          <w:spacing w:val="-6"/>
          <w:sz w:val="24"/>
        </w:rPr>
        <w:t> </w:t>
      </w:r>
      <w:r>
        <w:rPr>
          <w:sz w:val="24"/>
        </w:rPr>
        <w:t>al. 2014. « Germline FH Mutations Presenting with Pheochromocytoma </w:t>
      </w:r>
      <w:r>
        <w:rPr>
          <w:spacing w:val="-4"/>
          <w:sz w:val="24"/>
        </w:rPr>
        <w:t>». </w:t>
      </w:r>
      <w:r>
        <w:rPr>
          <w:i/>
          <w:sz w:val="24"/>
        </w:rPr>
        <w:t>The Journal of </w:t>
      </w:r>
      <w:r>
        <w:rPr>
          <w:i/>
          <w:sz w:val="24"/>
        </w:rPr>
        <w:t>Clinical Endocrinology and Metabolism </w:t>
      </w:r>
      <w:r>
        <w:rPr>
          <w:sz w:val="24"/>
        </w:rPr>
        <w:t>99 (10):</w:t>
      </w:r>
      <w:r>
        <w:rPr>
          <w:spacing w:val="-5"/>
          <w:sz w:val="24"/>
        </w:rPr>
        <w:t> </w:t>
      </w:r>
      <w:r>
        <w:rPr>
          <w:sz w:val="24"/>
        </w:rPr>
        <w:t>2046-50.</w:t>
      </w:r>
    </w:p>
    <w:p>
      <w:pPr>
        <w:spacing w:line="242" w:lineRule="auto" w:before="0"/>
        <w:ind w:left="836" w:right="118" w:hanging="720"/>
        <w:jc w:val="both"/>
        <w:rPr>
          <w:sz w:val="24"/>
        </w:rPr>
      </w:pPr>
      <w:r>
        <w:rPr>
          <w:sz w:val="24"/>
        </w:rPr>
        <w:t>Clark, O, K Yen, et I K Mellinghoff. 2016. « Molecular Pathways: Isocitrate Dehydrogenase Mutations in Cancer ». </w:t>
      </w:r>
      <w:r>
        <w:rPr>
          <w:i/>
          <w:sz w:val="24"/>
        </w:rPr>
        <w:t>Clinical Cancer Research: An Official Journal of the American </w:t>
      </w:r>
      <w:r>
        <w:rPr>
          <w:i/>
          <w:sz w:val="24"/>
        </w:rPr>
        <w:t>Association for Cancer Research </w:t>
      </w:r>
      <w:r>
        <w:rPr>
          <w:sz w:val="24"/>
        </w:rPr>
        <w:t>22 (8): 1837</w:t>
      </w:r>
      <w:r>
        <w:rPr>
          <w:rFonts w:ascii="Cambria Math" w:hAnsi="Cambria Math"/>
          <w:sz w:val="24"/>
        </w:rPr>
        <w:t>‑</w:t>
      </w:r>
      <w:r>
        <w:rPr>
          <w:sz w:val="24"/>
        </w:rPr>
        <w:t>42.</w:t>
      </w:r>
    </w:p>
    <w:p>
      <w:pPr>
        <w:pStyle w:val="BodyText"/>
        <w:spacing w:line="242" w:lineRule="auto"/>
        <w:ind w:left="836" w:right="113" w:hanging="720"/>
        <w:jc w:val="both"/>
      </w:pPr>
      <w:r>
        <w:rPr/>
        <w:t>Clem, B, S Telang, A Clem, A Yalcin, J Meier, A Simmons, M A Rasku, et al. 2008. « Small- Molecule Inhibition of 6-Phosphofructo-2-Kinase Activity Suppresses Glycolytic Flux and Tumor Growth ». </w:t>
      </w:r>
      <w:r>
        <w:rPr>
          <w:i/>
        </w:rPr>
        <w:t>Molecular Cancer Therapeutics </w:t>
      </w:r>
      <w:r>
        <w:rPr/>
        <w:t>7 (1): 110</w:t>
      </w:r>
      <w:r>
        <w:rPr>
          <w:rFonts w:ascii="Cambria Math" w:hAnsi="Cambria Math"/>
        </w:rPr>
        <w:t>‑</w:t>
      </w:r>
      <w:r>
        <w:rPr/>
        <w:t>20.</w:t>
      </w:r>
    </w:p>
    <w:p>
      <w:pPr>
        <w:spacing w:after="0" w:line="242" w:lineRule="auto"/>
        <w:jc w:val="both"/>
        <w:sectPr>
          <w:pgSz w:w="11910" w:h="16840"/>
          <w:pgMar w:header="0" w:footer="995" w:top="1320" w:bottom="1240" w:left="1300" w:right="1300"/>
        </w:sectPr>
      </w:pPr>
    </w:p>
    <w:p>
      <w:pPr>
        <w:pStyle w:val="BodyText"/>
        <w:spacing w:before="70"/>
        <w:ind w:left="824" w:right="116" w:hanging="708"/>
        <w:jc w:val="both"/>
      </w:pPr>
      <w:r>
        <w:rPr/>
        <w:t>ClinicalTrials.gov. </w:t>
      </w:r>
      <w:r>
        <w:rPr>
          <w:i/>
        </w:rPr>
        <w:t>Home - ClinicalTrials.gov</w:t>
      </w:r>
      <w:r>
        <w:rPr/>
        <w:t>. [en ligne], URL : https://clinicaltrials.gov/. [consulté le 10 septembre 2016]</w:t>
      </w:r>
    </w:p>
    <w:p>
      <w:pPr>
        <w:spacing w:line="242" w:lineRule="auto" w:before="0"/>
        <w:ind w:left="836" w:right="115" w:hanging="720"/>
        <w:jc w:val="both"/>
        <w:rPr>
          <w:sz w:val="24"/>
        </w:rPr>
      </w:pPr>
      <w:r>
        <w:rPr>
          <w:sz w:val="24"/>
        </w:rPr>
        <w:t>Cocco, P. 1987. « Does G6PD deficiency protect against cancer? A critical review. » </w:t>
      </w:r>
      <w:r>
        <w:rPr>
          <w:i/>
          <w:sz w:val="24"/>
        </w:rPr>
        <w:t>Journal </w:t>
      </w:r>
      <w:r>
        <w:rPr>
          <w:i/>
          <w:sz w:val="24"/>
        </w:rPr>
        <w:t>of Epidemiology and Community Health </w:t>
      </w:r>
      <w:r>
        <w:rPr>
          <w:sz w:val="24"/>
        </w:rPr>
        <w:t>41 (2): 89</w:t>
      </w:r>
      <w:r>
        <w:rPr>
          <w:rFonts w:ascii="Cambria Math" w:hAnsi="Cambria Math"/>
          <w:sz w:val="24"/>
        </w:rPr>
        <w:t>‑</w:t>
      </w:r>
      <w:r>
        <w:rPr>
          <w:sz w:val="24"/>
        </w:rPr>
        <w:t>93.</w:t>
      </w:r>
    </w:p>
    <w:p>
      <w:pPr>
        <w:pStyle w:val="BodyText"/>
        <w:spacing w:line="272" w:lineRule="exact"/>
        <w:ind w:left="116"/>
      </w:pPr>
      <w:r>
        <w:rPr/>
        <w:t>Cornejo, K M, M Lu, P Yang, S Wu, C Cai, W Zhong, A Olumi, R H Young, et C Wu. 2015.</w:t>
      </w:r>
    </w:p>
    <w:p>
      <w:pPr>
        <w:pStyle w:val="BodyText"/>
        <w:spacing w:line="242" w:lineRule="auto"/>
        <w:ind w:left="836" w:right="119"/>
        <w:jc w:val="both"/>
      </w:pPr>
      <w:r>
        <w:rPr/>
        <w:t>« Succinate Dehydrogenase B: A New Prognostic Biomarker in Clear Cell Renal Cell Carcinoma ». </w:t>
      </w:r>
      <w:r>
        <w:rPr>
          <w:i/>
        </w:rPr>
        <w:t>Human Pathology </w:t>
      </w:r>
      <w:r>
        <w:rPr/>
        <w:t>46 (6): 820</w:t>
      </w:r>
      <w:r>
        <w:rPr>
          <w:rFonts w:ascii="Cambria Math" w:hAnsi="Cambria Math"/>
        </w:rPr>
        <w:t>‑</w:t>
      </w:r>
      <w:r>
        <w:rPr/>
        <w:t>26.</w:t>
      </w:r>
    </w:p>
    <w:p>
      <w:pPr>
        <w:pStyle w:val="BodyText"/>
        <w:spacing w:line="242" w:lineRule="auto"/>
        <w:ind w:left="836" w:right="114" w:hanging="720"/>
        <w:jc w:val="both"/>
      </w:pPr>
      <w:r>
        <w:rPr/>
        <w:t>Coy, J F, D Dressler, J Wilde, et P Schubert 2005. « Mutations in the Transketolase-like Gene TKTL1: Clinical Implications for Neurodegenerative Diseases, Diabetes and Cancer ». </w:t>
      </w:r>
      <w:r>
        <w:rPr>
          <w:i/>
        </w:rPr>
        <w:t>Clinical Laboratory </w:t>
      </w:r>
      <w:r>
        <w:rPr/>
        <w:t>51 (5</w:t>
      </w:r>
      <w:r>
        <w:rPr>
          <w:rFonts w:ascii="Cambria Math" w:hAnsi="Cambria Math"/>
        </w:rPr>
        <w:t>‑</w:t>
      </w:r>
      <w:r>
        <w:rPr/>
        <w:t>6): 257</w:t>
      </w:r>
      <w:r>
        <w:rPr>
          <w:rFonts w:ascii="Cambria Math" w:hAnsi="Cambria Math"/>
        </w:rPr>
        <w:t>‑</w:t>
      </w:r>
      <w:r>
        <w:rPr/>
        <w:t>73.</w:t>
      </w:r>
    </w:p>
    <w:p>
      <w:pPr>
        <w:spacing w:line="242" w:lineRule="auto" w:before="0"/>
        <w:ind w:left="836" w:right="114" w:hanging="720"/>
        <w:jc w:val="both"/>
        <w:rPr>
          <w:sz w:val="24"/>
        </w:rPr>
      </w:pPr>
      <w:r>
        <w:rPr>
          <w:sz w:val="24"/>
        </w:rPr>
        <w:t>Cremer, D R, R Rabeler, A Roberts, et B Lynch. 2006. « Long-Term Safety of Alpha-Lipoic Acid (ALA) Consumption: A 2-Year Study ». </w:t>
      </w:r>
      <w:r>
        <w:rPr>
          <w:i/>
          <w:sz w:val="24"/>
        </w:rPr>
        <w:t>Regulatory Toxicology and </w:t>
      </w:r>
      <w:r>
        <w:rPr>
          <w:i/>
          <w:sz w:val="24"/>
        </w:rPr>
        <w:t>Pharmacology: RTP </w:t>
      </w:r>
      <w:r>
        <w:rPr>
          <w:sz w:val="24"/>
        </w:rPr>
        <w:t>46 (3): 193</w:t>
      </w:r>
      <w:r>
        <w:rPr>
          <w:rFonts w:ascii="Cambria Math" w:hAnsi="Cambria Math"/>
          <w:sz w:val="24"/>
        </w:rPr>
        <w:t>‑</w:t>
      </w:r>
      <w:r>
        <w:rPr>
          <w:sz w:val="24"/>
        </w:rPr>
        <w:t>201.</w:t>
      </w:r>
    </w:p>
    <w:p>
      <w:pPr>
        <w:spacing w:line="240" w:lineRule="auto" w:before="0"/>
        <w:ind w:left="824" w:right="114" w:hanging="708"/>
        <w:jc w:val="both"/>
        <w:rPr>
          <w:sz w:val="24"/>
        </w:rPr>
      </w:pPr>
      <w:r>
        <w:rPr>
          <w:sz w:val="24"/>
        </w:rPr>
        <w:t>Cucherat, M. 2013. </w:t>
      </w:r>
      <w:r>
        <w:rPr>
          <w:i/>
          <w:sz w:val="24"/>
        </w:rPr>
        <w:t>MedFac Calc - La calculette de la médecine factuelle</w:t>
      </w:r>
      <w:r>
        <w:rPr>
          <w:sz w:val="24"/>
        </w:rPr>
        <w:t>. [en ligne], URL : </w:t>
      </w:r>
      <w:hyperlink r:id="rId72">
        <w:r>
          <w:rPr>
            <w:sz w:val="24"/>
          </w:rPr>
          <w:t>http://www.spc.univ-lyon1.fr/mfcalc/index.htm. </w:t>
        </w:r>
      </w:hyperlink>
      <w:r>
        <w:rPr>
          <w:sz w:val="24"/>
        </w:rPr>
        <w:t>[consulté le 25 avril 2017]</w:t>
      </w:r>
    </w:p>
    <w:p>
      <w:pPr>
        <w:spacing w:before="6"/>
        <w:ind w:left="824" w:right="113" w:hanging="708"/>
        <w:jc w:val="both"/>
        <w:rPr>
          <w:sz w:val="24"/>
        </w:rPr>
      </w:pPr>
      <w:r>
        <w:rPr>
          <w:sz w:val="24"/>
        </w:rPr>
        <w:t>Dagli M, M Nagamine, I Mackowiak da Fonseca, et L Gentile. 2017. « Effects of Sodium Dicholoacetate</w:t>
      </w:r>
      <w:r>
        <w:rPr>
          <w:spacing w:val="-12"/>
          <w:sz w:val="24"/>
        </w:rPr>
        <w:t> </w:t>
      </w:r>
      <w:r>
        <w:rPr>
          <w:sz w:val="24"/>
        </w:rPr>
        <w:t>on</w:t>
      </w:r>
      <w:r>
        <w:rPr>
          <w:spacing w:val="-9"/>
          <w:sz w:val="24"/>
        </w:rPr>
        <w:t> </w:t>
      </w:r>
      <w:r>
        <w:rPr>
          <w:sz w:val="24"/>
        </w:rPr>
        <w:t>canine</w:t>
      </w:r>
      <w:r>
        <w:rPr>
          <w:spacing w:val="-8"/>
          <w:sz w:val="24"/>
        </w:rPr>
        <w:t> </w:t>
      </w:r>
      <w:r>
        <w:rPr>
          <w:sz w:val="24"/>
        </w:rPr>
        <w:t>and</w:t>
      </w:r>
      <w:r>
        <w:rPr>
          <w:spacing w:val="-11"/>
          <w:sz w:val="24"/>
        </w:rPr>
        <w:t> </w:t>
      </w:r>
      <w:r>
        <w:rPr>
          <w:sz w:val="24"/>
        </w:rPr>
        <w:t>human</w:t>
      </w:r>
      <w:r>
        <w:rPr>
          <w:spacing w:val="-9"/>
          <w:sz w:val="24"/>
        </w:rPr>
        <w:t> </w:t>
      </w:r>
      <w:r>
        <w:rPr>
          <w:sz w:val="24"/>
        </w:rPr>
        <w:t>neoplastic</w:t>
      </w:r>
      <w:r>
        <w:rPr>
          <w:spacing w:val="-10"/>
          <w:sz w:val="24"/>
        </w:rPr>
        <w:t> </w:t>
      </w:r>
      <w:r>
        <w:rPr>
          <w:sz w:val="24"/>
        </w:rPr>
        <w:t>and</w:t>
      </w:r>
      <w:r>
        <w:rPr>
          <w:spacing w:val="-11"/>
          <w:sz w:val="24"/>
        </w:rPr>
        <w:t> </w:t>
      </w:r>
      <w:r>
        <w:rPr>
          <w:sz w:val="24"/>
        </w:rPr>
        <w:t>non-neoplastic</w:t>
      </w:r>
      <w:r>
        <w:rPr>
          <w:spacing w:val="-12"/>
          <w:sz w:val="24"/>
        </w:rPr>
        <w:t> </w:t>
      </w:r>
      <w:r>
        <w:rPr>
          <w:sz w:val="24"/>
        </w:rPr>
        <w:t>mammary</w:t>
      </w:r>
      <w:r>
        <w:rPr>
          <w:spacing w:val="-13"/>
          <w:sz w:val="24"/>
        </w:rPr>
        <w:t> </w:t>
      </w:r>
      <w:r>
        <w:rPr>
          <w:sz w:val="24"/>
        </w:rPr>
        <w:t>epithelial cell cultures </w:t>
      </w:r>
      <w:r>
        <w:rPr>
          <w:spacing w:val="-4"/>
          <w:sz w:val="24"/>
        </w:rPr>
        <w:t>». </w:t>
      </w:r>
      <w:r>
        <w:rPr>
          <w:sz w:val="24"/>
        </w:rPr>
        <w:t>In : </w:t>
      </w:r>
      <w:r>
        <w:rPr>
          <w:i/>
          <w:sz w:val="24"/>
        </w:rPr>
        <w:t>Proceedings of the European Society of Veterinary Oncology</w:t>
      </w:r>
      <w:r>
        <w:rPr>
          <w:sz w:val="24"/>
        </w:rPr>
        <w:t>, April 20-22, 2017, Lyon, France,</w:t>
      </w:r>
      <w:r>
        <w:rPr>
          <w:spacing w:val="-6"/>
          <w:sz w:val="24"/>
        </w:rPr>
        <w:t> </w:t>
      </w:r>
      <w:r>
        <w:rPr>
          <w:sz w:val="24"/>
        </w:rPr>
        <w:t>77p.</w:t>
      </w:r>
    </w:p>
    <w:p>
      <w:pPr>
        <w:spacing w:line="242" w:lineRule="auto" w:before="0"/>
        <w:ind w:left="836" w:right="115" w:hanging="720"/>
        <w:jc w:val="both"/>
        <w:rPr>
          <w:sz w:val="24"/>
        </w:rPr>
      </w:pPr>
      <w:r>
        <w:rPr>
          <w:sz w:val="24"/>
        </w:rPr>
        <w:t>Dang, L, K Yen, et E C Attar. 2016. « IDH Mutations in Cancer and Progress toward Development of Targeted Therapeutics ». </w:t>
      </w:r>
      <w:r>
        <w:rPr>
          <w:i/>
          <w:sz w:val="24"/>
        </w:rPr>
        <w:t>Annals of Oncology: Official Journal of the </w:t>
      </w:r>
      <w:r>
        <w:rPr>
          <w:i/>
          <w:sz w:val="24"/>
        </w:rPr>
        <w:t>European Society for Medical Oncology / ESMO </w:t>
      </w:r>
      <w:r>
        <w:rPr>
          <w:sz w:val="24"/>
        </w:rPr>
        <w:t>27 (4): 599</w:t>
      </w:r>
      <w:r>
        <w:rPr>
          <w:rFonts w:ascii="Cambria Math" w:hAnsi="Cambria Math"/>
          <w:sz w:val="24"/>
        </w:rPr>
        <w:t>‑</w:t>
      </w:r>
      <w:r>
        <w:rPr>
          <w:sz w:val="24"/>
        </w:rPr>
        <w:t>608.</w:t>
      </w:r>
    </w:p>
    <w:p>
      <w:pPr>
        <w:pStyle w:val="BodyText"/>
        <w:spacing w:line="270" w:lineRule="exact"/>
        <w:ind w:left="116"/>
      </w:pPr>
      <w:r>
        <w:rPr/>
        <w:t>Daniele,</w:t>
      </w:r>
      <w:r>
        <w:rPr>
          <w:spacing w:val="-14"/>
        </w:rPr>
        <w:t> </w:t>
      </w:r>
      <w:r>
        <w:rPr/>
        <w:t>S,</w:t>
      </w:r>
      <w:r>
        <w:rPr>
          <w:spacing w:val="-14"/>
        </w:rPr>
        <w:t> </w:t>
      </w:r>
      <w:r>
        <w:rPr/>
        <w:t>C</w:t>
      </w:r>
      <w:r>
        <w:rPr>
          <w:spacing w:val="-13"/>
        </w:rPr>
        <w:t> </w:t>
      </w:r>
      <w:r>
        <w:rPr/>
        <w:t>Giacomelli,</w:t>
      </w:r>
      <w:r>
        <w:rPr>
          <w:spacing w:val="-12"/>
        </w:rPr>
        <w:t> </w:t>
      </w:r>
      <w:r>
        <w:rPr/>
        <w:t>E</w:t>
      </w:r>
      <w:r>
        <w:rPr>
          <w:spacing w:val="-13"/>
        </w:rPr>
        <w:t> </w:t>
      </w:r>
      <w:r>
        <w:rPr/>
        <w:t>Zappelli,</w:t>
      </w:r>
      <w:r>
        <w:rPr>
          <w:spacing w:val="-14"/>
        </w:rPr>
        <w:t> </w:t>
      </w:r>
      <w:r>
        <w:rPr/>
        <w:t>C</w:t>
      </w:r>
      <w:r>
        <w:rPr>
          <w:spacing w:val="-13"/>
        </w:rPr>
        <w:t> </w:t>
      </w:r>
      <w:r>
        <w:rPr/>
        <w:t>Granchi,</w:t>
      </w:r>
      <w:r>
        <w:rPr>
          <w:spacing w:val="-14"/>
        </w:rPr>
        <w:t> </w:t>
      </w:r>
      <w:r>
        <w:rPr/>
        <w:t>M</w:t>
      </w:r>
      <w:r>
        <w:rPr>
          <w:spacing w:val="-12"/>
        </w:rPr>
        <w:t> </w:t>
      </w:r>
      <w:r>
        <w:rPr/>
        <w:t>Trincavelli,</w:t>
      </w:r>
      <w:r>
        <w:rPr>
          <w:spacing w:val="-14"/>
        </w:rPr>
        <w:t> </w:t>
      </w:r>
      <w:r>
        <w:rPr/>
        <w:t>F</w:t>
      </w:r>
      <w:r>
        <w:rPr>
          <w:spacing w:val="-16"/>
        </w:rPr>
        <w:t> </w:t>
      </w:r>
      <w:r>
        <w:rPr/>
        <w:t>Minutolo,</w:t>
      </w:r>
      <w:r>
        <w:rPr>
          <w:spacing w:val="-12"/>
        </w:rPr>
        <w:t> </w:t>
      </w:r>
      <w:r>
        <w:rPr/>
        <w:t>et</w:t>
      </w:r>
      <w:r>
        <w:rPr>
          <w:spacing w:val="-14"/>
        </w:rPr>
        <w:t> </w:t>
      </w:r>
      <w:r>
        <w:rPr/>
        <w:t>C</w:t>
      </w:r>
      <w:r>
        <w:rPr>
          <w:spacing w:val="-12"/>
        </w:rPr>
        <w:t> </w:t>
      </w:r>
      <w:r>
        <w:rPr/>
        <w:t>Martini.</w:t>
      </w:r>
      <w:r>
        <w:rPr>
          <w:spacing w:val="-14"/>
        </w:rPr>
        <w:t> </w:t>
      </w:r>
      <w:r>
        <w:rPr/>
        <w:t>2015.</w:t>
      </w:r>
    </w:p>
    <w:p>
      <w:pPr>
        <w:pStyle w:val="BodyText"/>
        <w:ind w:left="836" w:right="117"/>
        <w:jc w:val="both"/>
      </w:pPr>
      <w:r>
        <w:rPr/>
        <w:t>« Lactate Dehydrogenase-A Inhibition Induces Human Glioblastoma Multiforme Stem Cell Differentiation and Death ». </w:t>
      </w:r>
      <w:r>
        <w:rPr>
          <w:i/>
        </w:rPr>
        <w:t>Scientific Reports </w:t>
      </w:r>
      <w:r>
        <w:rPr/>
        <w:t>5 (4): 15556-63.</w:t>
      </w:r>
    </w:p>
    <w:p>
      <w:pPr>
        <w:pStyle w:val="BodyText"/>
        <w:spacing w:line="242" w:lineRule="auto"/>
        <w:ind w:left="836" w:right="116" w:hanging="720"/>
        <w:jc w:val="both"/>
      </w:pPr>
      <w:r>
        <w:rPr/>
        <w:t>Daye, D, et K E Wellen. 2012. « Metabolic reprogramming in cancer: Unraveling the role of glutamine in tumorigenesis ». </w:t>
      </w:r>
      <w:r>
        <w:rPr>
          <w:i/>
        </w:rPr>
        <w:t>Seminars in Cell &amp; Developmental Biology</w:t>
      </w:r>
      <w:r>
        <w:rPr/>
        <w:t>, Cancer Cell Metabolism &amp; Notch Signaling, 23 (4): 362</w:t>
      </w:r>
      <w:r>
        <w:rPr>
          <w:rFonts w:ascii="Cambria Math" w:hAnsi="Cambria Math"/>
        </w:rPr>
        <w:t>‑</w:t>
      </w:r>
      <w:r>
        <w:rPr/>
        <w:t>69.</w:t>
      </w:r>
    </w:p>
    <w:p>
      <w:pPr>
        <w:pStyle w:val="BodyText"/>
        <w:ind w:left="836" w:right="112" w:hanging="720"/>
        <w:jc w:val="both"/>
      </w:pPr>
      <w:r>
        <w:rPr/>
        <w:t>De Milito, A, R Canese, M L Marino, M Borghi, M Iero, AVilla, G Venturi, et al. 2010. «</w:t>
      </w:r>
      <w:r>
        <w:rPr>
          <w:spacing w:val="-26"/>
        </w:rPr>
        <w:t> </w:t>
      </w:r>
      <w:r>
        <w:rPr/>
        <w:t>PH- Dependent Antitumor Activity of Proton Pump Inhibitors against Human Melanoma Is Mediated by Inhibition of Tumor Acidity </w:t>
      </w:r>
      <w:r>
        <w:rPr>
          <w:spacing w:val="-4"/>
        </w:rPr>
        <w:t>». </w:t>
      </w:r>
      <w:r>
        <w:rPr>
          <w:i/>
        </w:rPr>
        <w:t>International Journal of Cancer </w:t>
      </w:r>
      <w:r>
        <w:rPr/>
        <w:t>127 (1): 207</w:t>
      </w:r>
      <w:r>
        <w:rPr>
          <w:rFonts w:ascii="Cambria Math" w:hAnsi="Cambria Math"/>
        </w:rPr>
        <w:t>‑</w:t>
      </w:r>
      <w:r>
        <w:rPr/>
        <w:t>19.</w:t>
      </w:r>
    </w:p>
    <w:p>
      <w:pPr>
        <w:pStyle w:val="BodyText"/>
        <w:spacing w:line="272" w:lineRule="exact" w:before="4"/>
        <w:ind w:left="116"/>
      </w:pPr>
      <w:r>
        <w:rPr/>
        <w:t>De Milito, A, E Iessi, M Logozzi, F Lozupone, M Spada, M L Marino, C Federici, et al. 2007.</w:t>
      </w:r>
    </w:p>
    <w:p>
      <w:pPr>
        <w:pStyle w:val="BodyText"/>
        <w:spacing w:line="242" w:lineRule="auto"/>
        <w:ind w:left="836" w:right="115"/>
        <w:jc w:val="both"/>
      </w:pPr>
      <w:r>
        <w:rPr/>
        <w:t>« Proton Pump Inhibitors Induce Apoptosis of Human B-Cell Tumors through a Caspase-Independent Mechanism Involving Reactive Oxygen Species ». </w:t>
      </w:r>
      <w:r>
        <w:rPr>
          <w:i/>
        </w:rPr>
        <w:t>Cancer </w:t>
      </w:r>
      <w:r>
        <w:rPr>
          <w:i/>
        </w:rPr>
        <w:t>Research </w:t>
      </w:r>
      <w:r>
        <w:rPr/>
        <w:t>67 (11): 5408</w:t>
      </w:r>
      <w:r>
        <w:rPr>
          <w:rFonts w:ascii="Cambria Math" w:hAnsi="Cambria Math"/>
        </w:rPr>
        <w:t>‑</w:t>
      </w:r>
      <w:r>
        <w:rPr/>
        <w:t>17.</w:t>
      </w:r>
    </w:p>
    <w:p>
      <w:pPr>
        <w:pStyle w:val="BodyText"/>
        <w:ind w:left="836" w:right="113" w:hanging="720"/>
        <w:jc w:val="both"/>
      </w:pPr>
      <w:r>
        <w:rPr/>
        <w:t>DeBerardinis, R J, et N S Chandel. 2016. « Fundamentals of cancer metabolism ». </w:t>
      </w:r>
      <w:r>
        <w:rPr>
          <w:i/>
        </w:rPr>
        <w:t>Science </w:t>
      </w:r>
      <w:r>
        <w:rPr>
          <w:i/>
        </w:rPr>
        <w:t>Advances </w:t>
      </w:r>
      <w:r>
        <w:rPr/>
        <w:t>2 (5): 1126-38.</w:t>
      </w:r>
    </w:p>
    <w:p>
      <w:pPr>
        <w:pStyle w:val="BodyText"/>
        <w:spacing w:line="242" w:lineRule="auto" w:before="6"/>
        <w:ind w:left="836" w:right="117" w:hanging="720"/>
        <w:jc w:val="both"/>
      </w:pPr>
      <w:r>
        <w:rPr/>
        <w:t>DeBerardinis, R J, et T Cheng. 2010. « Q’s next: The diverse functions of glutamine in metabolism, cell biology and cancer ». </w:t>
      </w:r>
      <w:r>
        <w:rPr>
          <w:i/>
        </w:rPr>
        <w:t>Oncogene </w:t>
      </w:r>
      <w:r>
        <w:rPr/>
        <w:t>29 (3): 313</w:t>
      </w:r>
      <w:r>
        <w:rPr>
          <w:rFonts w:ascii="Cambria Math" w:hAnsi="Cambria Math"/>
        </w:rPr>
        <w:t>‑</w:t>
      </w:r>
      <w:r>
        <w:rPr/>
        <w:t>24.</w:t>
      </w:r>
    </w:p>
    <w:p>
      <w:pPr>
        <w:spacing w:line="242" w:lineRule="auto" w:before="0"/>
        <w:ind w:left="836" w:right="112" w:hanging="720"/>
        <w:jc w:val="both"/>
        <w:rPr>
          <w:sz w:val="24"/>
        </w:rPr>
      </w:pPr>
      <w:r>
        <w:rPr>
          <w:sz w:val="24"/>
        </w:rPr>
        <w:t>Dhar, S, et S J Lippard. 2009. « Mitaplatin, a Potent Fusion of Cisplatin and the Orphan Drug Dichloroacetate </w:t>
      </w:r>
      <w:r>
        <w:rPr>
          <w:spacing w:val="-4"/>
          <w:sz w:val="24"/>
        </w:rPr>
        <w:t>».</w:t>
      </w:r>
      <w:r>
        <w:rPr>
          <w:spacing w:val="51"/>
          <w:sz w:val="24"/>
        </w:rPr>
        <w:t> </w:t>
      </w:r>
      <w:r>
        <w:rPr>
          <w:i/>
          <w:sz w:val="24"/>
        </w:rPr>
        <w:t>Proceedings of the National Academy of Sciences </w:t>
      </w:r>
      <w:r>
        <w:rPr>
          <w:sz w:val="24"/>
        </w:rPr>
        <w:t>106 (52): 22199</w:t>
      </w:r>
      <w:r>
        <w:rPr>
          <w:rFonts w:ascii="Cambria Math" w:hAnsi="Cambria Math"/>
          <w:sz w:val="24"/>
        </w:rPr>
        <w:t>‑</w:t>
      </w:r>
      <w:r>
        <w:rPr>
          <w:sz w:val="24"/>
        </w:rPr>
        <w:t>204.</w:t>
      </w:r>
    </w:p>
    <w:p>
      <w:pPr>
        <w:pStyle w:val="BodyText"/>
        <w:spacing w:line="242" w:lineRule="auto"/>
        <w:ind w:left="836" w:right="115" w:hanging="720"/>
        <w:jc w:val="both"/>
      </w:pPr>
      <w:r>
        <w:rPr/>
        <w:t>Di Desidero, T, P Xu, S Man, G Bocci, et R S Kerbel. 2015. « Potent efficacy of metronomic topotecan and pazopanib combination therapy in preclinical models of primary or late stage metastatic triple-negative breast cancer ». </w:t>
      </w:r>
      <w:r>
        <w:rPr>
          <w:i/>
        </w:rPr>
        <w:t>Oncotarget </w:t>
      </w:r>
      <w:r>
        <w:rPr/>
        <w:t>6 (40): 42396</w:t>
      </w:r>
      <w:r>
        <w:rPr>
          <w:rFonts w:ascii="Cambria Math" w:hAnsi="Cambria Math"/>
        </w:rPr>
        <w:t>‑</w:t>
      </w:r>
      <w:r>
        <w:rPr/>
        <w:t>410.</w:t>
      </w:r>
    </w:p>
    <w:p>
      <w:pPr>
        <w:pStyle w:val="BodyText"/>
        <w:ind w:left="836" w:right="112" w:hanging="720"/>
        <w:jc w:val="both"/>
      </w:pPr>
      <w:r>
        <w:rPr/>
        <w:t>Di</w:t>
      </w:r>
      <w:r>
        <w:rPr>
          <w:spacing w:val="-5"/>
        </w:rPr>
        <w:t> </w:t>
      </w:r>
      <w:r>
        <w:rPr/>
        <w:t>Michele,</w:t>
      </w:r>
      <w:r>
        <w:rPr>
          <w:spacing w:val="-5"/>
        </w:rPr>
        <w:t> </w:t>
      </w:r>
      <w:r>
        <w:rPr/>
        <w:t>M,</w:t>
      </w:r>
      <w:r>
        <w:rPr>
          <w:spacing w:val="-5"/>
        </w:rPr>
        <w:t> </w:t>
      </w:r>
      <w:r>
        <w:rPr/>
        <w:t>S</w:t>
      </w:r>
      <w:r>
        <w:rPr>
          <w:spacing w:val="-4"/>
        </w:rPr>
        <w:t> </w:t>
      </w:r>
      <w:r>
        <w:rPr/>
        <w:t>Marcone,</w:t>
      </w:r>
      <w:r>
        <w:rPr>
          <w:spacing w:val="-2"/>
        </w:rPr>
        <w:t> </w:t>
      </w:r>
      <w:r>
        <w:rPr/>
        <w:t>L</w:t>
      </w:r>
      <w:r>
        <w:rPr>
          <w:spacing w:val="-10"/>
        </w:rPr>
        <w:t> </w:t>
      </w:r>
      <w:r>
        <w:rPr/>
        <w:t>Cicchillitti,</w:t>
      </w:r>
      <w:r>
        <w:rPr>
          <w:spacing w:val="-4"/>
        </w:rPr>
        <w:t> </w:t>
      </w:r>
      <w:r>
        <w:rPr/>
        <w:t>A</w:t>
      </w:r>
      <w:r>
        <w:rPr>
          <w:spacing w:val="-5"/>
        </w:rPr>
        <w:t> </w:t>
      </w:r>
      <w:r>
        <w:rPr/>
        <w:t>Della</w:t>
      </w:r>
      <w:r>
        <w:rPr>
          <w:spacing w:val="-6"/>
        </w:rPr>
        <w:t> </w:t>
      </w:r>
      <w:r>
        <w:rPr/>
        <w:t>Corte,</w:t>
      </w:r>
      <w:r>
        <w:rPr>
          <w:spacing w:val="-5"/>
        </w:rPr>
        <w:t> </w:t>
      </w:r>
      <w:r>
        <w:rPr/>
        <w:t>C</w:t>
      </w:r>
      <w:r>
        <w:rPr>
          <w:spacing w:val="-4"/>
        </w:rPr>
        <w:t> </w:t>
      </w:r>
      <w:r>
        <w:rPr/>
        <w:t>Ferlini,</w:t>
      </w:r>
      <w:r>
        <w:rPr>
          <w:spacing w:val="-5"/>
        </w:rPr>
        <w:t> </w:t>
      </w:r>
      <w:r>
        <w:rPr/>
        <w:t>G</w:t>
      </w:r>
      <w:r>
        <w:rPr>
          <w:spacing w:val="-2"/>
        </w:rPr>
        <w:t> </w:t>
      </w:r>
      <w:r>
        <w:rPr/>
        <w:t>Scambia,</w:t>
      </w:r>
      <w:r>
        <w:rPr>
          <w:spacing w:val="-5"/>
        </w:rPr>
        <w:t> </w:t>
      </w:r>
      <w:r>
        <w:rPr/>
        <w:t>M</w:t>
      </w:r>
      <w:r>
        <w:rPr>
          <w:spacing w:val="-4"/>
        </w:rPr>
        <w:t> </w:t>
      </w:r>
      <w:r>
        <w:rPr/>
        <w:t>B</w:t>
      </w:r>
      <w:r>
        <w:rPr>
          <w:spacing w:val="-7"/>
        </w:rPr>
        <w:t> </w:t>
      </w:r>
      <w:r>
        <w:rPr/>
        <w:t>Donati,</w:t>
      </w:r>
      <w:r>
        <w:rPr>
          <w:spacing w:val="-5"/>
        </w:rPr>
        <w:t> </w:t>
      </w:r>
      <w:r>
        <w:rPr/>
        <w:t>et D Rotilio. 2010. « Glycoproteomics of Paclitaxel Resistance in Human Epithelial Ovarian Cancer Cell Lines: Towards the Identification of Putative Biomarkers </w:t>
      </w:r>
      <w:r>
        <w:rPr>
          <w:spacing w:val="-4"/>
        </w:rPr>
        <w:t>». </w:t>
      </w:r>
      <w:r>
        <w:rPr>
          <w:i/>
        </w:rPr>
        <w:t>Journal of Proteomics </w:t>
      </w:r>
      <w:r>
        <w:rPr/>
        <w:t>73 (5):</w:t>
      </w:r>
      <w:r>
        <w:rPr>
          <w:spacing w:val="-6"/>
        </w:rPr>
        <w:t> </w:t>
      </w:r>
      <w:r>
        <w:rPr/>
        <w:t>879</w:t>
      </w:r>
      <w:r>
        <w:rPr>
          <w:rFonts w:ascii="Cambria Math" w:hAnsi="Cambria Math"/>
        </w:rPr>
        <w:t>‑</w:t>
      </w:r>
      <w:r>
        <w:rPr/>
        <w:t>98.</w:t>
      </w:r>
    </w:p>
    <w:p>
      <w:pPr>
        <w:spacing w:after="0"/>
        <w:jc w:val="both"/>
        <w:sectPr>
          <w:pgSz w:w="11910" w:h="16840"/>
          <w:pgMar w:header="0" w:footer="1055" w:top="1320" w:bottom="1240" w:left="1300" w:right="1300"/>
        </w:sectPr>
      </w:pPr>
    </w:p>
    <w:p>
      <w:pPr>
        <w:pStyle w:val="BodyText"/>
        <w:spacing w:line="242" w:lineRule="auto" w:before="70"/>
        <w:ind w:left="836" w:right="115" w:hanging="720"/>
        <w:jc w:val="both"/>
      </w:pPr>
      <w:r>
        <w:rPr/>
        <w:t>Diaz-Ruiz,</w:t>
      </w:r>
      <w:r>
        <w:rPr>
          <w:spacing w:val="-13"/>
        </w:rPr>
        <w:t> </w:t>
      </w:r>
      <w:r>
        <w:rPr/>
        <w:t>R,</w:t>
      </w:r>
      <w:r>
        <w:rPr>
          <w:spacing w:val="-13"/>
        </w:rPr>
        <w:t> </w:t>
      </w:r>
      <w:r>
        <w:rPr/>
        <w:t>M</w:t>
      </w:r>
      <w:r>
        <w:rPr>
          <w:spacing w:val="-13"/>
        </w:rPr>
        <w:t> </w:t>
      </w:r>
      <w:r>
        <w:rPr/>
        <w:t>Rigoulet,</w:t>
      </w:r>
      <w:r>
        <w:rPr>
          <w:spacing w:val="-13"/>
        </w:rPr>
        <w:t> </w:t>
      </w:r>
      <w:r>
        <w:rPr/>
        <w:t>et</w:t>
      </w:r>
      <w:r>
        <w:rPr>
          <w:spacing w:val="-13"/>
        </w:rPr>
        <w:t> </w:t>
      </w:r>
      <w:r>
        <w:rPr/>
        <w:t>A</w:t>
      </w:r>
      <w:r>
        <w:rPr>
          <w:spacing w:val="-13"/>
        </w:rPr>
        <w:t> </w:t>
      </w:r>
      <w:r>
        <w:rPr/>
        <w:t>Devin.</w:t>
      </w:r>
      <w:r>
        <w:rPr>
          <w:spacing w:val="-13"/>
        </w:rPr>
        <w:t> </w:t>
      </w:r>
      <w:r>
        <w:rPr/>
        <w:t>2011.</w:t>
      </w:r>
      <w:r>
        <w:rPr>
          <w:spacing w:val="-9"/>
        </w:rPr>
        <w:t> </w:t>
      </w:r>
      <w:r>
        <w:rPr/>
        <w:t>«</w:t>
      </w:r>
      <w:r>
        <w:rPr>
          <w:spacing w:val="-6"/>
        </w:rPr>
        <w:t> </w:t>
      </w:r>
      <w:r>
        <w:rPr/>
        <w:t>The</w:t>
      </w:r>
      <w:r>
        <w:rPr>
          <w:spacing w:val="-12"/>
        </w:rPr>
        <w:t> </w:t>
      </w:r>
      <w:r>
        <w:rPr/>
        <w:t>Warburg</w:t>
      </w:r>
      <w:r>
        <w:rPr>
          <w:spacing w:val="-13"/>
        </w:rPr>
        <w:t> </w:t>
      </w:r>
      <w:r>
        <w:rPr/>
        <w:t>and</w:t>
      </w:r>
      <w:r>
        <w:rPr>
          <w:spacing w:val="-13"/>
        </w:rPr>
        <w:t> </w:t>
      </w:r>
      <w:r>
        <w:rPr/>
        <w:t>Crabtree</w:t>
      </w:r>
      <w:r>
        <w:rPr>
          <w:spacing w:val="-14"/>
        </w:rPr>
        <w:t> </w:t>
      </w:r>
      <w:r>
        <w:rPr/>
        <w:t>effects:</w:t>
      </w:r>
      <w:r>
        <w:rPr>
          <w:spacing w:val="-13"/>
        </w:rPr>
        <w:t> </w:t>
      </w:r>
      <w:r>
        <w:rPr/>
        <w:t>On</w:t>
      </w:r>
      <w:r>
        <w:rPr>
          <w:spacing w:val="-14"/>
        </w:rPr>
        <w:t> </w:t>
      </w:r>
      <w:r>
        <w:rPr/>
        <w:t>the</w:t>
      </w:r>
      <w:r>
        <w:rPr>
          <w:spacing w:val="-14"/>
        </w:rPr>
        <w:t> </w:t>
      </w:r>
      <w:r>
        <w:rPr/>
        <w:t>origin of cancer cell energy metabolism and of yeast glucose repression </w:t>
      </w:r>
      <w:r>
        <w:rPr>
          <w:spacing w:val="-4"/>
        </w:rPr>
        <w:t>». </w:t>
      </w:r>
      <w:r>
        <w:rPr>
          <w:i/>
        </w:rPr>
        <w:t>Biochimica et </w:t>
      </w:r>
      <w:r>
        <w:rPr>
          <w:i/>
        </w:rPr>
        <w:t>Biophysica Acta (BBA) - Bioenergetics</w:t>
      </w:r>
      <w:r>
        <w:rPr/>
        <w:t>, Bioenergetics of Cancer, 1807 (6):</w:t>
      </w:r>
      <w:r>
        <w:rPr>
          <w:spacing w:val="-10"/>
        </w:rPr>
        <w:t> </w:t>
      </w:r>
      <w:r>
        <w:rPr/>
        <w:t>568</w:t>
      </w:r>
      <w:r>
        <w:rPr>
          <w:rFonts w:ascii="Cambria Math" w:hAnsi="Cambria Math"/>
        </w:rPr>
        <w:t>‑</w:t>
      </w:r>
      <w:r>
        <w:rPr/>
        <w:t>76.</w:t>
      </w:r>
    </w:p>
    <w:p>
      <w:pPr>
        <w:pStyle w:val="BodyText"/>
        <w:spacing w:line="242" w:lineRule="auto"/>
        <w:ind w:left="836" w:right="113" w:hanging="720"/>
        <w:jc w:val="both"/>
      </w:pPr>
      <w:r>
        <w:rPr/>
        <w:t>Dittrich,</w:t>
      </w:r>
      <w:r>
        <w:rPr>
          <w:spacing w:val="-6"/>
        </w:rPr>
        <w:t> </w:t>
      </w:r>
      <w:r>
        <w:rPr/>
        <w:t>C,</w:t>
      </w:r>
      <w:r>
        <w:rPr>
          <w:spacing w:val="-6"/>
        </w:rPr>
        <w:t> </w:t>
      </w:r>
      <w:r>
        <w:rPr/>
        <w:t>A</w:t>
      </w:r>
      <w:r>
        <w:rPr>
          <w:spacing w:val="-9"/>
        </w:rPr>
        <w:t> </w:t>
      </w:r>
      <w:r>
        <w:rPr/>
        <w:t>S</w:t>
      </w:r>
      <w:r>
        <w:rPr>
          <w:spacing w:val="-6"/>
        </w:rPr>
        <w:t> </w:t>
      </w:r>
      <w:r>
        <w:rPr/>
        <w:t>Zandvliet,</w:t>
      </w:r>
      <w:r>
        <w:rPr>
          <w:spacing w:val="-6"/>
        </w:rPr>
        <w:t> </w:t>
      </w:r>
      <w:r>
        <w:rPr/>
        <w:t>M</w:t>
      </w:r>
      <w:r>
        <w:rPr>
          <w:spacing w:val="-6"/>
        </w:rPr>
        <w:t> </w:t>
      </w:r>
      <w:r>
        <w:rPr/>
        <w:t>Gneist,</w:t>
      </w:r>
      <w:r>
        <w:rPr>
          <w:spacing w:val="-8"/>
        </w:rPr>
        <w:t> </w:t>
      </w:r>
      <w:r>
        <w:rPr/>
        <w:t>A</w:t>
      </w:r>
      <w:r>
        <w:rPr>
          <w:spacing w:val="-7"/>
        </w:rPr>
        <w:t> </w:t>
      </w:r>
      <w:r>
        <w:rPr/>
        <w:t>D</w:t>
      </w:r>
      <w:r>
        <w:rPr>
          <w:spacing w:val="-7"/>
        </w:rPr>
        <w:t> </w:t>
      </w:r>
      <w:r>
        <w:rPr/>
        <w:t>R</w:t>
      </w:r>
      <w:r>
        <w:rPr>
          <w:spacing w:val="-8"/>
        </w:rPr>
        <w:t> </w:t>
      </w:r>
      <w:r>
        <w:rPr/>
        <w:t>Huitema,</w:t>
      </w:r>
      <w:r>
        <w:rPr>
          <w:spacing w:val="-7"/>
        </w:rPr>
        <w:t> </w:t>
      </w:r>
      <w:r>
        <w:rPr/>
        <w:t>A</w:t>
      </w:r>
      <w:r>
        <w:rPr>
          <w:spacing w:val="-9"/>
        </w:rPr>
        <w:t> </w:t>
      </w:r>
      <w:r>
        <w:rPr/>
        <w:t>J</w:t>
      </w:r>
      <w:r>
        <w:rPr>
          <w:spacing w:val="-3"/>
        </w:rPr>
        <w:t> </w:t>
      </w:r>
      <w:r>
        <w:rPr/>
        <w:t>King,</w:t>
      </w:r>
      <w:r>
        <w:rPr>
          <w:spacing w:val="-6"/>
        </w:rPr>
        <w:t> </w:t>
      </w:r>
      <w:r>
        <w:rPr/>
        <w:t>et</w:t>
      </w:r>
      <w:r>
        <w:rPr>
          <w:spacing w:val="-8"/>
        </w:rPr>
        <w:t> </w:t>
      </w:r>
      <w:r>
        <w:rPr/>
        <w:t>J</w:t>
      </w:r>
      <w:r>
        <w:rPr>
          <w:spacing w:val="-6"/>
        </w:rPr>
        <w:t> </w:t>
      </w:r>
      <w:r>
        <w:rPr/>
        <w:t>Wanders.</w:t>
      </w:r>
      <w:r>
        <w:rPr>
          <w:spacing w:val="-6"/>
        </w:rPr>
        <w:t> </w:t>
      </w:r>
      <w:r>
        <w:rPr/>
        <w:t>2007.</w:t>
      </w:r>
      <w:r>
        <w:rPr>
          <w:spacing w:val="-4"/>
        </w:rPr>
        <w:t> </w:t>
      </w:r>
      <w:r>
        <w:rPr/>
        <w:t>«</w:t>
      </w:r>
      <w:r>
        <w:rPr>
          <w:spacing w:val="-6"/>
        </w:rPr>
        <w:t> </w:t>
      </w:r>
      <w:r>
        <w:rPr/>
        <w:t>A</w:t>
      </w:r>
      <w:r>
        <w:rPr>
          <w:spacing w:val="-7"/>
        </w:rPr>
        <w:t> </w:t>
      </w:r>
      <w:r>
        <w:rPr/>
        <w:t>Phase I and Pharmacokinetic Study of Indisulam in Combination with Carboplatin </w:t>
      </w:r>
      <w:r>
        <w:rPr>
          <w:spacing w:val="-4"/>
        </w:rPr>
        <w:t>». </w:t>
      </w:r>
      <w:r>
        <w:rPr>
          <w:i/>
        </w:rPr>
        <w:t>British </w:t>
      </w:r>
      <w:r>
        <w:rPr>
          <w:i/>
        </w:rPr>
        <w:t>Journal of Cancer </w:t>
      </w:r>
      <w:r>
        <w:rPr/>
        <w:t>96 (4):</w:t>
      </w:r>
      <w:r>
        <w:rPr>
          <w:spacing w:val="-4"/>
        </w:rPr>
        <w:t> </w:t>
      </w:r>
      <w:r>
        <w:rPr/>
        <w:t>559</w:t>
      </w:r>
      <w:r>
        <w:rPr>
          <w:rFonts w:ascii="Cambria Math" w:hAnsi="Cambria Math"/>
        </w:rPr>
        <w:t>‑</w:t>
      </w:r>
      <w:r>
        <w:rPr/>
        <w:t>66.</w:t>
      </w:r>
    </w:p>
    <w:p>
      <w:pPr>
        <w:pStyle w:val="BodyText"/>
        <w:spacing w:line="242" w:lineRule="auto"/>
        <w:ind w:left="836" w:right="110" w:hanging="720"/>
        <w:jc w:val="both"/>
      </w:pPr>
      <w:r>
        <w:rPr/>
        <w:t>Dong, G, Q Mao, W Xia, Y Xu, J Wang, L Xu, et F Jiang. 2016. « PKM2 and Cancer: The Function of PKM2 beyond Glycolysis ». </w:t>
      </w:r>
      <w:r>
        <w:rPr>
          <w:i/>
        </w:rPr>
        <w:t>Oncology Letters </w:t>
      </w:r>
      <w:r>
        <w:rPr/>
        <w:t>11 (3): 1980</w:t>
      </w:r>
      <w:r>
        <w:rPr>
          <w:rFonts w:ascii="Cambria Math" w:hAnsi="Cambria Math"/>
        </w:rPr>
        <w:t>‑</w:t>
      </w:r>
      <w:r>
        <w:rPr/>
        <w:t>86.</w:t>
      </w:r>
    </w:p>
    <w:p>
      <w:pPr>
        <w:pStyle w:val="BodyText"/>
        <w:spacing w:line="242" w:lineRule="auto"/>
        <w:ind w:left="836" w:right="112" w:hanging="720"/>
        <w:jc w:val="both"/>
      </w:pPr>
      <w:r>
        <w:rPr/>
        <w:t>Draoui,</w:t>
      </w:r>
      <w:r>
        <w:rPr>
          <w:spacing w:val="-11"/>
        </w:rPr>
        <w:t> </w:t>
      </w:r>
      <w:r>
        <w:rPr/>
        <w:t>N,</w:t>
      </w:r>
      <w:r>
        <w:rPr>
          <w:spacing w:val="-12"/>
        </w:rPr>
        <w:t> </w:t>
      </w:r>
      <w:r>
        <w:rPr/>
        <w:t>O</w:t>
      </w:r>
      <w:r>
        <w:rPr>
          <w:spacing w:val="-12"/>
        </w:rPr>
        <w:t> </w:t>
      </w:r>
      <w:r>
        <w:rPr/>
        <w:t>Schicke,</w:t>
      </w:r>
      <w:r>
        <w:rPr>
          <w:spacing w:val="-11"/>
        </w:rPr>
        <w:t> </w:t>
      </w:r>
      <w:r>
        <w:rPr/>
        <w:t>E</w:t>
      </w:r>
      <w:r>
        <w:rPr>
          <w:spacing w:val="-11"/>
        </w:rPr>
        <w:t> </w:t>
      </w:r>
      <w:r>
        <w:rPr/>
        <w:t>Seront,</w:t>
      </w:r>
      <w:r>
        <w:rPr>
          <w:spacing w:val="-11"/>
        </w:rPr>
        <w:t> </w:t>
      </w:r>
      <w:r>
        <w:rPr/>
        <w:t>C</w:t>
      </w:r>
      <w:r>
        <w:rPr>
          <w:spacing w:val="-11"/>
        </w:rPr>
        <w:t> </w:t>
      </w:r>
      <w:r>
        <w:rPr/>
        <w:t>Bouzin,</w:t>
      </w:r>
      <w:r>
        <w:rPr>
          <w:spacing w:val="-13"/>
        </w:rPr>
        <w:t> </w:t>
      </w:r>
      <w:r>
        <w:rPr/>
        <w:t>P</w:t>
      </w:r>
      <w:r>
        <w:rPr>
          <w:spacing w:val="-8"/>
        </w:rPr>
        <w:t> </w:t>
      </w:r>
      <w:r>
        <w:rPr/>
        <w:t>Sonveaux,</w:t>
      </w:r>
      <w:r>
        <w:rPr>
          <w:spacing w:val="-11"/>
        </w:rPr>
        <w:t> </w:t>
      </w:r>
      <w:r>
        <w:rPr/>
        <w:t>O</w:t>
      </w:r>
      <w:r>
        <w:rPr>
          <w:spacing w:val="-12"/>
        </w:rPr>
        <w:t> </w:t>
      </w:r>
      <w:r>
        <w:rPr/>
        <w:t>Riant,</w:t>
      </w:r>
      <w:r>
        <w:rPr>
          <w:spacing w:val="-11"/>
        </w:rPr>
        <w:t> </w:t>
      </w:r>
      <w:r>
        <w:rPr/>
        <w:t>et</w:t>
      </w:r>
      <w:r>
        <w:rPr>
          <w:spacing w:val="-11"/>
        </w:rPr>
        <w:t> </w:t>
      </w:r>
      <w:r>
        <w:rPr/>
        <w:t>O</w:t>
      </w:r>
      <w:r>
        <w:rPr>
          <w:spacing w:val="-13"/>
        </w:rPr>
        <w:t> </w:t>
      </w:r>
      <w:r>
        <w:rPr/>
        <w:t>Feron.</w:t>
      </w:r>
      <w:r>
        <w:rPr>
          <w:spacing w:val="-11"/>
        </w:rPr>
        <w:t> </w:t>
      </w:r>
      <w:r>
        <w:rPr/>
        <w:t>2014.</w:t>
      </w:r>
      <w:r>
        <w:rPr>
          <w:spacing w:val="-9"/>
        </w:rPr>
        <w:t> </w:t>
      </w:r>
      <w:r>
        <w:rPr/>
        <w:t>«</w:t>
      </w:r>
      <w:r>
        <w:rPr>
          <w:spacing w:val="-6"/>
        </w:rPr>
        <w:t> </w:t>
      </w:r>
      <w:r>
        <w:rPr/>
        <w:t>Antitumor Activity of 7-Aminocarboxycoumarin Derivatives, a New Class of Potent Inhibitors of Lactate Influx but Not Efflux </w:t>
      </w:r>
      <w:r>
        <w:rPr>
          <w:spacing w:val="-4"/>
        </w:rPr>
        <w:t>». </w:t>
      </w:r>
      <w:r>
        <w:rPr>
          <w:i/>
        </w:rPr>
        <w:t>Molecular Cancer Therapeutics </w:t>
      </w:r>
      <w:r>
        <w:rPr/>
        <w:t>13 (6):</w:t>
      </w:r>
      <w:r>
        <w:rPr>
          <w:spacing w:val="1"/>
        </w:rPr>
        <w:t> </w:t>
      </w:r>
      <w:r>
        <w:rPr/>
        <w:t>1410</w:t>
      </w:r>
      <w:r>
        <w:rPr>
          <w:rFonts w:ascii="Cambria Math" w:hAnsi="Cambria Math"/>
        </w:rPr>
        <w:t>‑</w:t>
      </w:r>
      <w:r>
        <w:rPr/>
        <w:t>18.</w:t>
      </w:r>
    </w:p>
    <w:p>
      <w:pPr>
        <w:pStyle w:val="BodyText"/>
        <w:spacing w:line="242" w:lineRule="auto"/>
        <w:ind w:left="836" w:right="114" w:hanging="720"/>
        <w:jc w:val="both"/>
      </w:pPr>
      <w:r>
        <w:rPr/>
        <w:t>Duan, Y, X Zhao, W Ren, X Wang, K Yu, D Li, X Zhang, et Q Zhang. 2013. « Antitumor Activity of Dichloroacetate on C6 Glioma Cell: In Vitro and in Vivo Evaluation ». </w:t>
      </w:r>
      <w:r>
        <w:rPr>
          <w:i/>
        </w:rPr>
        <w:t>OncoTargets and Therapy </w:t>
      </w:r>
      <w:r>
        <w:rPr/>
        <w:t>12 (6): 189</w:t>
      </w:r>
      <w:r>
        <w:rPr>
          <w:rFonts w:ascii="Cambria Math" w:hAnsi="Cambria Math"/>
        </w:rPr>
        <w:t>‑</w:t>
      </w:r>
      <w:r>
        <w:rPr/>
        <w:t>98.</w:t>
      </w:r>
    </w:p>
    <w:p>
      <w:pPr>
        <w:pStyle w:val="BodyText"/>
        <w:ind w:left="836" w:right="116" w:hanging="720"/>
        <w:jc w:val="both"/>
      </w:pPr>
      <w:r>
        <w:rPr/>
        <w:t>Dunbar, E M, B S Coats, A L Shroads, T Langaee, A Lew, J R Forder, J J Shuster, A Wagner, et P W Stacpoole. 2014. « Phase 1 Trial of Dichloroacetate (DCA) in Adults with Recurrent Malignant Brain Tumors ». </w:t>
      </w:r>
      <w:r>
        <w:rPr>
          <w:i/>
        </w:rPr>
        <w:t>Investigational New Drugs </w:t>
      </w:r>
      <w:r>
        <w:rPr/>
        <w:t>32 (3): 452</w:t>
      </w:r>
      <w:r>
        <w:rPr>
          <w:rFonts w:ascii="Cambria Math" w:hAnsi="Cambria Math"/>
        </w:rPr>
        <w:t>‑</w:t>
      </w:r>
      <w:r>
        <w:rPr/>
        <w:t>64.</w:t>
      </w:r>
    </w:p>
    <w:p>
      <w:pPr>
        <w:pStyle w:val="BodyText"/>
        <w:ind w:left="836" w:right="113" w:hanging="720"/>
        <w:jc w:val="both"/>
      </w:pPr>
      <w:r>
        <w:rPr/>
        <w:t>Dwarakanath, B S, D Singh, A K. Banerji, R Sarin, N K Venkataramana, R Jalali, P N Vishwanath, et al. 2009. « Clinical Studies for Improving Radiotherapy with 2-Deoxy- D-Glucose: Present Status and Future Prospects ». </w:t>
      </w:r>
      <w:r>
        <w:rPr>
          <w:i/>
        </w:rPr>
        <w:t>Journal of Cancer Research and </w:t>
      </w:r>
      <w:r>
        <w:rPr>
          <w:i/>
        </w:rPr>
        <w:t>Therapeutics </w:t>
      </w:r>
      <w:r>
        <w:rPr/>
        <w:t>5 (9): S21-26.</w:t>
      </w:r>
    </w:p>
    <w:p>
      <w:pPr>
        <w:pStyle w:val="BodyText"/>
        <w:ind w:left="836" w:right="114" w:hanging="720"/>
        <w:jc w:val="both"/>
      </w:pPr>
      <w:r>
        <w:rPr/>
        <w:t>Earhart, R H, D J Amato, A Y Chang, E C Borden, M Shiraki, M E Dowd, R L Comis, T E Davis, et T J Smith. 1990. « Phase II Trial of 6-Diazo-5-Oxo-L-Norleucine versus Aclacinomycin-A in Advanced Sarcomas and Mesotheliomas ». </w:t>
      </w:r>
      <w:r>
        <w:rPr>
          <w:i/>
        </w:rPr>
        <w:t>Investigational New </w:t>
      </w:r>
      <w:r>
        <w:rPr>
          <w:i/>
        </w:rPr>
        <w:t>Drugs </w:t>
      </w:r>
      <w:r>
        <w:rPr/>
        <w:t>8 (1): 113</w:t>
      </w:r>
      <w:r>
        <w:rPr>
          <w:rFonts w:ascii="Cambria Math" w:hAnsi="Cambria Math"/>
        </w:rPr>
        <w:t>‑</w:t>
      </w:r>
      <w:r>
        <w:rPr/>
        <w:t>19.</w:t>
      </w:r>
    </w:p>
    <w:p>
      <w:pPr>
        <w:pStyle w:val="BodyText"/>
        <w:ind w:left="824" w:right="113" w:hanging="708"/>
        <w:jc w:val="both"/>
      </w:pPr>
      <w:r>
        <w:rPr/>
        <w:t>ECOG-ACRIN. </w:t>
      </w:r>
      <w:r>
        <w:rPr>
          <w:i/>
        </w:rPr>
        <w:t>ECOG Performance Status</w:t>
      </w:r>
      <w:r>
        <w:rPr/>
        <w:t>. [en ligne], URL : </w:t>
      </w:r>
      <w:hyperlink r:id="rId73">
        <w:r>
          <w:rPr/>
          <w:t>http://ecog-</w:t>
        </w:r>
      </w:hyperlink>
      <w:r>
        <w:rPr/>
        <w:t> acrin.org/resources/ecog-performance-status. [consulté le 27 avril 2017]</w:t>
      </w:r>
    </w:p>
    <w:p>
      <w:pPr>
        <w:pStyle w:val="BodyText"/>
        <w:spacing w:line="242" w:lineRule="auto" w:before="3"/>
        <w:ind w:left="836" w:right="114" w:hanging="720"/>
        <w:jc w:val="both"/>
      </w:pPr>
      <w:r>
        <w:rPr/>
        <w:t>Eigenmann,</w:t>
      </w:r>
      <w:r>
        <w:rPr>
          <w:spacing w:val="-13"/>
        </w:rPr>
        <w:t> </w:t>
      </w:r>
      <w:r>
        <w:rPr/>
        <w:t>J</w:t>
      </w:r>
      <w:r>
        <w:rPr>
          <w:spacing w:val="-10"/>
        </w:rPr>
        <w:t> </w:t>
      </w:r>
      <w:r>
        <w:rPr/>
        <w:t>E,</w:t>
      </w:r>
      <w:r>
        <w:rPr>
          <w:spacing w:val="-12"/>
        </w:rPr>
        <w:t> </w:t>
      </w:r>
      <w:r>
        <w:rPr/>
        <w:t>D</w:t>
      </w:r>
      <w:r>
        <w:rPr>
          <w:spacing w:val="-12"/>
        </w:rPr>
        <w:t> </w:t>
      </w:r>
      <w:r>
        <w:rPr/>
        <w:t>F</w:t>
      </w:r>
      <w:r>
        <w:rPr>
          <w:spacing w:val="-14"/>
        </w:rPr>
        <w:t> </w:t>
      </w:r>
      <w:r>
        <w:rPr/>
        <w:t>Patterson,</w:t>
      </w:r>
      <w:r>
        <w:rPr>
          <w:spacing w:val="-13"/>
        </w:rPr>
        <w:t> </w:t>
      </w:r>
      <w:r>
        <w:rPr/>
        <w:t>et</w:t>
      </w:r>
      <w:r>
        <w:rPr>
          <w:spacing w:val="-12"/>
        </w:rPr>
        <w:t> </w:t>
      </w:r>
      <w:r>
        <w:rPr/>
        <w:t>E</w:t>
      </w:r>
      <w:r>
        <w:rPr>
          <w:spacing w:val="-12"/>
        </w:rPr>
        <w:t> </w:t>
      </w:r>
      <w:r>
        <w:rPr/>
        <w:t>R</w:t>
      </w:r>
      <w:r>
        <w:rPr>
          <w:spacing w:val="-10"/>
        </w:rPr>
        <w:t> </w:t>
      </w:r>
      <w:r>
        <w:rPr/>
        <w:t>Froesch.</w:t>
      </w:r>
      <w:r>
        <w:rPr>
          <w:spacing w:val="-12"/>
        </w:rPr>
        <w:t> </w:t>
      </w:r>
      <w:r>
        <w:rPr/>
        <w:t>1984.</w:t>
      </w:r>
      <w:r>
        <w:rPr>
          <w:spacing w:val="-7"/>
        </w:rPr>
        <w:t> </w:t>
      </w:r>
      <w:r>
        <w:rPr/>
        <w:t>«</w:t>
      </w:r>
      <w:r>
        <w:rPr>
          <w:spacing w:val="-10"/>
        </w:rPr>
        <w:t> </w:t>
      </w:r>
      <w:r>
        <w:rPr/>
        <w:t>Body</w:t>
      </w:r>
      <w:r>
        <w:rPr>
          <w:spacing w:val="-17"/>
        </w:rPr>
        <w:t> </w:t>
      </w:r>
      <w:r>
        <w:rPr/>
        <w:t>Size</w:t>
      </w:r>
      <w:r>
        <w:rPr>
          <w:spacing w:val="-13"/>
        </w:rPr>
        <w:t> </w:t>
      </w:r>
      <w:r>
        <w:rPr/>
        <w:t>Parallels</w:t>
      </w:r>
      <w:r>
        <w:rPr>
          <w:spacing w:val="-11"/>
        </w:rPr>
        <w:t> </w:t>
      </w:r>
      <w:r>
        <w:rPr/>
        <w:t>Insulin-like</w:t>
      </w:r>
      <w:r>
        <w:rPr>
          <w:spacing w:val="-13"/>
        </w:rPr>
        <w:t> </w:t>
      </w:r>
      <w:r>
        <w:rPr/>
        <w:t>Growth Factor I Levels but Not Growth Hormone Secretory Capacity </w:t>
      </w:r>
      <w:r>
        <w:rPr>
          <w:spacing w:val="-4"/>
        </w:rPr>
        <w:t>». </w:t>
      </w:r>
      <w:r>
        <w:rPr>
          <w:i/>
        </w:rPr>
        <w:t>Acta Endocrinologica </w:t>
      </w:r>
      <w:r>
        <w:rPr/>
        <w:t>106 (4):</w:t>
      </w:r>
      <w:r>
        <w:rPr>
          <w:spacing w:val="-3"/>
        </w:rPr>
        <w:t> </w:t>
      </w:r>
      <w:r>
        <w:rPr/>
        <w:t>448</w:t>
      </w:r>
      <w:r>
        <w:rPr>
          <w:rFonts w:ascii="Cambria Math" w:hAnsi="Cambria Math"/>
        </w:rPr>
        <w:t>‑</w:t>
      </w:r>
      <w:r>
        <w:rPr/>
        <w:t>53.</w:t>
      </w:r>
    </w:p>
    <w:p>
      <w:pPr>
        <w:pStyle w:val="BodyText"/>
        <w:ind w:left="836" w:right="111" w:hanging="720"/>
        <w:jc w:val="both"/>
      </w:pPr>
      <w:r>
        <w:rPr/>
        <w:t>El</w:t>
      </w:r>
      <w:r>
        <w:rPr>
          <w:spacing w:val="-4"/>
        </w:rPr>
        <w:t> </w:t>
      </w:r>
      <w:r>
        <w:rPr/>
        <w:t>Sayed,</w:t>
      </w:r>
      <w:r>
        <w:rPr>
          <w:spacing w:val="-4"/>
        </w:rPr>
        <w:t> </w:t>
      </w:r>
      <w:r>
        <w:rPr/>
        <w:t>S</w:t>
      </w:r>
      <w:r>
        <w:rPr>
          <w:spacing w:val="-3"/>
        </w:rPr>
        <w:t> </w:t>
      </w:r>
      <w:r>
        <w:rPr/>
        <w:t>M,</w:t>
      </w:r>
      <w:r>
        <w:rPr>
          <w:spacing w:val="-4"/>
        </w:rPr>
        <w:t> </w:t>
      </w:r>
      <w:r>
        <w:rPr/>
        <w:t>W</w:t>
      </w:r>
      <w:r>
        <w:rPr>
          <w:spacing w:val="-3"/>
        </w:rPr>
        <w:t> </w:t>
      </w:r>
      <w:r>
        <w:rPr/>
        <w:t>G</w:t>
      </w:r>
      <w:r>
        <w:rPr>
          <w:spacing w:val="-4"/>
        </w:rPr>
        <w:t> </w:t>
      </w:r>
      <w:r>
        <w:rPr/>
        <w:t>Mohamed,</w:t>
      </w:r>
      <w:r>
        <w:rPr>
          <w:spacing w:val="-4"/>
        </w:rPr>
        <w:t> </w:t>
      </w:r>
      <w:r>
        <w:rPr/>
        <w:t>M</w:t>
      </w:r>
      <w:r>
        <w:rPr>
          <w:spacing w:val="-4"/>
        </w:rPr>
        <w:t> </w:t>
      </w:r>
      <w:r>
        <w:rPr/>
        <w:t>H</w:t>
      </w:r>
      <w:r>
        <w:rPr>
          <w:spacing w:val="-4"/>
        </w:rPr>
        <w:t> </w:t>
      </w:r>
      <w:r>
        <w:rPr/>
        <w:t>Seddik,</w:t>
      </w:r>
      <w:r>
        <w:rPr>
          <w:spacing w:val="-3"/>
        </w:rPr>
        <w:t> </w:t>
      </w:r>
      <w:r>
        <w:rPr/>
        <w:t>A</w:t>
      </w:r>
      <w:r>
        <w:rPr>
          <w:spacing w:val="-4"/>
        </w:rPr>
        <w:t> </w:t>
      </w:r>
      <w:r>
        <w:rPr/>
        <w:t>AAhmed,</w:t>
      </w:r>
      <w:r>
        <w:rPr>
          <w:spacing w:val="-4"/>
        </w:rPr>
        <w:t> </w:t>
      </w:r>
      <w:r>
        <w:rPr/>
        <w:t>A</w:t>
      </w:r>
      <w:r>
        <w:rPr>
          <w:spacing w:val="-4"/>
        </w:rPr>
        <w:t> </w:t>
      </w:r>
      <w:r>
        <w:rPr/>
        <w:t>G</w:t>
      </w:r>
      <w:r>
        <w:rPr>
          <w:spacing w:val="-4"/>
        </w:rPr>
        <w:t> </w:t>
      </w:r>
      <w:r>
        <w:rPr/>
        <w:t>Mahmoud,</w:t>
      </w:r>
      <w:r>
        <w:rPr>
          <w:spacing w:val="-1"/>
        </w:rPr>
        <w:t> </w:t>
      </w:r>
      <w:r>
        <w:rPr/>
        <w:t>W</w:t>
      </w:r>
      <w:r>
        <w:rPr>
          <w:spacing w:val="-2"/>
        </w:rPr>
        <w:t> </w:t>
      </w:r>
      <w:r>
        <w:rPr/>
        <w:t>H</w:t>
      </w:r>
      <w:r>
        <w:rPr>
          <w:spacing w:val="-3"/>
        </w:rPr>
        <w:t> </w:t>
      </w:r>
      <w:r>
        <w:rPr/>
        <w:t>Amer,</w:t>
      </w:r>
      <w:r>
        <w:rPr>
          <w:spacing w:val="-5"/>
        </w:rPr>
        <w:t> </w:t>
      </w:r>
      <w:r>
        <w:rPr/>
        <w:t>M</w:t>
      </w:r>
      <w:r>
        <w:rPr>
          <w:spacing w:val="-4"/>
        </w:rPr>
        <w:t> </w:t>
      </w:r>
      <w:r>
        <w:rPr/>
        <w:t>M</w:t>
      </w:r>
      <w:r>
        <w:rPr>
          <w:spacing w:val="-4"/>
        </w:rPr>
        <w:t> </w:t>
      </w:r>
      <w:r>
        <w:rPr/>
        <w:t>H Nabo, A R Hamed, N S Ahmed, et A A Abd-Allah. 2014. « Safety and Outcome of Treatment of Metastatic Melanoma Using 3-Bromopyruvate: A Concise Literature Review and Case Study </w:t>
      </w:r>
      <w:r>
        <w:rPr>
          <w:spacing w:val="-3"/>
        </w:rPr>
        <w:t>». </w:t>
      </w:r>
      <w:r>
        <w:rPr>
          <w:i/>
        </w:rPr>
        <w:t>Chinese Journal of Cancer </w:t>
      </w:r>
      <w:r>
        <w:rPr/>
        <w:t>33 (7):</w:t>
      </w:r>
      <w:r>
        <w:rPr>
          <w:spacing w:val="-1"/>
        </w:rPr>
        <w:t> </w:t>
      </w:r>
      <w:r>
        <w:rPr/>
        <w:t>356</w:t>
      </w:r>
      <w:r>
        <w:rPr>
          <w:rFonts w:ascii="Cambria Math" w:hAnsi="Cambria Math"/>
        </w:rPr>
        <w:t>‑</w:t>
      </w:r>
      <w:r>
        <w:rPr/>
        <w:t>64.</w:t>
      </w:r>
    </w:p>
    <w:p>
      <w:pPr>
        <w:pStyle w:val="BodyText"/>
        <w:spacing w:before="3"/>
        <w:ind w:left="836" w:right="113" w:hanging="720"/>
        <w:jc w:val="both"/>
      </w:pPr>
      <w:r>
        <w:rPr/>
        <w:t>Elliott, R L, X P Jiang, et J F Head. 2012. « Mitochondria Organelle Transplantation: Introduction of Normal Epithelial Mitochondria into Human Cancer Cells Inhibits Proliferation and Increases Drug Sensitivity ». </w:t>
      </w:r>
      <w:r>
        <w:rPr>
          <w:i/>
        </w:rPr>
        <w:t>Breast Cancer Research and Treatment </w:t>
      </w:r>
      <w:r>
        <w:rPr/>
        <w:t>136 (2): 347</w:t>
      </w:r>
      <w:r>
        <w:rPr>
          <w:rFonts w:ascii="Cambria Math" w:hAnsi="Cambria Math"/>
        </w:rPr>
        <w:t>‑</w:t>
      </w:r>
      <w:r>
        <w:rPr/>
        <w:t>54.</w:t>
      </w:r>
    </w:p>
    <w:p>
      <w:pPr>
        <w:pStyle w:val="BodyText"/>
        <w:ind w:left="836" w:right="112" w:hanging="720"/>
        <w:jc w:val="both"/>
      </w:pPr>
      <w:r>
        <w:rPr/>
        <w:t>Elstrom, R </w:t>
      </w:r>
      <w:r>
        <w:rPr>
          <w:spacing w:val="-3"/>
        </w:rPr>
        <w:t>L, </w:t>
      </w:r>
      <w:r>
        <w:rPr/>
        <w:t>D E Bauer, M Buzzai, R Karnauskas, M H Harris, D R Plas, H Zhuang, et al. 2004.</w:t>
      </w:r>
      <w:r>
        <w:rPr>
          <w:spacing w:val="-6"/>
        </w:rPr>
        <w:t> </w:t>
      </w:r>
      <w:r>
        <w:rPr/>
        <w:t>«</w:t>
      </w:r>
      <w:r>
        <w:rPr>
          <w:spacing w:val="-9"/>
        </w:rPr>
        <w:t> </w:t>
      </w:r>
      <w:r>
        <w:rPr/>
        <w:t>Akt</w:t>
      </w:r>
      <w:r>
        <w:rPr>
          <w:spacing w:val="-11"/>
        </w:rPr>
        <w:t> </w:t>
      </w:r>
      <w:r>
        <w:rPr/>
        <w:t>Stimulates</w:t>
      </w:r>
      <w:r>
        <w:rPr>
          <w:spacing w:val="-11"/>
        </w:rPr>
        <w:t> </w:t>
      </w:r>
      <w:r>
        <w:rPr/>
        <w:t>Aerobic</w:t>
      </w:r>
      <w:r>
        <w:rPr>
          <w:spacing w:val="-12"/>
        </w:rPr>
        <w:t> </w:t>
      </w:r>
      <w:r>
        <w:rPr/>
        <w:t>Glycolysis</w:t>
      </w:r>
      <w:r>
        <w:rPr>
          <w:spacing w:val="-10"/>
        </w:rPr>
        <w:t> </w:t>
      </w:r>
      <w:r>
        <w:rPr/>
        <w:t>in</w:t>
      </w:r>
      <w:r>
        <w:rPr>
          <w:spacing w:val="-11"/>
        </w:rPr>
        <w:t> </w:t>
      </w:r>
      <w:r>
        <w:rPr/>
        <w:t>Cancer</w:t>
      </w:r>
      <w:r>
        <w:rPr>
          <w:spacing w:val="-12"/>
        </w:rPr>
        <w:t> </w:t>
      </w:r>
      <w:r>
        <w:rPr/>
        <w:t>Cells</w:t>
      </w:r>
      <w:r>
        <w:rPr>
          <w:spacing w:val="7"/>
        </w:rPr>
        <w:t> </w:t>
      </w:r>
      <w:r>
        <w:rPr>
          <w:spacing w:val="-4"/>
        </w:rPr>
        <w:t>».</w:t>
      </w:r>
      <w:r>
        <w:rPr>
          <w:spacing w:val="-9"/>
        </w:rPr>
        <w:t> </w:t>
      </w:r>
      <w:r>
        <w:rPr>
          <w:i/>
        </w:rPr>
        <w:t>Cancer</w:t>
      </w:r>
      <w:r>
        <w:rPr>
          <w:i/>
          <w:spacing w:val="-11"/>
        </w:rPr>
        <w:t> </w:t>
      </w:r>
      <w:r>
        <w:rPr>
          <w:i/>
        </w:rPr>
        <w:t>Research</w:t>
      </w:r>
      <w:r>
        <w:rPr>
          <w:i/>
          <w:spacing w:val="-10"/>
        </w:rPr>
        <w:t> </w:t>
      </w:r>
      <w:r>
        <w:rPr/>
        <w:t>64</w:t>
      </w:r>
      <w:r>
        <w:rPr>
          <w:spacing w:val="-11"/>
        </w:rPr>
        <w:t> </w:t>
      </w:r>
      <w:r>
        <w:rPr/>
        <w:t>(11): 3892</w:t>
      </w:r>
      <w:r>
        <w:rPr>
          <w:rFonts w:ascii="Cambria Math" w:hAnsi="Cambria Math"/>
        </w:rPr>
        <w:t>‑</w:t>
      </w:r>
      <w:r>
        <w:rPr/>
        <w:t>99.</w:t>
      </w:r>
    </w:p>
    <w:p>
      <w:pPr>
        <w:pStyle w:val="BodyText"/>
        <w:spacing w:line="242" w:lineRule="auto"/>
        <w:ind w:left="836" w:right="113" w:hanging="720"/>
        <w:jc w:val="both"/>
      </w:pPr>
      <w:r>
        <w:rPr/>
        <w:t>Erecińska, M, J Deas, et I A Silver. 1995. « The Effect of PH on Glycolysis and Phosphofructokinase Activity in Cultured Cells and Synaptosomes </w:t>
      </w:r>
      <w:r>
        <w:rPr>
          <w:spacing w:val="-4"/>
        </w:rPr>
        <w:t>».</w:t>
      </w:r>
      <w:r>
        <w:rPr>
          <w:spacing w:val="51"/>
        </w:rPr>
        <w:t> </w:t>
      </w:r>
      <w:r>
        <w:rPr>
          <w:i/>
        </w:rPr>
        <w:t>Journal of </w:t>
      </w:r>
      <w:r>
        <w:rPr>
          <w:i/>
        </w:rPr>
        <w:t>Neurochemistry </w:t>
      </w:r>
      <w:r>
        <w:rPr/>
        <w:t>65 (6): 2765</w:t>
      </w:r>
      <w:r>
        <w:rPr>
          <w:rFonts w:ascii="Cambria Math" w:hAnsi="Cambria Math"/>
        </w:rPr>
        <w:t>‑</w:t>
      </w:r>
      <w:r>
        <w:rPr/>
        <w:t>72.</w:t>
      </w:r>
    </w:p>
    <w:p>
      <w:pPr>
        <w:pStyle w:val="BodyText"/>
        <w:ind w:left="836" w:right="114" w:hanging="720"/>
        <w:jc w:val="both"/>
      </w:pPr>
      <w:r>
        <w:rPr/>
        <w:t>Esteva,</w:t>
      </w:r>
      <w:r>
        <w:rPr>
          <w:spacing w:val="-14"/>
        </w:rPr>
        <w:t> </w:t>
      </w:r>
      <w:r>
        <w:rPr/>
        <w:t>F</w:t>
      </w:r>
      <w:r>
        <w:rPr>
          <w:spacing w:val="-15"/>
        </w:rPr>
        <w:t> </w:t>
      </w:r>
      <w:r>
        <w:rPr/>
        <w:t>J,</w:t>
      </w:r>
      <w:r>
        <w:rPr>
          <w:spacing w:val="-13"/>
        </w:rPr>
        <w:t> </w:t>
      </w:r>
      <w:r>
        <w:rPr/>
        <w:t>S</w:t>
      </w:r>
      <w:r>
        <w:rPr>
          <w:spacing w:val="-10"/>
        </w:rPr>
        <w:t> </w:t>
      </w:r>
      <w:r>
        <w:rPr/>
        <w:t>L</w:t>
      </w:r>
      <w:r>
        <w:rPr>
          <w:spacing w:val="-19"/>
        </w:rPr>
        <w:t> </w:t>
      </w:r>
      <w:r>
        <w:rPr/>
        <w:t>Moulder,</w:t>
      </w:r>
      <w:r>
        <w:rPr>
          <w:spacing w:val="-10"/>
        </w:rPr>
        <w:t> </w:t>
      </w:r>
      <w:r>
        <w:rPr/>
        <w:t>A</w:t>
      </w:r>
      <w:r>
        <w:rPr>
          <w:spacing w:val="-14"/>
        </w:rPr>
        <w:t> </w:t>
      </w:r>
      <w:r>
        <w:rPr/>
        <w:t>M</w:t>
      </w:r>
      <w:r>
        <w:rPr>
          <w:spacing w:val="-13"/>
        </w:rPr>
        <w:t> </w:t>
      </w:r>
      <w:r>
        <w:rPr/>
        <w:t>Gonzalez-Angulo,</w:t>
      </w:r>
      <w:r>
        <w:rPr>
          <w:spacing w:val="-13"/>
        </w:rPr>
        <w:t> </w:t>
      </w:r>
      <w:r>
        <w:rPr/>
        <w:t>J</w:t>
      </w:r>
      <w:r>
        <w:rPr>
          <w:spacing w:val="-11"/>
        </w:rPr>
        <w:t> </w:t>
      </w:r>
      <w:r>
        <w:rPr/>
        <w:t>Ensor,</w:t>
      </w:r>
      <w:r>
        <w:rPr>
          <w:spacing w:val="-13"/>
        </w:rPr>
        <w:t> </w:t>
      </w:r>
      <w:r>
        <w:rPr/>
        <w:t>J</w:t>
      </w:r>
      <w:r>
        <w:rPr>
          <w:spacing w:val="-11"/>
        </w:rPr>
        <w:t> </w:t>
      </w:r>
      <w:r>
        <w:rPr/>
        <w:t>L</w:t>
      </w:r>
      <w:r>
        <w:rPr>
          <w:spacing w:val="-19"/>
        </w:rPr>
        <w:t> </w:t>
      </w:r>
      <w:r>
        <w:rPr/>
        <w:t>Murray,</w:t>
      </w:r>
      <w:r>
        <w:rPr>
          <w:spacing w:val="-13"/>
        </w:rPr>
        <w:t> </w:t>
      </w:r>
      <w:r>
        <w:rPr/>
        <w:t>M</w:t>
      </w:r>
      <w:r>
        <w:rPr>
          <w:spacing w:val="-13"/>
        </w:rPr>
        <w:t> </w:t>
      </w:r>
      <w:r>
        <w:rPr/>
        <w:t>C</w:t>
      </w:r>
      <w:r>
        <w:rPr>
          <w:spacing w:val="-11"/>
        </w:rPr>
        <w:t> </w:t>
      </w:r>
      <w:r>
        <w:rPr/>
        <w:t>Green,</w:t>
      </w:r>
      <w:r>
        <w:rPr>
          <w:spacing w:val="-9"/>
        </w:rPr>
        <w:t> </w:t>
      </w:r>
      <w:r>
        <w:rPr/>
        <w:t>K</w:t>
      </w:r>
      <w:r>
        <w:rPr>
          <w:spacing w:val="-14"/>
        </w:rPr>
        <w:t> </w:t>
      </w:r>
      <w:r>
        <w:rPr/>
        <w:t>B</w:t>
      </w:r>
      <w:r>
        <w:rPr>
          <w:spacing w:val="-13"/>
        </w:rPr>
        <w:t> </w:t>
      </w:r>
      <w:r>
        <w:rPr/>
        <w:t>Koenig, M Lee, G N Hortobagyi, et S Yeung. 2012. « Phase I Trial of Exemestane in Combination</w:t>
      </w:r>
      <w:r>
        <w:rPr>
          <w:spacing w:val="-7"/>
        </w:rPr>
        <w:t> </w:t>
      </w:r>
      <w:r>
        <w:rPr/>
        <w:t>with</w:t>
      </w:r>
      <w:r>
        <w:rPr>
          <w:spacing w:val="-7"/>
        </w:rPr>
        <w:t> </w:t>
      </w:r>
      <w:r>
        <w:rPr/>
        <w:t>Metformin</w:t>
      </w:r>
      <w:r>
        <w:rPr>
          <w:spacing w:val="-7"/>
        </w:rPr>
        <w:t> </w:t>
      </w:r>
      <w:r>
        <w:rPr/>
        <w:t>and</w:t>
      </w:r>
      <w:r>
        <w:rPr>
          <w:spacing w:val="-7"/>
        </w:rPr>
        <w:t> </w:t>
      </w:r>
      <w:r>
        <w:rPr/>
        <w:t>Rosiglitazone</w:t>
      </w:r>
      <w:r>
        <w:rPr>
          <w:spacing w:val="-8"/>
        </w:rPr>
        <w:t> </w:t>
      </w:r>
      <w:r>
        <w:rPr/>
        <w:t>in</w:t>
      </w:r>
      <w:r>
        <w:rPr>
          <w:spacing w:val="-7"/>
        </w:rPr>
        <w:t> </w:t>
      </w:r>
      <w:r>
        <w:rPr/>
        <w:t>Nondiabetic</w:t>
      </w:r>
      <w:r>
        <w:rPr>
          <w:spacing w:val="-6"/>
        </w:rPr>
        <w:t> </w:t>
      </w:r>
      <w:r>
        <w:rPr/>
        <w:t>Obese</w:t>
      </w:r>
      <w:r>
        <w:rPr>
          <w:spacing w:val="-6"/>
        </w:rPr>
        <w:t> </w:t>
      </w:r>
      <w:r>
        <w:rPr/>
        <w:t>Postmenopausal Women with Hormone Receptor–positive Metastatic Breast Cancer </w:t>
      </w:r>
      <w:r>
        <w:rPr>
          <w:spacing w:val="-4"/>
        </w:rPr>
        <w:t>».</w:t>
      </w:r>
      <w:r>
        <w:rPr>
          <w:spacing w:val="51"/>
        </w:rPr>
        <w:t> </w:t>
      </w:r>
      <w:r>
        <w:rPr>
          <w:i/>
        </w:rPr>
        <w:t>Cancer </w:t>
      </w:r>
      <w:r>
        <w:rPr>
          <w:i/>
        </w:rPr>
        <w:t>Chemotherapy and Pharmacology </w:t>
      </w:r>
      <w:r>
        <w:rPr/>
        <w:t>71 (1):</w:t>
      </w:r>
      <w:r>
        <w:rPr>
          <w:spacing w:val="-7"/>
        </w:rPr>
        <w:t> </w:t>
      </w:r>
      <w:r>
        <w:rPr/>
        <w:t>63</w:t>
      </w:r>
      <w:r>
        <w:rPr>
          <w:rFonts w:ascii="Cambria Math" w:hAnsi="Cambria Math"/>
        </w:rPr>
        <w:t>‑</w:t>
      </w:r>
      <w:r>
        <w:rPr/>
        <w:t>72.</w:t>
      </w:r>
    </w:p>
    <w:p>
      <w:pPr>
        <w:spacing w:after="0"/>
        <w:jc w:val="both"/>
        <w:sectPr>
          <w:pgSz w:w="11910" w:h="16840"/>
          <w:pgMar w:header="0" w:footer="995" w:top="1320" w:bottom="1240" w:left="1300" w:right="1300"/>
        </w:sectPr>
      </w:pPr>
    </w:p>
    <w:p>
      <w:pPr>
        <w:tabs>
          <w:tab w:pos="8642" w:val="left" w:leader="none"/>
        </w:tabs>
        <w:spacing w:before="70"/>
        <w:ind w:left="824" w:right="112" w:hanging="708"/>
        <w:jc w:val="both"/>
        <w:rPr>
          <w:sz w:val="24"/>
        </w:rPr>
      </w:pPr>
      <w:r>
        <w:rPr>
          <w:sz w:val="24"/>
        </w:rPr>
        <w:t>European Agency for the Evaluation of Medicinal Products. Veterinary Medicines and Information Technology Unit. 2000. </w:t>
      </w:r>
      <w:r>
        <w:rPr>
          <w:i/>
          <w:sz w:val="24"/>
        </w:rPr>
        <w:t>VICH Topic GL9 (GCP) - WC500004343.pdf</w:t>
      </w:r>
      <w:r>
        <w:rPr>
          <w:sz w:val="24"/>
        </w:rPr>
        <w:t>. [en ligne],</w:t>
        <w:tab/>
        <w:t>URL:</w:t>
      </w:r>
    </w:p>
    <w:p>
      <w:pPr>
        <w:pStyle w:val="BodyText"/>
        <w:ind w:left="824" w:right="154"/>
      </w:pPr>
      <w:hyperlink r:id="rId74">
        <w:r>
          <w:rPr/>
          <w:t>http://www.ema.europa.eu/docs/en_GB/document_library/Scientific_guideline/2009/1</w:t>
        </w:r>
      </w:hyperlink>
      <w:r>
        <w:rPr/>
        <w:t> </w:t>
      </w:r>
      <w:hyperlink r:id="rId74">
        <w:r>
          <w:rPr/>
          <w:t>0/WC500004343.pdf </w:t>
        </w:r>
      </w:hyperlink>
      <w:r>
        <w:rPr/>
        <w:t>[consulté le 08 mai 2017]</w:t>
      </w:r>
    </w:p>
    <w:p>
      <w:pPr>
        <w:pStyle w:val="BodyText"/>
        <w:spacing w:line="242" w:lineRule="auto"/>
        <w:ind w:left="836" w:right="112" w:hanging="720"/>
        <w:jc w:val="both"/>
      </w:pPr>
      <w:r>
        <w:rPr/>
        <w:t>Fahim,</w:t>
      </w:r>
      <w:r>
        <w:rPr>
          <w:spacing w:val="-13"/>
        </w:rPr>
        <w:t> </w:t>
      </w:r>
      <w:r>
        <w:rPr/>
        <w:t>F</w:t>
      </w:r>
      <w:r>
        <w:rPr>
          <w:spacing w:val="-15"/>
        </w:rPr>
        <w:t> </w:t>
      </w:r>
      <w:r>
        <w:rPr/>
        <w:t>A,</w:t>
      </w:r>
      <w:r>
        <w:rPr>
          <w:spacing w:val="-12"/>
        </w:rPr>
        <w:t> </w:t>
      </w:r>
      <w:r>
        <w:rPr/>
        <w:t>A</w:t>
      </w:r>
      <w:r>
        <w:rPr>
          <w:spacing w:val="-14"/>
        </w:rPr>
        <w:t> </w:t>
      </w:r>
      <w:r>
        <w:rPr/>
        <w:t>Y</w:t>
      </w:r>
      <w:r>
        <w:rPr>
          <w:spacing w:val="-14"/>
        </w:rPr>
        <w:t> </w:t>
      </w:r>
      <w:r>
        <w:rPr/>
        <w:t>Esmat,</w:t>
      </w:r>
      <w:r>
        <w:rPr>
          <w:spacing w:val="-11"/>
        </w:rPr>
        <w:t> </w:t>
      </w:r>
      <w:r>
        <w:rPr/>
        <w:t>E</w:t>
      </w:r>
      <w:r>
        <w:rPr>
          <w:spacing w:val="-14"/>
        </w:rPr>
        <w:t> </w:t>
      </w:r>
      <w:r>
        <w:rPr/>
        <w:t>A</w:t>
      </w:r>
      <w:r>
        <w:rPr>
          <w:spacing w:val="-14"/>
        </w:rPr>
        <w:t> </w:t>
      </w:r>
      <w:r>
        <w:rPr/>
        <w:t>Mady,</w:t>
      </w:r>
      <w:r>
        <w:rPr>
          <w:spacing w:val="-13"/>
        </w:rPr>
        <w:t> </w:t>
      </w:r>
      <w:r>
        <w:rPr/>
        <w:t>et</w:t>
      </w:r>
      <w:r>
        <w:rPr>
          <w:spacing w:val="-13"/>
        </w:rPr>
        <w:t> </w:t>
      </w:r>
      <w:r>
        <w:rPr/>
        <w:t>E</w:t>
      </w:r>
      <w:r>
        <w:rPr>
          <w:spacing w:val="-14"/>
        </w:rPr>
        <w:t> </w:t>
      </w:r>
      <w:r>
        <w:rPr/>
        <w:t>K</w:t>
      </w:r>
      <w:r>
        <w:rPr>
          <w:spacing w:val="-12"/>
        </w:rPr>
        <w:t> </w:t>
      </w:r>
      <w:r>
        <w:rPr/>
        <w:t>Ibrahim.</w:t>
      </w:r>
      <w:r>
        <w:rPr>
          <w:spacing w:val="-13"/>
        </w:rPr>
        <w:t> </w:t>
      </w:r>
      <w:r>
        <w:rPr/>
        <w:t>2003.</w:t>
      </w:r>
      <w:r>
        <w:rPr>
          <w:spacing w:val="-9"/>
        </w:rPr>
        <w:t> </w:t>
      </w:r>
      <w:r>
        <w:rPr/>
        <w:t>«</w:t>
      </w:r>
      <w:r>
        <w:rPr>
          <w:spacing w:val="-7"/>
        </w:rPr>
        <w:t> </w:t>
      </w:r>
      <w:r>
        <w:rPr/>
        <w:t>Antitumor</w:t>
      </w:r>
      <w:r>
        <w:rPr>
          <w:spacing w:val="-14"/>
        </w:rPr>
        <w:t> </w:t>
      </w:r>
      <w:r>
        <w:rPr/>
        <w:t>Activities</w:t>
      </w:r>
      <w:r>
        <w:rPr>
          <w:spacing w:val="-14"/>
        </w:rPr>
        <w:t> </w:t>
      </w:r>
      <w:r>
        <w:rPr/>
        <w:t>of</w:t>
      </w:r>
      <w:r>
        <w:rPr>
          <w:spacing w:val="-12"/>
        </w:rPr>
        <w:t> </w:t>
      </w:r>
      <w:r>
        <w:rPr/>
        <w:t>Iodoacetate and</w:t>
      </w:r>
      <w:r>
        <w:rPr>
          <w:spacing w:val="-12"/>
        </w:rPr>
        <w:t> </w:t>
      </w:r>
      <w:r>
        <w:rPr/>
        <w:t>Dimethylsulphoxide</w:t>
      </w:r>
      <w:r>
        <w:rPr>
          <w:spacing w:val="-13"/>
        </w:rPr>
        <w:t> </w:t>
      </w:r>
      <w:r>
        <w:rPr/>
        <w:t>against</w:t>
      </w:r>
      <w:r>
        <w:rPr>
          <w:spacing w:val="-11"/>
        </w:rPr>
        <w:t> </w:t>
      </w:r>
      <w:r>
        <w:rPr/>
        <w:t>Solid</w:t>
      </w:r>
      <w:r>
        <w:rPr>
          <w:spacing w:val="-12"/>
        </w:rPr>
        <w:t> </w:t>
      </w:r>
      <w:r>
        <w:rPr/>
        <w:t>Ehrlich</w:t>
      </w:r>
      <w:r>
        <w:rPr>
          <w:spacing w:val="-12"/>
        </w:rPr>
        <w:t> </w:t>
      </w:r>
      <w:r>
        <w:rPr/>
        <w:t>Carcinoma</w:t>
      </w:r>
      <w:r>
        <w:rPr>
          <w:spacing w:val="-13"/>
        </w:rPr>
        <w:t> </w:t>
      </w:r>
      <w:r>
        <w:rPr/>
        <w:t>Growth</w:t>
      </w:r>
      <w:r>
        <w:rPr>
          <w:spacing w:val="-12"/>
        </w:rPr>
        <w:t> </w:t>
      </w:r>
      <w:r>
        <w:rPr/>
        <w:t>in</w:t>
      </w:r>
      <w:r>
        <w:rPr>
          <w:spacing w:val="-12"/>
        </w:rPr>
        <w:t> </w:t>
      </w:r>
      <w:r>
        <w:rPr/>
        <w:t>Mice</w:t>
      </w:r>
      <w:r>
        <w:rPr>
          <w:spacing w:val="2"/>
        </w:rPr>
        <w:t> </w:t>
      </w:r>
      <w:r>
        <w:rPr>
          <w:spacing w:val="-3"/>
        </w:rPr>
        <w:t>».</w:t>
      </w:r>
      <w:r>
        <w:rPr>
          <w:spacing w:val="-12"/>
        </w:rPr>
        <w:t> </w:t>
      </w:r>
      <w:r>
        <w:rPr>
          <w:i/>
        </w:rPr>
        <w:t>Biological </w:t>
      </w:r>
      <w:r>
        <w:rPr>
          <w:i/>
        </w:rPr>
        <w:t>Research </w:t>
      </w:r>
      <w:r>
        <w:rPr/>
        <w:t>36 (2):</w:t>
      </w:r>
      <w:r>
        <w:rPr>
          <w:spacing w:val="-5"/>
        </w:rPr>
        <w:t> </w:t>
      </w:r>
      <w:r>
        <w:rPr/>
        <w:t>253</w:t>
      </w:r>
      <w:r>
        <w:rPr>
          <w:rFonts w:ascii="Cambria Math" w:hAnsi="Cambria Math"/>
        </w:rPr>
        <w:t>‑</w:t>
      </w:r>
      <w:r>
        <w:rPr/>
        <w:t>62.</w:t>
      </w:r>
    </w:p>
    <w:p>
      <w:pPr>
        <w:pStyle w:val="BodyText"/>
        <w:spacing w:line="242" w:lineRule="auto"/>
        <w:ind w:left="836" w:right="113" w:hanging="720"/>
        <w:jc w:val="both"/>
      </w:pPr>
      <w:r>
        <w:rPr/>
        <w:t>Fantin,</w:t>
      </w:r>
      <w:r>
        <w:rPr>
          <w:spacing w:val="-14"/>
        </w:rPr>
        <w:t> </w:t>
      </w:r>
      <w:r>
        <w:rPr/>
        <w:t>V</w:t>
      </w:r>
      <w:r>
        <w:rPr>
          <w:spacing w:val="-15"/>
        </w:rPr>
        <w:t> </w:t>
      </w:r>
      <w:r>
        <w:rPr/>
        <w:t>R,</w:t>
      </w:r>
      <w:r>
        <w:rPr>
          <w:spacing w:val="-14"/>
        </w:rPr>
        <w:t> </w:t>
      </w:r>
      <w:r>
        <w:rPr/>
        <w:t>J</w:t>
      </w:r>
      <w:r>
        <w:rPr>
          <w:spacing w:val="-12"/>
        </w:rPr>
        <w:t> </w:t>
      </w:r>
      <w:r>
        <w:rPr/>
        <w:t>St-Pierre,</w:t>
      </w:r>
      <w:r>
        <w:rPr>
          <w:spacing w:val="-14"/>
        </w:rPr>
        <w:t> </w:t>
      </w:r>
      <w:r>
        <w:rPr/>
        <w:t>et</w:t>
      </w:r>
      <w:r>
        <w:rPr>
          <w:spacing w:val="-14"/>
        </w:rPr>
        <w:t> </w:t>
      </w:r>
      <w:r>
        <w:rPr/>
        <w:t>P</w:t>
      </w:r>
      <w:r>
        <w:rPr>
          <w:spacing w:val="-11"/>
        </w:rPr>
        <w:t> </w:t>
      </w:r>
      <w:r>
        <w:rPr/>
        <w:t>Leder.</w:t>
      </w:r>
      <w:r>
        <w:rPr>
          <w:spacing w:val="-14"/>
        </w:rPr>
        <w:t> </w:t>
      </w:r>
      <w:r>
        <w:rPr/>
        <w:t>2006.</w:t>
      </w:r>
      <w:r>
        <w:rPr>
          <w:spacing w:val="-10"/>
        </w:rPr>
        <w:t> </w:t>
      </w:r>
      <w:r>
        <w:rPr/>
        <w:t>«</w:t>
      </w:r>
      <w:r>
        <w:rPr>
          <w:spacing w:val="-7"/>
        </w:rPr>
        <w:t> </w:t>
      </w:r>
      <w:r>
        <w:rPr/>
        <w:t>Attenuation</w:t>
      </w:r>
      <w:r>
        <w:rPr>
          <w:spacing w:val="-14"/>
        </w:rPr>
        <w:t> </w:t>
      </w:r>
      <w:r>
        <w:rPr/>
        <w:t>of</w:t>
      </w:r>
      <w:r>
        <w:rPr>
          <w:spacing w:val="-13"/>
        </w:rPr>
        <w:t> </w:t>
      </w:r>
      <w:r>
        <w:rPr/>
        <w:t>LDH-A</w:t>
      </w:r>
      <w:r>
        <w:rPr>
          <w:spacing w:val="-15"/>
        </w:rPr>
        <w:t> </w:t>
      </w:r>
      <w:r>
        <w:rPr/>
        <w:t>Expression</w:t>
      </w:r>
      <w:r>
        <w:rPr>
          <w:spacing w:val="-14"/>
        </w:rPr>
        <w:t> </w:t>
      </w:r>
      <w:r>
        <w:rPr/>
        <w:t>Uncovers</w:t>
      </w:r>
      <w:r>
        <w:rPr>
          <w:spacing w:val="-15"/>
        </w:rPr>
        <w:t> </w:t>
      </w:r>
      <w:r>
        <w:rPr/>
        <w:t>a</w:t>
      </w:r>
      <w:r>
        <w:rPr>
          <w:spacing w:val="-13"/>
        </w:rPr>
        <w:t> </w:t>
      </w:r>
      <w:r>
        <w:rPr/>
        <w:t>Link between</w:t>
      </w:r>
      <w:r>
        <w:rPr>
          <w:spacing w:val="-14"/>
        </w:rPr>
        <w:t> </w:t>
      </w:r>
      <w:r>
        <w:rPr/>
        <w:t>Glycolysis,</w:t>
      </w:r>
      <w:r>
        <w:rPr>
          <w:spacing w:val="-17"/>
        </w:rPr>
        <w:t> </w:t>
      </w:r>
      <w:r>
        <w:rPr/>
        <w:t>Mitochondrial</w:t>
      </w:r>
      <w:r>
        <w:rPr>
          <w:spacing w:val="-17"/>
        </w:rPr>
        <w:t> </w:t>
      </w:r>
      <w:r>
        <w:rPr/>
        <w:t>Physiology,</w:t>
      </w:r>
      <w:r>
        <w:rPr>
          <w:spacing w:val="-14"/>
        </w:rPr>
        <w:t> </w:t>
      </w:r>
      <w:r>
        <w:rPr/>
        <w:t>and</w:t>
      </w:r>
      <w:r>
        <w:rPr>
          <w:spacing w:val="-17"/>
        </w:rPr>
        <w:t> </w:t>
      </w:r>
      <w:r>
        <w:rPr/>
        <w:t>Tumor</w:t>
      </w:r>
      <w:r>
        <w:rPr>
          <w:spacing w:val="-17"/>
        </w:rPr>
        <w:t> </w:t>
      </w:r>
      <w:r>
        <w:rPr/>
        <w:t>Maintenance</w:t>
      </w:r>
      <w:r>
        <w:rPr>
          <w:spacing w:val="5"/>
        </w:rPr>
        <w:t> </w:t>
      </w:r>
      <w:r>
        <w:rPr>
          <w:spacing w:val="-4"/>
        </w:rPr>
        <w:t>».</w:t>
      </w:r>
      <w:r>
        <w:rPr>
          <w:spacing w:val="-12"/>
        </w:rPr>
        <w:t> </w:t>
      </w:r>
      <w:r>
        <w:rPr>
          <w:i/>
        </w:rPr>
        <w:t>Cancer</w:t>
      </w:r>
      <w:r>
        <w:rPr>
          <w:i/>
          <w:spacing w:val="-17"/>
        </w:rPr>
        <w:t> </w:t>
      </w:r>
      <w:r>
        <w:rPr>
          <w:i/>
        </w:rPr>
        <w:t>Cell </w:t>
      </w:r>
      <w:r>
        <w:rPr/>
        <w:t>9 (6):</w:t>
      </w:r>
      <w:r>
        <w:rPr>
          <w:spacing w:val="-3"/>
        </w:rPr>
        <w:t> </w:t>
      </w:r>
      <w:r>
        <w:rPr/>
        <w:t>425</w:t>
      </w:r>
      <w:r>
        <w:rPr>
          <w:rFonts w:ascii="Cambria Math" w:hAnsi="Cambria Math"/>
        </w:rPr>
        <w:t>‑</w:t>
      </w:r>
      <w:r>
        <w:rPr/>
        <w:t>34.</w:t>
      </w:r>
    </w:p>
    <w:p>
      <w:pPr>
        <w:pStyle w:val="BodyText"/>
        <w:ind w:left="836" w:right="112" w:hanging="720"/>
        <w:jc w:val="both"/>
      </w:pPr>
      <w:r>
        <w:rPr/>
        <w:t>Fazio, N, D Granberg, A Grossman, S Saletan, J Klimovsky, A Panneerselvam, et E M Wolin. 2013.</w:t>
      </w:r>
      <w:r>
        <w:rPr>
          <w:spacing w:val="-7"/>
        </w:rPr>
        <w:t> </w:t>
      </w:r>
      <w:r>
        <w:rPr/>
        <w:t>«</w:t>
      </w:r>
      <w:r>
        <w:rPr>
          <w:spacing w:val="-10"/>
        </w:rPr>
        <w:t> </w:t>
      </w:r>
      <w:r>
        <w:rPr/>
        <w:t>Everolimus</w:t>
      </w:r>
      <w:r>
        <w:rPr>
          <w:spacing w:val="-12"/>
        </w:rPr>
        <w:t> </w:t>
      </w:r>
      <w:r>
        <w:rPr/>
        <w:t>plus</w:t>
      </w:r>
      <w:r>
        <w:rPr>
          <w:spacing w:val="-9"/>
        </w:rPr>
        <w:t> </w:t>
      </w:r>
      <w:r>
        <w:rPr/>
        <w:t>Octreotide</w:t>
      </w:r>
      <w:r>
        <w:rPr>
          <w:spacing w:val="-8"/>
        </w:rPr>
        <w:t> </w:t>
      </w:r>
      <w:r>
        <w:rPr/>
        <w:t>Long-Acting</w:t>
      </w:r>
      <w:r>
        <w:rPr>
          <w:spacing w:val="-12"/>
        </w:rPr>
        <w:t> </w:t>
      </w:r>
      <w:r>
        <w:rPr/>
        <w:t>Repeatable</w:t>
      </w:r>
      <w:r>
        <w:rPr>
          <w:spacing w:val="-11"/>
        </w:rPr>
        <w:t> </w:t>
      </w:r>
      <w:r>
        <w:rPr/>
        <w:t>in</w:t>
      </w:r>
      <w:r>
        <w:rPr>
          <w:spacing w:val="-12"/>
        </w:rPr>
        <w:t> </w:t>
      </w:r>
      <w:r>
        <w:rPr/>
        <w:t>Patients</w:t>
      </w:r>
      <w:r>
        <w:rPr>
          <w:spacing w:val="-11"/>
        </w:rPr>
        <w:t> </w:t>
      </w:r>
      <w:r>
        <w:rPr/>
        <w:t>with</w:t>
      </w:r>
      <w:r>
        <w:rPr>
          <w:spacing w:val="-12"/>
        </w:rPr>
        <w:t> </w:t>
      </w:r>
      <w:r>
        <w:rPr/>
        <w:t>Advanced Lung Neuroendocrine Tumors: Analysis of the Phase 3, Randomized, Placebo- Controlled RADIANT-2 Study </w:t>
      </w:r>
      <w:r>
        <w:rPr>
          <w:spacing w:val="-4"/>
        </w:rPr>
        <w:t>». </w:t>
      </w:r>
      <w:r>
        <w:rPr>
          <w:i/>
        </w:rPr>
        <w:t>Chest </w:t>
      </w:r>
      <w:r>
        <w:rPr/>
        <w:t>143 (4):</w:t>
      </w:r>
      <w:r>
        <w:rPr>
          <w:spacing w:val="2"/>
        </w:rPr>
        <w:t> </w:t>
      </w:r>
      <w:r>
        <w:rPr/>
        <w:t>955</w:t>
      </w:r>
      <w:r>
        <w:rPr>
          <w:rFonts w:ascii="Cambria Math" w:hAnsi="Cambria Math"/>
        </w:rPr>
        <w:t>‑</w:t>
      </w:r>
      <w:r>
        <w:rPr/>
        <w:t>62.</w:t>
      </w:r>
    </w:p>
    <w:p>
      <w:pPr>
        <w:spacing w:line="242" w:lineRule="auto" w:before="0"/>
        <w:ind w:left="836" w:right="114" w:hanging="720"/>
        <w:jc w:val="both"/>
        <w:rPr>
          <w:sz w:val="24"/>
        </w:rPr>
      </w:pPr>
      <w:r>
        <w:rPr>
          <w:sz w:val="24"/>
        </w:rPr>
        <w:t>Feron, O. 2009. « Pyruvate into Lactate and Back: From the Warburg Effect to Symbiotic Energy Fuel Exchange in Cancer Cells ». </w:t>
      </w:r>
      <w:r>
        <w:rPr>
          <w:i/>
          <w:sz w:val="24"/>
        </w:rPr>
        <w:t>Radiotherapy and Oncology: Journal of the </w:t>
      </w:r>
      <w:r>
        <w:rPr>
          <w:i/>
          <w:sz w:val="24"/>
        </w:rPr>
        <w:t>European Society for Therapeutic Radiology and Oncology </w:t>
      </w:r>
      <w:r>
        <w:rPr>
          <w:sz w:val="24"/>
        </w:rPr>
        <w:t>92 (3): 329</w:t>
      </w:r>
      <w:r>
        <w:rPr>
          <w:rFonts w:ascii="Cambria Math" w:hAnsi="Cambria Math"/>
          <w:sz w:val="24"/>
        </w:rPr>
        <w:t>‑</w:t>
      </w:r>
      <w:r>
        <w:rPr>
          <w:sz w:val="24"/>
        </w:rPr>
        <w:t>33.</w:t>
      </w:r>
    </w:p>
    <w:p>
      <w:pPr>
        <w:pStyle w:val="BodyText"/>
        <w:spacing w:line="270" w:lineRule="exact" w:before="1"/>
        <w:ind w:left="116"/>
      </w:pPr>
      <w:r>
        <w:rPr/>
        <w:t>Ferrari, S, F Perut, F Fagioli, A B Del Prever, C Meazza, A Parafioriti, P Picci, et al. 2013.</w:t>
      </w:r>
    </w:p>
    <w:p>
      <w:pPr>
        <w:spacing w:before="0"/>
        <w:ind w:left="836" w:right="0" w:firstLine="0"/>
        <w:jc w:val="left"/>
        <w:rPr>
          <w:sz w:val="24"/>
        </w:rPr>
      </w:pPr>
      <w:r>
        <w:rPr>
          <w:sz w:val="24"/>
        </w:rPr>
        <w:t>« Proton pump inhibitor chemosensitization in human osteosarcoma: from the bench to the patients’ bed ». </w:t>
      </w:r>
      <w:r>
        <w:rPr>
          <w:i/>
          <w:sz w:val="24"/>
        </w:rPr>
        <w:t>Journal of Translational Medicine </w:t>
      </w:r>
      <w:r>
        <w:rPr>
          <w:sz w:val="24"/>
        </w:rPr>
        <w:t>79 (11): 268-79.</w:t>
      </w:r>
    </w:p>
    <w:p>
      <w:pPr>
        <w:pStyle w:val="BodyText"/>
        <w:ind w:left="836" w:right="120" w:hanging="720"/>
        <w:jc w:val="both"/>
      </w:pPr>
      <w:r>
        <w:rPr/>
        <w:t>Filipp, F V. 2013. « Cancer Metabolism Meets Systems Biology: Pyruvate Kinase Isoform PKM2 Is a Metabolic Master Regulator ». </w:t>
      </w:r>
      <w:r>
        <w:rPr>
          <w:i/>
        </w:rPr>
        <w:t>Journal of Carcinogenesis </w:t>
      </w:r>
      <w:r>
        <w:rPr/>
        <w:t>23 (12): 14-26.</w:t>
      </w:r>
    </w:p>
    <w:p>
      <w:pPr>
        <w:pStyle w:val="BodyText"/>
        <w:spacing w:line="242" w:lineRule="auto"/>
        <w:ind w:left="836" w:right="115" w:hanging="720"/>
        <w:jc w:val="both"/>
      </w:pPr>
      <w:r>
        <w:rPr/>
        <w:t>Filipp, F V, D A Scott, Z A Ronai, A L Osterman, et J W Smith. 2012. « Reverse TCA cycle flux through isocitrate dehydrogenases 1 and 2 is required for lipogenesis in hypoxic melanoma cells ». </w:t>
      </w:r>
      <w:r>
        <w:rPr>
          <w:i/>
        </w:rPr>
        <w:t>Pigment cell &amp; melanoma research </w:t>
      </w:r>
      <w:r>
        <w:rPr/>
        <w:t>25 (3): 375</w:t>
      </w:r>
      <w:r>
        <w:rPr>
          <w:rFonts w:ascii="Cambria Math" w:hAnsi="Cambria Math"/>
        </w:rPr>
        <w:t>‑</w:t>
      </w:r>
      <w:r>
        <w:rPr/>
        <w:t>83.</w:t>
      </w:r>
    </w:p>
    <w:p>
      <w:pPr>
        <w:pStyle w:val="BodyText"/>
        <w:ind w:left="836" w:right="113" w:hanging="720"/>
        <w:jc w:val="both"/>
      </w:pPr>
      <w:r>
        <w:rPr/>
        <w:t>Fiveash, J B, S A Chowdhary, D Peereboom, T Mikkelsen, L B Nabors, G J Lesser, M R Rosenfeld, X Ye, et S A Grossman. 2009. « NABTT-0702: A phase II study of R-(-)- gossypol (AT-101) in recurrent glioblastoma multiforme (GBM) ». </w:t>
      </w:r>
      <w:r>
        <w:rPr>
          <w:i/>
        </w:rPr>
        <w:t>Journal of Clinical </w:t>
      </w:r>
      <w:r>
        <w:rPr>
          <w:i/>
        </w:rPr>
        <w:t>Oncology </w:t>
      </w:r>
      <w:r>
        <w:rPr/>
        <w:t>27 (15): 201</w:t>
      </w:r>
      <w:r>
        <w:rPr>
          <w:b/>
        </w:rPr>
        <w:t>-</w:t>
      </w:r>
      <w:r>
        <w:rPr/>
        <w:t>15.</w:t>
      </w:r>
    </w:p>
    <w:p>
      <w:pPr>
        <w:pStyle w:val="BodyText"/>
        <w:spacing w:line="242" w:lineRule="auto" w:before="6"/>
        <w:ind w:left="836" w:right="116" w:hanging="720"/>
        <w:jc w:val="both"/>
      </w:pPr>
      <w:r>
        <w:rPr/>
        <w:t>Flaig, T W, D L Gustafson, L Su, J A Zirrolli, F Crighton, G S Harrison, A S Pierson, R Agarwal, et L M Glodé. 2007. « A Phase I and Pharmacokinetic Study of Silybin- Phytosome in Prostate Cancer Patients ». </w:t>
      </w:r>
      <w:r>
        <w:rPr>
          <w:i/>
        </w:rPr>
        <w:t>Investigational New Drugs </w:t>
      </w:r>
      <w:r>
        <w:rPr/>
        <w:t>25 (2): 139</w:t>
      </w:r>
      <w:r>
        <w:rPr>
          <w:rFonts w:ascii="Cambria Math" w:hAnsi="Cambria Math"/>
        </w:rPr>
        <w:t>‑</w:t>
      </w:r>
      <w:r>
        <w:rPr/>
        <w:t>46.</w:t>
      </w:r>
    </w:p>
    <w:p>
      <w:pPr>
        <w:pStyle w:val="BodyText"/>
        <w:spacing w:line="272" w:lineRule="exact"/>
        <w:ind w:left="116"/>
      </w:pPr>
      <w:r>
        <w:rPr/>
        <w:t>Floridi,  A,  M  G  Paggi,  M  L Marcante,  B Silvestrini,  A  Caputo,  et  C  De Martino. 1981.</w:t>
      </w:r>
    </w:p>
    <w:p>
      <w:pPr>
        <w:pStyle w:val="BodyText"/>
        <w:ind w:left="836"/>
      </w:pPr>
      <w:r>
        <w:rPr/>
        <w:t>«  Lonidamine, a Selective  Inhibitor of Aerobic Glycolysis  of Murine Tumor Cells ».</w:t>
      </w:r>
    </w:p>
    <w:p>
      <w:pPr>
        <w:spacing w:line="279" w:lineRule="exact" w:before="3"/>
        <w:ind w:left="836" w:right="0" w:firstLine="0"/>
        <w:jc w:val="left"/>
        <w:rPr>
          <w:sz w:val="24"/>
        </w:rPr>
      </w:pPr>
      <w:r>
        <w:rPr>
          <w:i/>
          <w:sz w:val="24"/>
        </w:rPr>
        <w:t>Journal of the National Cancer Institute </w:t>
      </w:r>
      <w:r>
        <w:rPr>
          <w:sz w:val="24"/>
        </w:rPr>
        <w:t>66 (3): 497</w:t>
      </w:r>
      <w:r>
        <w:rPr>
          <w:rFonts w:ascii="Cambria Math" w:hAnsi="Cambria Math"/>
          <w:sz w:val="24"/>
        </w:rPr>
        <w:t>‑</w:t>
      </w:r>
      <w:r>
        <w:rPr>
          <w:sz w:val="24"/>
        </w:rPr>
        <w:t>99.</w:t>
      </w:r>
    </w:p>
    <w:p>
      <w:pPr>
        <w:pStyle w:val="BodyText"/>
        <w:spacing w:line="242" w:lineRule="auto"/>
        <w:ind w:left="836" w:right="119" w:hanging="720"/>
        <w:jc w:val="both"/>
      </w:pPr>
      <w:r>
        <w:rPr/>
        <w:t>Frohman, L A, et K Nagai. 1976. « Central nervous system-mediated stimulation of glucagon secretion in the dog following 2-deoxyglucose ». </w:t>
      </w:r>
      <w:r>
        <w:rPr>
          <w:i/>
        </w:rPr>
        <w:t>Metabolism </w:t>
      </w:r>
      <w:r>
        <w:rPr/>
        <w:t>25 (11): 1449</w:t>
      </w:r>
      <w:r>
        <w:rPr>
          <w:rFonts w:ascii="Cambria Math" w:hAnsi="Cambria Math"/>
        </w:rPr>
        <w:t>‑</w:t>
      </w:r>
      <w:r>
        <w:rPr/>
        <w:t>52.</w:t>
      </w:r>
    </w:p>
    <w:p>
      <w:pPr>
        <w:pStyle w:val="BodyText"/>
        <w:ind w:left="836" w:right="112" w:hanging="720"/>
        <w:jc w:val="both"/>
      </w:pPr>
      <w:r>
        <w:rPr/>
        <w:t>Ganapathy-Kanniappan, S, J H Geschwind, R Kunjithapatham, M Buijs, J A Vossen, I Tchernyshyov, R N Cole, et al. 2009. « Glyceraldehyde-3-Phosphate Dehydrogenase (GAPDH) Is Pyruvylated during 3-Bromopyruvate Mediated Cancer Cell Death </w:t>
      </w:r>
      <w:r>
        <w:rPr>
          <w:spacing w:val="-4"/>
        </w:rPr>
        <w:t>».</w:t>
      </w:r>
      <w:r>
        <w:rPr>
          <w:spacing w:val="51"/>
        </w:rPr>
        <w:t> </w:t>
      </w:r>
      <w:r>
        <w:rPr>
          <w:i/>
        </w:rPr>
        <w:t>Anticancer Research </w:t>
      </w:r>
      <w:r>
        <w:rPr/>
        <w:t>29 (12): 4909</w:t>
      </w:r>
      <w:r>
        <w:rPr>
          <w:rFonts w:ascii="Cambria Math" w:hAnsi="Cambria Math"/>
        </w:rPr>
        <w:t>‑</w:t>
      </w:r>
      <w:r>
        <w:rPr/>
        <w:t>18.</w:t>
      </w:r>
    </w:p>
    <w:p>
      <w:pPr>
        <w:spacing w:line="242" w:lineRule="auto" w:before="0"/>
        <w:ind w:left="836" w:right="113" w:hanging="720"/>
        <w:jc w:val="both"/>
        <w:rPr>
          <w:sz w:val="24"/>
        </w:rPr>
      </w:pPr>
      <w:r>
        <w:rPr>
          <w:sz w:val="24"/>
        </w:rPr>
        <w:t>Gao, C, C Liang, Z Nie, Y Liu, J Wang, et D Zhang. 2015. « Alkannin Inhibits Growth and Invasion of Glioma Cells C6 through IQGAP/MTOR Signal Pathway ». </w:t>
      </w:r>
      <w:r>
        <w:rPr>
          <w:i/>
          <w:sz w:val="24"/>
        </w:rPr>
        <w:t>International </w:t>
      </w:r>
      <w:r>
        <w:rPr>
          <w:i/>
          <w:sz w:val="24"/>
        </w:rPr>
        <w:t>Journal of Clinical and Experimental Medicine </w:t>
      </w:r>
      <w:r>
        <w:rPr>
          <w:sz w:val="24"/>
        </w:rPr>
        <w:t>8 (4): 5287</w:t>
      </w:r>
      <w:r>
        <w:rPr>
          <w:rFonts w:ascii="Cambria Math" w:hAnsi="Cambria Math"/>
          <w:sz w:val="24"/>
        </w:rPr>
        <w:t>‑</w:t>
      </w:r>
      <w:r>
        <w:rPr>
          <w:sz w:val="24"/>
        </w:rPr>
        <w:t>94.</w:t>
      </w:r>
    </w:p>
    <w:p>
      <w:pPr>
        <w:pStyle w:val="BodyText"/>
        <w:ind w:left="836" w:right="114" w:hanging="720"/>
        <w:jc w:val="both"/>
      </w:pPr>
      <w:r>
        <w:rPr/>
        <w:t>Garon, E B, H Christofk, W Hosmer, C D Britten, A Bahng, M J Crabtree, C Sun Hong, et al. 2014. « Dichloroacetate Should Be Considered with Platinum-Based Chemotherapy in Hypoxic Tumors Rather than as a Single Agent in Advanced Non-Small Cell Lung Cancer ». </w:t>
      </w:r>
      <w:r>
        <w:rPr>
          <w:i/>
        </w:rPr>
        <w:t>Journal of Cancer Research and Clinical Oncology </w:t>
      </w:r>
      <w:r>
        <w:rPr/>
        <w:t>140 (3): 443</w:t>
      </w:r>
      <w:r>
        <w:rPr>
          <w:rFonts w:ascii="Cambria Math" w:hAnsi="Cambria Math"/>
        </w:rPr>
        <w:t>‑</w:t>
      </w:r>
      <w:r>
        <w:rPr/>
        <w:t>52.</w:t>
      </w:r>
    </w:p>
    <w:p>
      <w:pPr>
        <w:spacing w:after="0"/>
        <w:jc w:val="both"/>
        <w:sectPr>
          <w:pgSz w:w="11910" w:h="16840"/>
          <w:pgMar w:header="0" w:footer="1055" w:top="1320" w:bottom="1240" w:left="1300" w:right="1300"/>
        </w:sectPr>
      </w:pPr>
    </w:p>
    <w:p>
      <w:pPr>
        <w:pStyle w:val="BodyText"/>
        <w:spacing w:before="70"/>
        <w:ind w:left="836" w:right="114" w:hanging="720"/>
        <w:jc w:val="both"/>
      </w:pPr>
      <w:r>
        <w:rPr/>
        <w:t>Garrett, C R, T S Bekaii-Saab, T Ryan, G A Fisher, S Clive, P Kavan, E Shacham-Shmueli, A Buchbinder,</w:t>
      </w:r>
      <w:r>
        <w:rPr>
          <w:spacing w:val="-7"/>
        </w:rPr>
        <w:t> </w:t>
      </w:r>
      <w:r>
        <w:rPr/>
        <w:t>et</w:t>
      </w:r>
      <w:r>
        <w:rPr>
          <w:spacing w:val="-6"/>
        </w:rPr>
        <w:t> </w:t>
      </w:r>
      <w:r>
        <w:rPr/>
        <w:t>R</w:t>
      </w:r>
      <w:r>
        <w:rPr>
          <w:spacing w:val="-6"/>
        </w:rPr>
        <w:t> </w:t>
      </w:r>
      <w:r>
        <w:rPr/>
        <w:t>M.</w:t>
      </w:r>
      <w:r>
        <w:rPr>
          <w:spacing w:val="-6"/>
        </w:rPr>
        <w:t> </w:t>
      </w:r>
      <w:r>
        <w:rPr/>
        <w:t>Goldberg.</w:t>
      </w:r>
      <w:r>
        <w:rPr>
          <w:spacing w:val="-6"/>
        </w:rPr>
        <w:t> </w:t>
      </w:r>
      <w:r>
        <w:rPr/>
        <w:t>2013.</w:t>
      </w:r>
      <w:r>
        <w:rPr>
          <w:spacing w:val="-1"/>
        </w:rPr>
        <w:t> </w:t>
      </w:r>
      <w:r>
        <w:rPr/>
        <w:t>«</w:t>
      </w:r>
      <w:r>
        <w:rPr>
          <w:spacing w:val="-7"/>
        </w:rPr>
        <w:t> </w:t>
      </w:r>
      <w:r>
        <w:rPr/>
        <w:t>Randomized</w:t>
      </w:r>
      <w:r>
        <w:rPr>
          <w:spacing w:val="-6"/>
        </w:rPr>
        <w:t> </w:t>
      </w:r>
      <w:r>
        <w:rPr/>
        <w:t>Phase</w:t>
      </w:r>
      <w:r>
        <w:rPr>
          <w:spacing w:val="-7"/>
        </w:rPr>
        <w:t> </w:t>
      </w:r>
      <w:r>
        <w:rPr/>
        <w:t>2</w:t>
      </w:r>
      <w:r>
        <w:rPr>
          <w:spacing w:val="-6"/>
        </w:rPr>
        <w:t> </w:t>
      </w:r>
      <w:r>
        <w:rPr/>
        <w:t>Study</w:t>
      </w:r>
      <w:r>
        <w:rPr>
          <w:spacing w:val="-13"/>
        </w:rPr>
        <w:t> </w:t>
      </w:r>
      <w:r>
        <w:rPr/>
        <w:t>of</w:t>
      </w:r>
      <w:r>
        <w:rPr>
          <w:spacing w:val="-7"/>
        </w:rPr>
        <w:t> </w:t>
      </w:r>
      <w:r>
        <w:rPr/>
        <w:t>Pegylated</w:t>
      </w:r>
      <w:r>
        <w:rPr>
          <w:spacing w:val="-6"/>
        </w:rPr>
        <w:t> </w:t>
      </w:r>
      <w:r>
        <w:rPr/>
        <w:t>SN-38 (EZN-2208) or Irinotecan plus Cetuximab in Patients with Advanced Colorectal Cancer </w:t>
      </w:r>
      <w:r>
        <w:rPr>
          <w:spacing w:val="-4"/>
        </w:rPr>
        <w:t>». </w:t>
      </w:r>
      <w:r>
        <w:rPr>
          <w:i/>
        </w:rPr>
        <w:t>Cancer </w:t>
      </w:r>
      <w:r>
        <w:rPr/>
        <w:t>119 (24):</w:t>
      </w:r>
      <w:r>
        <w:rPr>
          <w:spacing w:val="6"/>
        </w:rPr>
        <w:t> </w:t>
      </w:r>
      <w:r>
        <w:rPr/>
        <w:t>4223</w:t>
      </w:r>
      <w:r>
        <w:rPr>
          <w:rFonts w:ascii="Cambria Math" w:hAnsi="Cambria Math"/>
        </w:rPr>
        <w:t>‑</w:t>
      </w:r>
      <w:r>
        <w:rPr/>
        <w:t>30.</w:t>
      </w:r>
    </w:p>
    <w:p>
      <w:pPr>
        <w:spacing w:line="242" w:lineRule="auto" w:before="0"/>
        <w:ind w:left="836" w:right="114" w:hanging="720"/>
        <w:jc w:val="both"/>
        <w:rPr>
          <w:sz w:val="24"/>
        </w:rPr>
      </w:pPr>
      <w:r>
        <w:rPr>
          <w:sz w:val="24"/>
        </w:rPr>
        <w:t>Glickman, L T, M Raghavan, D W Knapp, P L Bonney, et M H Dawson. 2004. « Herbicide exposure and the risk of transitional cell carcinoma of the urinary bladder in Scottish Terriers ». </w:t>
      </w:r>
      <w:r>
        <w:rPr>
          <w:i/>
          <w:sz w:val="24"/>
        </w:rPr>
        <w:t>Journal of the American Veterinary Medical Association </w:t>
      </w:r>
      <w:r>
        <w:rPr>
          <w:sz w:val="24"/>
        </w:rPr>
        <w:t>224 (8): 1290</w:t>
      </w:r>
      <w:r>
        <w:rPr>
          <w:rFonts w:ascii="Cambria Math" w:hAnsi="Cambria Math"/>
          <w:sz w:val="24"/>
        </w:rPr>
        <w:t>‑</w:t>
      </w:r>
      <w:r>
        <w:rPr>
          <w:sz w:val="24"/>
        </w:rPr>
        <w:t>97.</w:t>
      </w:r>
    </w:p>
    <w:p>
      <w:pPr>
        <w:pStyle w:val="BodyText"/>
        <w:ind w:left="824" w:right="109" w:hanging="708"/>
        <w:jc w:val="both"/>
      </w:pPr>
      <w:r>
        <w:rPr/>
        <w:t>Godin, C S, K E Engelke, et J F Geschwind. 2015. « Repeat Dose Toxicity Studies of 3- Bromopyruvate in Dogs Following Intrahepatic Artery and Intraperitoneal Infusion. » </w:t>
      </w:r>
      <w:r>
        <w:rPr>
          <w:i/>
        </w:rPr>
        <w:t>International journal of toxicology </w:t>
      </w:r>
      <w:r>
        <w:rPr/>
        <w:t>34 (1): 2455-62.</w:t>
      </w:r>
    </w:p>
    <w:p>
      <w:pPr>
        <w:spacing w:line="242" w:lineRule="auto" w:before="5"/>
        <w:ind w:left="836" w:right="114" w:hanging="720"/>
        <w:jc w:val="both"/>
        <w:rPr>
          <w:sz w:val="24"/>
        </w:rPr>
      </w:pPr>
      <w:r>
        <w:rPr>
          <w:sz w:val="24"/>
        </w:rPr>
        <w:t>Goldberg,</w:t>
      </w:r>
      <w:r>
        <w:rPr>
          <w:spacing w:val="-5"/>
          <w:sz w:val="24"/>
        </w:rPr>
        <w:t> </w:t>
      </w:r>
      <w:r>
        <w:rPr>
          <w:sz w:val="24"/>
        </w:rPr>
        <w:t>M</w:t>
      </w:r>
      <w:r>
        <w:rPr>
          <w:spacing w:val="-4"/>
          <w:sz w:val="24"/>
        </w:rPr>
        <w:t> </w:t>
      </w:r>
      <w:r>
        <w:rPr>
          <w:sz w:val="24"/>
        </w:rPr>
        <w:t>S,</w:t>
      </w:r>
      <w:r>
        <w:rPr>
          <w:spacing w:val="-5"/>
          <w:sz w:val="24"/>
        </w:rPr>
        <w:t> </w:t>
      </w:r>
      <w:r>
        <w:rPr>
          <w:sz w:val="24"/>
        </w:rPr>
        <w:t>et</w:t>
      </w:r>
      <w:r>
        <w:rPr>
          <w:spacing w:val="-7"/>
          <w:sz w:val="24"/>
        </w:rPr>
        <w:t> </w:t>
      </w:r>
      <w:r>
        <w:rPr>
          <w:sz w:val="24"/>
        </w:rPr>
        <w:t>P</w:t>
      </w:r>
      <w:r>
        <w:rPr>
          <w:spacing w:val="-4"/>
          <w:sz w:val="24"/>
        </w:rPr>
        <w:t> </w:t>
      </w:r>
      <w:r>
        <w:rPr>
          <w:sz w:val="24"/>
        </w:rPr>
        <w:t>A</w:t>
      </w:r>
      <w:r>
        <w:rPr>
          <w:spacing w:val="-8"/>
          <w:sz w:val="24"/>
        </w:rPr>
        <w:t> </w:t>
      </w:r>
      <w:r>
        <w:rPr>
          <w:sz w:val="24"/>
        </w:rPr>
        <w:t>Sharp.</w:t>
      </w:r>
      <w:r>
        <w:rPr>
          <w:spacing w:val="-6"/>
          <w:sz w:val="24"/>
        </w:rPr>
        <w:t> </w:t>
      </w:r>
      <w:r>
        <w:rPr>
          <w:sz w:val="24"/>
        </w:rPr>
        <w:t>2012. «</w:t>
      </w:r>
      <w:r>
        <w:rPr>
          <w:spacing w:val="-9"/>
          <w:sz w:val="24"/>
        </w:rPr>
        <w:t> </w:t>
      </w:r>
      <w:r>
        <w:rPr>
          <w:sz w:val="24"/>
        </w:rPr>
        <w:t>Pyruvate</w:t>
      </w:r>
      <w:r>
        <w:rPr>
          <w:spacing w:val="-5"/>
          <w:sz w:val="24"/>
        </w:rPr>
        <w:t> </w:t>
      </w:r>
      <w:r>
        <w:rPr>
          <w:sz w:val="24"/>
        </w:rPr>
        <w:t>Kinase</w:t>
      </w:r>
      <w:r>
        <w:rPr>
          <w:spacing w:val="-6"/>
          <w:sz w:val="24"/>
        </w:rPr>
        <w:t> </w:t>
      </w:r>
      <w:r>
        <w:rPr>
          <w:sz w:val="24"/>
        </w:rPr>
        <w:t>M2-Specific</w:t>
      </w:r>
      <w:r>
        <w:rPr>
          <w:spacing w:val="-6"/>
          <w:sz w:val="24"/>
        </w:rPr>
        <w:t> </w:t>
      </w:r>
      <w:r>
        <w:rPr>
          <w:sz w:val="24"/>
        </w:rPr>
        <w:t>SiRNA</w:t>
      </w:r>
      <w:r>
        <w:rPr>
          <w:spacing w:val="-3"/>
          <w:sz w:val="24"/>
        </w:rPr>
        <w:t> </w:t>
      </w:r>
      <w:r>
        <w:rPr>
          <w:sz w:val="24"/>
        </w:rPr>
        <w:t>Induces</w:t>
      </w:r>
      <w:r>
        <w:rPr>
          <w:spacing w:val="-5"/>
          <w:sz w:val="24"/>
        </w:rPr>
        <w:t> </w:t>
      </w:r>
      <w:r>
        <w:rPr>
          <w:sz w:val="24"/>
        </w:rPr>
        <w:t>Apoptosis and Tumor Regression </w:t>
      </w:r>
      <w:r>
        <w:rPr>
          <w:spacing w:val="-4"/>
          <w:sz w:val="24"/>
        </w:rPr>
        <w:t>». </w:t>
      </w:r>
      <w:r>
        <w:rPr>
          <w:i/>
          <w:sz w:val="24"/>
        </w:rPr>
        <w:t>The Journal of Experimental Medicine </w:t>
      </w:r>
      <w:r>
        <w:rPr>
          <w:sz w:val="24"/>
        </w:rPr>
        <w:t>209 (2):</w:t>
      </w:r>
      <w:r>
        <w:rPr>
          <w:spacing w:val="0"/>
          <w:sz w:val="24"/>
        </w:rPr>
        <w:t> </w:t>
      </w:r>
      <w:r>
        <w:rPr>
          <w:sz w:val="24"/>
        </w:rPr>
        <w:t>217</w:t>
      </w:r>
      <w:r>
        <w:rPr>
          <w:rFonts w:ascii="Cambria Math" w:hAnsi="Cambria Math"/>
          <w:sz w:val="24"/>
        </w:rPr>
        <w:t>‑</w:t>
      </w:r>
      <w:r>
        <w:rPr>
          <w:sz w:val="24"/>
        </w:rPr>
        <w:t>24.</w:t>
      </w:r>
    </w:p>
    <w:p>
      <w:pPr>
        <w:pStyle w:val="BodyText"/>
        <w:spacing w:line="242" w:lineRule="auto"/>
        <w:ind w:left="836" w:right="114" w:hanging="720"/>
        <w:jc w:val="both"/>
      </w:pPr>
      <w:r>
        <w:rPr/>
        <w:t>Goldin, N, L Arzoine, A Heyfets, A Israelson, Z Zaslavsky, T Bravman, V Bronner, A Notcovich, V Shoshan-Barmatz, et E Flescher. 2008. « Methyl Jasmonate Binds to and Detaches Mitochondria-Bound Hexokinase ». </w:t>
      </w:r>
      <w:r>
        <w:rPr>
          <w:i/>
        </w:rPr>
        <w:t>Oncogene </w:t>
      </w:r>
      <w:r>
        <w:rPr/>
        <w:t>27 (34): 4636</w:t>
      </w:r>
      <w:r>
        <w:rPr>
          <w:rFonts w:ascii="Cambria Math" w:hAnsi="Cambria Math"/>
        </w:rPr>
        <w:t>‑</w:t>
      </w:r>
      <w:r>
        <w:rPr/>
        <w:t>43.</w:t>
      </w:r>
    </w:p>
    <w:p>
      <w:pPr>
        <w:pStyle w:val="BodyText"/>
        <w:ind w:left="836" w:right="115" w:hanging="720"/>
        <w:jc w:val="both"/>
      </w:pPr>
      <w:r>
        <w:rPr/>
        <w:t>Goodwin, P J, W R Parulekar, K A Gelmon, L E Shepherd, J A Ligibel, D L Hershman, P Rastogi, et al. 2015. « Effect of Metformin vs Placebo on and Metabolic Factors in NCIC CTG MA.32 ». </w:t>
      </w:r>
      <w:r>
        <w:rPr>
          <w:i/>
        </w:rPr>
        <w:t>Journal of the National Cancer Institute </w:t>
      </w:r>
      <w:r>
        <w:rPr/>
        <w:t>107 (3): 147-59.</w:t>
      </w:r>
    </w:p>
    <w:p>
      <w:pPr>
        <w:pStyle w:val="BodyText"/>
        <w:ind w:left="836" w:right="118" w:hanging="720"/>
        <w:jc w:val="both"/>
      </w:pPr>
      <w:r>
        <w:rPr/>
        <w:t>Gordon, I, M Paoloni, C Mazcko, et C Khanna. 2009. « The Comparative Oncology Trials Consortium: Using Spontaneously Occurring Cancers in Dogs to Inform the Cancer Drug Development Pathway ». </w:t>
      </w:r>
      <w:r>
        <w:rPr>
          <w:i/>
        </w:rPr>
        <w:t>PLoS Medicine </w:t>
      </w:r>
      <w:r>
        <w:rPr/>
        <w:t>6 (10): 152-161.</w:t>
      </w:r>
    </w:p>
    <w:p>
      <w:pPr>
        <w:pStyle w:val="BodyText"/>
        <w:spacing w:line="242" w:lineRule="auto"/>
        <w:ind w:left="836" w:right="117" w:hanging="720"/>
        <w:jc w:val="both"/>
      </w:pPr>
      <w:r>
        <w:rPr/>
        <w:t>Gottlieb, E, et I P Tomlinson. 2005. « Mitochondrial Tumour Suppressors: A Genetic and Biochemical Update ». </w:t>
      </w:r>
      <w:r>
        <w:rPr>
          <w:i/>
        </w:rPr>
        <w:t>Nature Reviews. Cancer </w:t>
      </w:r>
      <w:r>
        <w:rPr/>
        <w:t>5 (11): 857</w:t>
      </w:r>
      <w:r>
        <w:rPr>
          <w:rFonts w:ascii="Cambria Math" w:hAnsi="Cambria Math"/>
        </w:rPr>
        <w:t>‑</w:t>
      </w:r>
      <w:r>
        <w:rPr/>
        <w:t>66.</w:t>
      </w:r>
    </w:p>
    <w:p>
      <w:pPr>
        <w:pStyle w:val="BodyText"/>
        <w:ind w:left="836" w:right="112" w:hanging="720"/>
        <w:jc w:val="both"/>
      </w:pPr>
      <w:r>
        <w:rPr/>
        <w:t>Greenberger, L M, I D Horak, D Filpula, P Sapra, M Westergaard, H F Frydenlund, C Albaek, H Schrøder, et H Ørum. 2008. « A RNA Antagonist of Hypoxia-Inducible Factor- 1alpha, EZN-2968, Inhibits Tumor Cell Growth ». </w:t>
      </w:r>
      <w:r>
        <w:rPr>
          <w:i/>
        </w:rPr>
        <w:t>Molecular Cancer Therapeutics </w:t>
      </w:r>
      <w:r>
        <w:rPr/>
        <w:t>7 (11): 3598</w:t>
      </w:r>
      <w:r>
        <w:rPr>
          <w:rFonts w:ascii="Cambria Math" w:hAnsi="Cambria Math"/>
        </w:rPr>
        <w:t>‑</w:t>
      </w:r>
      <w:r>
        <w:rPr/>
        <w:t>608.</w:t>
      </w:r>
    </w:p>
    <w:p>
      <w:pPr>
        <w:pStyle w:val="BodyText"/>
        <w:spacing w:before="4"/>
        <w:ind w:left="836" w:right="113" w:hanging="720"/>
        <w:jc w:val="both"/>
      </w:pPr>
      <w:r>
        <w:rPr/>
        <w:t>Griss, T, E E Vincent, R Egnatchik, J Chen, E H Ma, B Faubert, B Viollet, R J DeBerardinis, et</w:t>
      </w:r>
      <w:r>
        <w:rPr>
          <w:spacing w:val="-8"/>
        </w:rPr>
        <w:t> </w:t>
      </w:r>
      <w:r>
        <w:rPr/>
        <w:t>R</w:t>
      </w:r>
      <w:r>
        <w:rPr>
          <w:spacing w:val="-8"/>
        </w:rPr>
        <w:t> </w:t>
      </w:r>
      <w:r>
        <w:rPr/>
        <w:t>G</w:t>
      </w:r>
      <w:r>
        <w:rPr>
          <w:spacing w:val="-9"/>
        </w:rPr>
        <w:t> </w:t>
      </w:r>
      <w:r>
        <w:rPr/>
        <w:t>Jones.</w:t>
      </w:r>
      <w:r>
        <w:rPr>
          <w:spacing w:val="-8"/>
        </w:rPr>
        <w:t> </w:t>
      </w:r>
      <w:r>
        <w:rPr/>
        <w:t>2015.</w:t>
      </w:r>
      <w:r>
        <w:rPr>
          <w:spacing w:val="-4"/>
        </w:rPr>
        <w:t> </w:t>
      </w:r>
      <w:r>
        <w:rPr/>
        <w:t>«</w:t>
      </w:r>
      <w:r>
        <w:rPr>
          <w:spacing w:val="-5"/>
        </w:rPr>
        <w:t> </w:t>
      </w:r>
      <w:r>
        <w:rPr/>
        <w:t>Metformin</w:t>
      </w:r>
      <w:r>
        <w:rPr>
          <w:spacing w:val="-9"/>
        </w:rPr>
        <w:t> </w:t>
      </w:r>
      <w:r>
        <w:rPr/>
        <w:t>Antagonizes</w:t>
      </w:r>
      <w:r>
        <w:rPr>
          <w:spacing w:val="-8"/>
        </w:rPr>
        <w:t> </w:t>
      </w:r>
      <w:r>
        <w:rPr/>
        <w:t>Cancer</w:t>
      </w:r>
      <w:r>
        <w:rPr>
          <w:spacing w:val="-9"/>
        </w:rPr>
        <w:t> </w:t>
      </w:r>
      <w:r>
        <w:rPr/>
        <w:t>Cell</w:t>
      </w:r>
      <w:r>
        <w:rPr>
          <w:spacing w:val="-8"/>
        </w:rPr>
        <w:t> </w:t>
      </w:r>
      <w:r>
        <w:rPr/>
        <w:t>Proliferation</w:t>
      </w:r>
      <w:r>
        <w:rPr>
          <w:spacing w:val="-9"/>
        </w:rPr>
        <w:t> </w:t>
      </w:r>
      <w:r>
        <w:rPr/>
        <w:t>by</w:t>
      </w:r>
      <w:r>
        <w:rPr>
          <w:spacing w:val="-11"/>
        </w:rPr>
        <w:t> </w:t>
      </w:r>
      <w:r>
        <w:rPr/>
        <w:t>Suppressing Mitochondrial-Dependent Biosynthesis </w:t>
      </w:r>
      <w:r>
        <w:rPr>
          <w:spacing w:val="-4"/>
        </w:rPr>
        <w:t>». </w:t>
      </w:r>
      <w:r>
        <w:rPr>
          <w:i/>
        </w:rPr>
        <w:t>PLoS Biology </w:t>
      </w:r>
      <w:r>
        <w:rPr/>
        <w:t>13 (12):</w:t>
      </w:r>
      <w:r>
        <w:rPr>
          <w:spacing w:val="1"/>
        </w:rPr>
        <w:t> </w:t>
      </w:r>
      <w:r>
        <w:rPr/>
        <w:t>312-25.</w:t>
      </w:r>
    </w:p>
    <w:p>
      <w:pPr>
        <w:pStyle w:val="BodyText"/>
        <w:ind w:left="116"/>
      </w:pPr>
      <w:r>
        <w:rPr/>
        <w:t>Gross, M I, S D Demo, J B Dennison, L C, T Chernov-Rogan, B Goyal, J R Janes, et al. 2014.</w:t>
      </w:r>
    </w:p>
    <w:p>
      <w:pPr>
        <w:spacing w:line="242" w:lineRule="auto" w:before="0"/>
        <w:ind w:left="836" w:right="0" w:firstLine="0"/>
        <w:jc w:val="left"/>
        <w:rPr>
          <w:sz w:val="24"/>
        </w:rPr>
      </w:pPr>
      <w:r>
        <w:rPr>
          <w:sz w:val="24"/>
        </w:rPr>
        <w:t>« Antitumor Activity of the Glutaminase Inhibitor CB-839 in Triple-Negative Breast Cancer ». </w:t>
      </w:r>
      <w:r>
        <w:rPr>
          <w:i/>
          <w:sz w:val="24"/>
        </w:rPr>
        <w:t>Molecular Cancer Therapeutics </w:t>
      </w:r>
      <w:r>
        <w:rPr>
          <w:sz w:val="24"/>
        </w:rPr>
        <w:t>13 (4): 890</w:t>
      </w:r>
      <w:r>
        <w:rPr>
          <w:rFonts w:ascii="Cambria Math" w:hAnsi="Cambria Math"/>
          <w:sz w:val="24"/>
        </w:rPr>
        <w:t>‑</w:t>
      </w:r>
      <w:r>
        <w:rPr>
          <w:sz w:val="24"/>
        </w:rPr>
        <w:t>901.</w:t>
      </w:r>
    </w:p>
    <w:p>
      <w:pPr>
        <w:pStyle w:val="BodyText"/>
        <w:ind w:left="836" w:right="112" w:hanging="720"/>
        <w:jc w:val="both"/>
      </w:pPr>
      <w:r>
        <w:rPr/>
        <w:t>Gu, H R, S C Park, S J Choi, J C Lee, Y C Kim, C J Han, J Kim, et al. 2015. « Combined Treatment with Silibinin and Either Sorafenib or Gefitinib Enhances Their Growth- Inhibiting Effects in Hepatocellular Carcinoma Cells </w:t>
      </w:r>
      <w:r>
        <w:rPr>
          <w:spacing w:val="-4"/>
        </w:rPr>
        <w:t>».</w:t>
      </w:r>
      <w:r>
        <w:rPr>
          <w:spacing w:val="51"/>
        </w:rPr>
        <w:t> </w:t>
      </w:r>
      <w:r>
        <w:rPr>
          <w:i/>
        </w:rPr>
        <w:t>Clinical and Molecular </w:t>
      </w:r>
      <w:r>
        <w:rPr>
          <w:i/>
        </w:rPr>
        <w:t>Hepatology </w:t>
      </w:r>
      <w:r>
        <w:rPr/>
        <w:t>21 (1): 49</w:t>
      </w:r>
      <w:r>
        <w:rPr>
          <w:rFonts w:ascii="Cambria Math" w:hAnsi="Cambria Math"/>
        </w:rPr>
        <w:t>‑</w:t>
      </w:r>
      <w:r>
        <w:rPr/>
        <w:t>59.</w:t>
      </w:r>
    </w:p>
    <w:p>
      <w:pPr>
        <w:pStyle w:val="BodyText"/>
        <w:spacing w:line="237" w:lineRule="auto" w:before="6"/>
        <w:ind w:left="836" w:right="113" w:hanging="720"/>
        <w:jc w:val="both"/>
      </w:pPr>
      <w:r>
        <w:rPr/>
        <w:t>Guais, A, G Baronzio, E Sanders, F Campion, C Mainini, G Fiorentini, F Montagnani, M Behzadi, L Schwartz, et M Abolhassani. 2012. « Adding a Combination of Hydroxycitrate and Lipoic Acid (METABLOC</w:t>
      </w:r>
      <w:r>
        <w:rPr>
          <w:position w:val="9"/>
          <w:sz w:val="16"/>
        </w:rPr>
        <w:t>TM</w:t>
      </w:r>
      <w:r>
        <w:rPr/>
        <w:t>) to Chemotherapy Improves Effectiveness against Tumor Development: Experimental Results and Case Report </w:t>
      </w:r>
      <w:r>
        <w:rPr>
          <w:spacing w:val="-4"/>
        </w:rPr>
        <w:t>».</w:t>
      </w:r>
      <w:r>
        <w:rPr>
          <w:spacing w:val="51"/>
        </w:rPr>
        <w:t> </w:t>
      </w:r>
      <w:r>
        <w:rPr>
          <w:i/>
        </w:rPr>
        <w:t>Investigational New Drugs </w:t>
      </w:r>
      <w:r>
        <w:rPr/>
        <w:t>30 (1): 200</w:t>
      </w:r>
      <w:r>
        <w:rPr>
          <w:rFonts w:ascii="Cambria Math" w:hAnsi="Cambria Math"/>
        </w:rPr>
        <w:t>‑</w:t>
      </w:r>
      <w:r>
        <w:rPr/>
        <w:t>211.</w:t>
      </w:r>
    </w:p>
    <w:p>
      <w:pPr>
        <w:spacing w:line="242" w:lineRule="auto" w:before="0"/>
        <w:ind w:left="836" w:right="116" w:hanging="720"/>
        <w:jc w:val="both"/>
        <w:rPr>
          <w:sz w:val="24"/>
        </w:rPr>
      </w:pPr>
      <w:r>
        <w:rPr>
          <w:sz w:val="24"/>
        </w:rPr>
        <w:t>Guo, C, S Liu, et M Sun. 2013. « Novel Insight into the Role of GAPDH Playing in Tumor ». </w:t>
      </w:r>
      <w:r>
        <w:rPr>
          <w:i/>
          <w:sz w:val="24"/>
        </w:rPr>
        <w:t>Clinical &amp; Translational Oncology: Official Publication of the Federation of Spanish </w:t>
      </w:r>
      <w:r>
        <w:rPr>
          <w:i/>
          <w:sz w:val="24"/>
        </w:rPr>
        <w:t>Oncology Societies and of the National Cancer Institute of Mexico </w:t>
      </w:r>
      <w:r>
        <w:rPr>
          <w:sz w:val="24"/>
        </w:rPr>
        <w:t>15 (3): 167</w:t>
      </w:r>
      <w:r>
        <w:rPr>
          <w:rFonts w:ascii="Cambria Math" w:hAnsi="Cambria Math"/>
          <w:sz w:val="24"/>
        </w:rPr>
        <w:t>‑</w:t>
      </w:r>
      <w:r>
        <w:rPr>
          <w:sz w:val="24"/>
        </w:rPr>
        <w:t>72.</w:t>
      </w:r>
    </w:p>
    <w:p>
      <w:pPr>
        <w:pStyle w:val="BodyText"/>
        <w:ind w:left="836" w:right="116" w:hanging="720"/>
        <w:jc w:val="both"/>
      </w:pPr>
      <w:r>
        <w:rPr/>
        <w:t>Hadad, S M, P Coates, L B Jordan, R J O Dowling, M C Chang, S J Done, C A Purdie, et al. 2015. « Evidence for Biological Effects of Metformin in Operable Breast Cancer: Biomarker Analysis in a Pre-Operative Window of Opportunity Randomized Trial ». </w:t>
      </w:r>
      <w:r>
        <w:rPr>
          <w:i/>
        </w:rPr>
        <w:t>Breast Cancer Research and Treatment </w:t>
      </w:r>
      <w:r>
        <w:rPr/>
        <w:t>150 (1): 149</w:t>
      </w:r>
      <w:r>
        <w:rPr>
          <w:rFonts w:ascii="Cambria Math" w:hAnsi="Cambria Math"/>
        </w:rPr>
        <w:t>‑</w:t>
      </w:r>
      <w:r>
        <w:rPr/>
        <w:t>55.</w:t>
      </w:r>
    </w:p>
    <w:p>
      <w:pPr>
        <w:spacing w:after="0"/>
        <w:jc w:val="both"/>
        <w:sectPr>
          <w:pgSz w:w="11910" w:h="16840"/>
          <w:pgMar w:header="0" w:footer="995" w:top="1320" w:bottom="1240" w:left="1300" w:right="1300"/>
        </w:sectPr>
      </w:pPr>
    </w:p>
    <w:p>
      <w:pPr>
        <w:pStyle w:val="BodyText"/>
        <w:spacing w:line="242" w:lineRule="auto" w:before="70"/>
        <w:ind w:left="836" w:right="117" w:hanging="720"/>
        <w:jc w:val="both"/>
      </w:pPr>
      <w:r>
        <w:rPr/>
        <w:t>Halestrap, A P. 2012. « The Monocarboxylate Transporter Family—Structure and Functional Characterization ». </w:t>
      </w:r>
      <w:r>
        <w:rPr>
          <w:i/>
        </w:rPr>
        <w:t>IUBMB Life </w:t>
      </w:r>
      <w:r>
        <w:rPr/>
        <w:t>64 (1): 1</w:t>
      </w:r>
      <w:r>
        <w:rPr>
          <w:rFonts w:ascii="Cambria Math" w:hAnsi="Cambria Math"/>
        </w:rPr>
        <w:t>‑</w:t>
      </w:r>
      <w:r>
        <w:rPr/>
        <w:t>9.</w:t>
      </w:r>
    </w:p>
    <w:p>
      <w:pPr>
        <w:pStyle w:val="BodyText"/>
        <w:ind w:left="836" w:right="112" w:hanging="720"/>
        <w:jc w:val="both"/>
      </w:pPr>
      <w:r>
        <w:rPr/>
        <w:t>Han, X, X Sheng, H M Jones, A L Jackson, J Kilgore, J E Stine, M N Schointuch, C Zhou, et V</w:t>
      </w:r>
      <w:r>
        <w:rPr>
          <w:spacing w:val="-14"/>
        </w:rPr>
        <w:t> </w:t>
      </w:r>
      <w:r>
        <w:rPr/>
        <w:t>L</w:t>
      </w:r>
      <w:r>
        <w:rPr>
          <w:spacing w:val="-16"/>
        </w:rPr>
        <w:t> </w:t>
      </w:r>
      <w:r>
        <w:rPr/>
        <w:t>Bae-Jump.</w:t>
      </w:r>
      <w:r>
        <w:rPr>
          <w:spacing w:val="-15"/>
        </w:rPr>
        <w:t> </w:t>
      </w:r>
      <w:r>
        <w:rPr/>
        <w:t>2015.</w:t>
      </w:r>
      <w:r>
        <w:rPr>
          <w:spacing w:val="-11"/>
        </w:rPr>
        <w:t> </w:t>
      </w:r>
      <w:r>
        <w:rPr/>
        <w:t>«</w:t>
      </w:r>
      <w:r>
        <w:rPr>
          <w:spacing w:val="-8"/>
        </w:rPr>
        <w:t> </w:t>
      </w:r>
      <w:r>
        <w:rPr/>
        <w:t>Evaluation</w:t>
      </w:r>
      <w:r>
        <w:rPr>
          <w:spacing w:val="-15"/>
        </w:rPr>
        <w:t> </w:t>
      </w:r>
      <w:r>
        <w:rPr/>
        <w:t>of</w:t>
      </w:r>
      <w:r>
        <w:rPr>
          <w:spacing w:val="-17"/>
        </w:rPr>
        <w:t> </w:t>
      </w:r>
      <w:r>
        <w:rPr/>
        <w:t>the</w:t>
      </w:r>
      <w:r>
        <w:rPr>
          <w:spacing w:val="-14"/>
        </w:rPr>
        <w:t> </w:t>
      </w:r>
      <w:r>
        <w:rPr/>
        <w:t>Anti-Tumor</w:t>
      </w:r>
      <w:r>
        <w:rPr>
          <w:spacing w:val="-16"/>
        </w:rPr>
        <w:t> </w:t>
      </w:r>
      <w:r>
        <w:rPr/>
        <w:t>Effects</w:t>
      </w:r>
      <w:r>
        <w:rPr>
          <w:spacing w:val="-15"/>
        </w:rPr>
        <w:t> </w:t>
      </w:r>
      <w:r>
        <w:rPr/>
        <w:t>of</w:t>
      </w:r>
      <w:r>
        <w:rPr>
          <w:spacing w:val="-12"/>
        </w:rPr>
        <w:t> </w:t>
      </w:r>
      <w:r>
        <w:rPr/>
        <w:t>Lactate</w:t>
      </w:r>
      <w:r>
        <w:rPr>
          <w:spacing w:val="-17"/>
        </w:rPr>
        <w:t> </w:t>
      </w:r>
      <w:r>
        <w:rPr/>
        <w:t>Dehydrogenase Inhibitor Galloflavin in Endometrial Cancer Cells </w:t>
      </w:r>
      <w:r>
        <w:rPr>
          <w:spacing w:val="-4"/>
        </w:rPr>
        <w:t>».</w:t>
      </w:r>
      <w:r>
        <w:rPr>
          <w:spacing w:val="51"/>
        </w:rPr>
        <w:t> </w:t>
      </w:r>
      <w:r>
        <w:rPr>
          <w:i/>
        </w:rPr>
        <w:t>Journal of Hematology &amp; </w:t>
      </w:r>
      <w:r>
        <w:rPr>
          <w:i/>
        </w:rPr>
        <w:t>Oncology </w:t>
      </w:r>
      <w:r>
        <w:rPr/>
        <w:t>4 (8):</w:t>
      </w:r>
      <w:r>
        <w:rPr>
          <w:spacing w:val="-5"/>
        </w:rPr>
        <w:t> </w:t>
      </w:r>
      <w:r>
        <w:rPr/>
        <w:t>2-14.</w:t>
      </w:r>
    </w:p>
    <w:p>
      <w:pPr>
        <w:pStyle w:val="BodyText"/>
        <w:spacing w:line="281" w:lineRule="exact" w:before="7"/>
        <w:ind w:left="116"/>
      </w:pPr>
      <w:r>
        <w:rPr/>
        <w:t>Hanahan, D, et R A Weinberg. 2000. « The Hallmarks of Cancer ». </w:t>
      </w:r>
      <w:r>
        <w:rPr>
          <w:i/>
        </w:rPr>
        <w:t>Cell </w:t>
      </w:r>
      <w:r>
        <w:rPr/>
        <w:t>100 (1): 57</w:t>
      </w:r>
      <w:r>
        <w:rPr>
          <w:rFonts w:ascii="Cambria Math" w:hAnsi="Cambria Math"/>
        </w:rPr>
        <w:t>‑</w:t>
      </w:r>
      <w:r>
        <w:rPr/>
        <w:t>70.</w:t>
      </w:r>
    </w:p>
    <w:p>
      <w:pPr>
        <w:pStyle w:val="BodyText"/>
        <w:spacing w:line="279" w:lineRule="exact"/>
        <w:ind w:left="116"/>
      </w:pPr>
      <w:r>
        <w:rPr/>
        <w:t>———. 2011. « Hallmarks of Cancer: The Next Generation ». </w:t>
      </w:r>
      <w:r>
        <w:rPr>
          <w:i/>
        </w:rPr>
        <w:t>Cell </w:t>
      </w:r>
      <w:r>
        <w:rPr/>
        <w:t>144 (5): 646</w:t>
      </w:r>
      <w:r>
        <w:rPr>
          <w:rFonts w:ascii="Cambria Math" w:hAnsi="Cambria Math"/>
        </w:rPr>
        <w:t>‑</w:t>
      </w:r>
      <w:r>
        <w:rPr/>
        <w:t>74.</w:t>
      </w:r>
    </w:p>
    <w:p>
      <w:pPr>
        <w:pStyle w:val="BodyText"/>
        <w:spacing w:line="242" w:lineRule="auto"/>
        <w:ind w:left="836" w:right="111" w:hanging="720"/>
        <w:jc w:val="both"/>
      </w:pPr>
      <w:r>
        <w:rPr/>
        <w:t>Harada, K, T Ferdous, T Harada, et Y Ueyama. 2016. « Metformin in Combination with 5- Fluorouracil Suppresses Tumor Growth by Inhibiting the Warburg Effect in Human Oral Squamous Cell Carcinoma ». </w:t>
      </w:r>
      <w:r>
        <w:rPr>
          <w:i/>
        </w:rPr>
        <w:t>International Journal of Oncology </w:t>
      </w:r>
      <w:r>
        <w:rPr/>
        <w:t>49 (1): 276</w:t>
      </w:r>
      <w:r>
        <w:rPr>
          <w:rFonts w:ascii="Cambria Math" w:hAnsi="Cambria Math"/>
        </w:rPr>
        <w:t>‑</w:t>
      </w:r>
      <w:r>
        <w:rPr/>
        <w:t>84.</w:t>
      </w:r>
    </w:p>
    <w:p>
      <w:pPr>
        <w:pStyle w:val="BodyText"/>
        <w:spacing w:line="270" w:lineRule="exact" w:before="1"/>
        <w:ind w:left="116"/>
      </w:pPr>
      <w:r>
        <w:rPr/>
        <w:t>Harguindey, S, J L Arranz, J D P Orozco, C Rauch, S Fais, R A Cardone, et S J Reshkin. 2013.</w:t>
      </w:r>
    </w:p>
    <w:p>
      <w:pPr>
        <w:pStyle w:val="BodyText"/>
        <w:ind w:left="836" w:right="113"/>
        <w:jc w:val="both"/>
      </w:pPr>
      <w:r>
        <w:rPr/>
        <w:t>« Cariporide and other new and powerful NHE1 inhibitors as potentially selective anticancer drugs – an integral molecular/biochemical/metabolic/clinical approach after one</w:t>
      </w:r>
      <w:r>
        <w:rPr>
          <w:spacing w:val="-15"/>
        </w:rPr>
        <w:t> </w:t>
      </w:r>
      <w:r>
        <w:rPr/>
        <w:t>hundred</w:t>
      </w:r>
      <w:r>
        <w:rPr>
          <w:spacing w:val="-10"/>
        </w:rPr>
        <w:t> </w:t>
      </w:r>
      <w:r>
        <w:rPr/>
        <w:t>years</w:t>
      </w:r>
      <w:r>
        <w:rPr>
          <w:spacing w:val="-15"/>
        </w:rPr>
        <w:t> </w:t>
      </w:r>
      <w:r>
        <w:rPr/>
        <w:t>of</w:t>
      </w:r>
      <w:r>
        <w:rPr>
          <w:spacing w:val="-15"/>
        </w:rPr>
        <w:t> </w:t>
      </w:r>
      <w:r>
        <w:rPr/>
        <w:t>cancer</w:t>
      </w:r>
      <w:r>
        <w:rPr>
          <w:spacing w:val="-15"/>
        </w:rPr>
        <w:t> </w:t>
      </w:r>
      <w:r>
        <w:rPr/>
        <w:t>research</w:t>
      </w:r>
      <w:r>
        <w:rPr>
          <w:spacing w:val="3"/>
        </w:rPr>
        <w:t> </w:t>
      </w:r>
      <w:r>
        <w:rPr>
          <w:spacing w:val="-4"/>
        </w:rPr>
        <w:t>».</w:t>
      </w:r>
      <w:r>
        <w:rPr>
          <w:spacing w:val="-12"/>
        </w:rPr>
        <w:t> </w:t>
      </w:r>
      <w:r>
        <w:rPr>
          <w:i/>
        </w:rPr>
        <w:t>Journal</w:t>
      </w:r>
      <w:r>
        <w:rPr>
          <w:i/>
          <w:spacing w:val="-14"/>
        </w:rPr>
        <w:t> </w:t>
      </w:r>
      <w:r>
        <w:rPr>
          <w:i/>
        </w:rPr>
        <w:t>of</w:t>
      </w:r>
      <w:r>
        <w:rPr>
          <w:i/>
          <w:spacing w:val="-14"/>
        </w:rPr>
        <w:t> </w:t>
      </w:r>
      <w:r>
        <w:rPr>
          <w:i/>
        </w:rPr>
        <w:t>Translational</w:t>
      </w:r>
      <w:r>
        <w:rPr>
          <w:i/>
          <w:spacing w:val="-16"/>
        </w:rPr>
        <w:t> </w:t>
      </w:r>
      <w:r>
        <w:rPr>
          <w:i/>
        </w:rPr>
        <w:t>Medicine</w:t>
      </w:r>
      <w:r>
        <w:rPr>
          <w:i/>
          <w:spacing w:val="-13"/>
        </w:rPr>
        <w:t> </w:t>
      </w:r>
      <w:r>
        <w:rPr/>
        <w:t>11</w:t>
      </w:r>
      <w:r>
        <w:rPr>
          <w:spacing w:val="-14"/>
        </w:rPr>
        <w:t> </w:t>
      </w:r>
      <w:r>
        <w:rPr/>
        <w:t>(11):</w:t>
      </w:r>
      <w:r>
        <w:rPr>
          <w:spacing w:val="-15"/>
        </w:rPr>
        <w:t> </w:t>
      </w:r>
      <w:r>
        <w:rPr/>
        <w:t>282- 292.</w:t>
      </w:r>
    </w:p>
    <w:p>
      <w:pPr>
        <w:pStyle w:val="BodyText"/>
        <w:spacing w:line="242" w:lineRule="auto"/>
        <w:ind w:left="836" w:right="116" w:hanging="720"/>
        <w:jc w:val="both"/>
      </w:pPr>
      <w:r>
        <w:rPr/>
        <w:t>Hatzivassiliou, G, F Zhao, D E Bauer, C Andreadis, A N Shaw, D Dhanak, S R Hingorani, D A Tuveson, et Craig B Thompson. 2005. « ATP Citrate Lyase Inhibition Can Suppress Tumor Cell Growth ». </w:t>
      </w:r>
      <w:r>
        <w:rPr>
          <w:i/>
        </w:rPr>
        <w:t>Cancer Cell </w:t>
      </w:r>
      <w:r>
        <w:rPr/>
        <w:t>8 (4): 311</w:t>
      </w:r>
      <w:r>
        <w:rPr>
          <w:rFonts w:ascii="Cambria Math" w:hAnsi="Cambria Math"/>
        </w:rPr>
        <w:t>‑</w:t>
      </w:r>
      <w:r>
        <w:rPr/>
        <w:t>21.</w:t>
      </w:r>
    </w:p>
    <w:p>
      <w:pPr>
        <w:pStyle w:val="BodyText"/>
        <w:spacing w:line="242" w:lineRule="auto"/>
        <w:ind w:left="836" w:right="113" w:hanging="720"/>
        <w:jc w:val="both"/>
      </w:pPr>
      <w:r>
        <w:rPr/>
        <w:t>Hayes, A M, V J Adams, T J Scase, et S Murphy. 2007. « Survival of 54 Cats with Oral Squamous</w:t>
      </w:r>
      <w:r>
        <w:rPr>
          <w:spacing w:val="-13"/>
        </w:rPr>
        <w:t> </w:t>
      </w:r>
      <w:r>
        <w:rPr/>
        <w:t>Cell</w:t>
      </w:r>
      <w:r>
        <w:rPr>
          <w:spacing w:val="-13"/>
        </w:rPr>
        <w:t> </w:t>
      </w:r>
      <w:r>
        <w:rPr/>
        <w:t>Carcinoma</w:t>
      </w:r>
      <w:r>
        <w:rPr>
          <w:spacing w:val="-14"/>
        </w:rPr>
        <w:t> </w:t>
      </w:r>
      <w:r>
        <w:rPr/>
        <w:t>in</w:t>
      </w:r>
      <w:r>
        <w:rPr>
          <w:spacing w:val="-13"/>
        </w:rPr>
        <w:t> </w:t>
      </w:r>
      <w:r>
        <w:rPr/>
        <w:t>United</w:t>
      </w:r>
      <w:r>
        <w:rPr>
          <w:spacing w:val="-12"/>
        </w:rPr>
        <w:t> </w:t>
      </w:r>
      <w:r>
        <w:rPr/>
        <w:t>Kingdom</w:t>
      </w:r>
      <w:r>
        <w:rPr>
          <w:spacing w:val="-13"/>
        </w:rPr>
        <w:t> </w:t>
      </w:r>
      <w:r>
        <w:rPr/>
        <w:t>General</w:t>
      </w:r>
      <w:r>
        <w:rPr>
          <w:spacing w:val="-13"/>
        </w:rPr>
        <w:t> </w:t>
      </w:r>
      <w:r>
        <w:rPr/>
        <w:t>Practice</w:t>
      </w:r>
      <w:r>
        <w:rPr>
          <w:spacing w:val="6"/>
        </w:rPr>
        <w:t> </w:t>
      </w:r>
      <w:r>
        <w:rPr>
          <w:spacing w:val="-4"/>
        </w:rPr>
        <w:t>».</w:t>
      </w:r>
      <w:r>
        <w:rPr>
          <w:spacing w:val="-9"/>
        </w:rPr>
        <w:t> </w:t>
      </w:r>
      <w:r>
        <w:rPr>
          <w:i/>
        </w:rPr>
        <w:t>The</w:t>
      </w:r>
      <w:r>
        <w:rPr>
          <w:i/>
          <w:spacing w:val="-12"/>
        </w:rPr>
        <w:t> </w:t>
      </w:r>
      <w:r>
        <w:rPr>
          <w:i/>
        </w:rPr>
        <w:t>Journal</w:t>
      </w:r>
      <w:r>
        <w:rPr>
          <w:i/>
          <w:spacing w:val="-13"/>
        </w:rPr>
        <w:t> </w:t>
      </w:r>
      <w:r>
        <w:rPr>
          <w:i/>
        </w:rPr>
        <w:t>of</w:t>
      </w:r>
      <w:r>
        <w:rPr>
          <w:i/>
          <w:spacing w:val="-13"/>
        </w:rPr>
        <w:t> </w:t>
      </w:r>
      <w:r>
        <w:rPr>
          <w:i/>
        </w:rPr>
        <w:t>Small </w:t>
      </w:r>
      <w:r>
        <w:rPr>
          <w:i/>
        </w:rPr>
        <w:t>Animal Practice </w:t>
      </w:r>
      <w:r>
        <w:rPr/>
        <w:t>48 (7):</w:t>
      </w:r>
      <w:r>
        <w:rPr>
          <w:spacing w:val="-4"/>
        </w:rPr>
        <w:t> </w:t>
      </w:r>
      <w:r>
        <w:rPr/>
        <w:t>394</w:t>
      </w:r>
      <w:r>
        <w:rPr>
          <w:rFonts w:ascii="Cambria Math" w:hAnsi="Cambria Math"/>
        </w:rPr>
        <w:t>‑</w:t>
      </w:r>
      <w:r>
        <w:rPr/>
        <w:t>99.</w:t>
      </w:r>
    </w:p>
    <w:p>
      <w:pPr>
        <w:pStyle w:val="BodyText"/>
        <w:spacing w:line="242" w:lineRule="auto" w:before="2"/>
        <w:ind w:left="836" w:right="116" w:hanging="720"/>
        <w:jc w:val="both"/>
      </w:pPr>
      <w:r>
        <w:rPr/>
        <w:t>Henning, S M, P Wang, J W Said, M Huang, T Grogan, D Elashoff, C L Carpenter, D Heber, et W J Aronson. 2015. « Randomized Clinical Trial of Brewed Green and Black Tea</w:t>
      </w:r>
      <w:r>
        <w:rPr>
          <w:spacing w:val="-22"/>
        </w:rPr>
        <w:t> </w:t>
      </w:r>
      <w:r>
        <w:rPr/>
        <w:t>in Men with Prostate Cancer Prior to Prostatectomy </w:t>
      </w:r>
      <w:r>
        <w:rPr>
          <w:spacing w:val="-3"/>
        </w:rPr>
        <w:t>». </w:t>
      </w:r>
      <w:r>
        <w:rPr>
          <w:i/>
        </w:rPr>
        <w:t>The Prostate </w:t>
      </w:r>
      <w:r>
        <w:rPr/>
        <w:t>75 (5):</w:t>
      </w:r>
      <w:r>
        <w:rPr>
          <w:spacing w:val="0"/>
        </w:rPr>
        <w:t> </w:t>
      </w:r>
      <w:r>
        <w:rPr/>
        <w:t>550</w:t>
      </w:r>
      <w:r>
        <w:rPr>
          <w:rFonts w:ascii="Cambria Math" w:hAnsi="Cambria Math"/>
        </w:rPr>
        <w:t>‑</w:t>
      </w:r>
      <w:r>
        <w:rPr/>
        <w:t>59.</w:t>
      </w:r>
    </w:p>
    <w:p>
      <w:pPr>
        <w:pStyle w:val="BodyText"/>
        <w:spacing w:line="242" w:lineRule="auto"/>
        <w:ind w:left="836" w:right="117" w:hanging="720"/>
        <w:jc w:val="both"/>
      </w:pPr>
      <w:r>
        <w:rPr/>
        <w:t>Herter, F P, S G Weissman, H G Thompson, G Hyman, et D S Martin. 1961. « Clinical Experience with 6-Aminonicotinamide ». </w:t>
      </w:r>
      <w:r>
        <w:rPr>
          <w:i/>
        </w:rPr>
        <w:t>Cancer Research </w:t>
      </w:r>
      <w:r>
        <w:rPr/>
        <w:t>21 (1): 31</w:t>
      </w:r>
      <w:r>
        <w:rPr>
          <w:rFonts w:ascii="Cambria Math" w:hAnsi="Cambria Math"/>
        </w:rPr>
        <w:t>‑</w:t>
      </w:r>
      <w:r>
        <w:rPr/>
        <w:t>37.</w:t>
      </w:r>
    </w:p>
    <w:p>
      <w:pPr>
        <w:pStyle w:val="BodyText"/>
        <w:ind w:left="836" w:right="116" w:hanging="720"/>
        <w:jc w:val="both"/>
      </w:pPr>
      <w:r>
        <w:rPr/>
        <w:t>Herzog,</w:t>
      </w:r>
      <w:r>
        <w:rPr>
          <w:spacing w:val="-4"/>
        </w:rPr>
        <w:t> </w:t>
      </w:r>
      <w:r>
        <w:rPr/>
        <w:t>T</w:t>
      </w:r>
      <w:r>
        <w:rPr>
          <w:spacing w:val="-6"/>
        </w:rPr>
        <w:t> </w:t>
      </w:r>
      <w:r>
        <w:rPr/>
        <w:t>J,</w:t>
      </w:r>
      <w:r>
        <w:rPr>
          <w:spacing w:val="-6"/>
        </w:rPr>
        <w:t> </w:t>
      </w:r>
      <w:r>
        <w:rPr/>
        <w:t>M</w:t>
      </w:r>
      <w:r>
        <w:rPr>
          <w:spacing w:val="-6"/>
        </w:rPr>
        <w:t> </w:t>
      </w:r>
      <w:r>
        <w:rPr/>
        <w:t>W</w:t>
      </w:r>
      <w:r>
        <w:rPr>
          <w:spacing w:val="-5"/>
        </w:rPr>
        <w:t> </w:t>
      </w:r>
      <w:r>
        <w:rPr/>
        <w:t>Sill,</w:t>
      </w:r>
      <w:r>
        <w:rPr>
          <w:spacing w:val="-6"/>
        </w:rPr>
        <w:t> </w:t>
      </w:r>
      <w:r>
        <w:rPr/>
        <w:t>J</w:t>
      </w:r>
      <w:r>
        <w:rPr>
          <w:spacing w:val="-3"/>
        </w:rPr>
        <w:t> </w:t>
      </w:r>
      <w:r>
        <w:rPr/>
        <w:t>L</w:t>
      </w:r>
      <w:r>
        <w:rPr>
          <w:spacing w:val="-8"/>
        </w:rPr>
        <w:t> </w:t>
      </w:r>
      <w:r>
        <w:rPr/>
        <w:t>Walker,</w:t>
      </w:r>
      <w:r>
        <w:rPr>
          <w:spacing w:val="-7"/>
        </w:rPr>
        <w:t> </w:t>
      </w:r>
      <w:r>
        <w:rPr/>
        <w:t>D</w:t>
      </w:r>
      <w:r>
        <w:rPr>
          <w:spacing w:val="-4"/>
        </w:rPr>
        <w:t> </w:t>
      </w:r>
      <w:r>
        <w:rPr/>
        <w:t>O’Malley,</w:t>
      </w:r>
      <w:r>
        <w:rPr>
          <w:spacing w:val="-4"/>
        </w:rPr>
        <w:t> </w:t>
      </w:r>
      <w:r>
        <w:rPr/>
        <w:t>M</w:t>
      </w:r>
      <w:r>
        <w:rPr>
          <w:spacing w:val="-6"/>
        </w:rPr>
        <w:t> </w:t>
      </w:r>
      <w:r>
        <w:rPr/>
        <w:t>Shahin,</w:t>
      </w:r>
      <w:r>
        <w:rPr>
          <w:spacing w:val="-6"/>
        </w:rPr>
        <w:t> </w:t>
      </w:r>
      <w:r>
        <w:rPr/>
        <w:t>K</w:t>
      </w:r>
      <w:r>
        <w:rPr>
          <w:spacing w:val="-7"/>
        </w:rPr>
        <w:t> </w:t>
      </w:r>
      <w:r>
        <w:rPr/>
        <w:t>DeGeest,</w:t>
      </w:r>
      <w:r>
        <w:rPr>
          <w:spacing w:val="-6"/>
        </w:rPr>
        <w:t> </w:t>
      </w:r>
      <w:r>
        <w:rPr/>
        <w:t>S</w:t>
      </w:r>
      <w:r>
        <w:rPr>
          <w:spacing w:val="-3"/>
        </w:rPr>
        <w:t> </w:t>
      </w:r>
      <w:r>
        <w:rPr/>
        <w:t>A</w:t>
      </w:r>
      <w:r>
        <w:rPr>
          <w:spacing w:val="-7"/>
        </w:rPr>
        <w:t> </w:t>
      </w:r>
      <w:r>
        <w:rPr/>
        <w:t>Weiner,</w:t>
      </w:r>
      <w:r>
        <w:rPr>
          <w:spacing w:val="-4"/>
        </w:rPr>
        <w:t> </w:t>
      </w:r>
      <w:r>
        <w:rPr/>
        <w:t>D</w:t>
      </w:r>
      <w:r>
        <w:rPr>
          <w:spacing w:val="-7"/>
        </w:rPr>
        <w:t> </w:t>
      </w:r>
      <w:r>
        <w:rPr/>
        <w:t>Mutch, R L DeBernardo, et S S Lentz. 2011. « A Phase II Study of Two Topotecan Regimens Evaluated in Recurrent Platinum-Sensitive Ovarian, Fallopian Tube or Primary Peritoneal</w:t>
      </w:r>
      <w:r>
        <w:rPr>
          <w:spacing w:val="-11"/>
        </w:rPr>
        <w:t> </w:t>
      </w:r>
      <w:r>
        <w:rPr/>
        <w:t>Cancer:</w:t>
      </w:r>
      <w:r>
        <w:rPr>
          <w:spacing w:val="-11"/>
        </w:rPr>
        <w:t> </w:t>
      </w:r>
      <w:r>
        <w:rPr/>
        <w:t>A</w:t>
      </w:r>
      <w:r>
        <w:rPr>
          <w:spacing w:val="-12"/>
        </w:rPr>
        <w:t> </w:t>
      </w:r>
      <w:r>
        <w:rPr/>
        <w:t>Gynecologic</w:t>
      </w:r>
      <w:r>
        <w:rPr>
          <w:spacing w:val="-12"/>
        </w:rPr>
        <w:t> </w:t>
      </w:r>
      <w:r>
        <w:rPr/>
        <w:t>Oncology</w:t>
      </w:r>
      <w:r>
        <w:rPr>
          <w:spacing w:val="-16"/>
        </w:rPr>
        <w:t> </w:t>
      </w:r>
      <w:r>
        <w:rPr/>
        <w:t>Group</w:t>
      </w:r>
      <w:r>
        <w:rPr>
          <w:spacing w:val="-11"/>
        </w:rPr>
        <w:t> </w:t>
      </w:r>
      <w:r>
        <w:rPr/>
        <w:t>Study</w:t>
      </w:r>
      <w:r>
        <w:rPr>
          <w:spacing w:val="-18"/>
        </w:rPr>
        <w:t> </w:t>
      </w:r>
      <w:r>
        <w:rPr/>
        <w:t>(GOG</w:t>
      </w:r>
      <w:r>
        <w:rPr>
          <w:spacing w:val="-12"/>
        </w:rPr>
        <w:t> </w:t>
      </w:r>
      <w:r>
        <w:rPr/>
        <w:t>146Q)</w:t>
      </w:r>
      <w:r>
        <w:rPr>
          <w:spacing w:val="3"/>
        </w:rPr>
        <w:t> </w:t>
      </w:r>
      <w:r>
        <w:rPr>
          <w:spacing w:val="-4"/>
        </w:rPr>
        <w:t>».</w:t>
      </w:r>
      <w:r>
        <w:rPr>
          <w:spacing w:val="-6"/>
        </w:rPr>
        <w:t> </w:t>
      </w:r>
      <w:r>
        <w:rPr>
          <w:i/>
        </w:rPr>
        <w:t>Gynecologic </w:t>
      </w:r>
      <w:r>
        <w:rPr>
          <w:i/>
        </w:rPr>
        <w:t>Oncology </w:t>
      </w:r>
      <w:r>
        <w:rPr/>
        <w:t>120 (3):</w:t>
      </w:r>
      <w:r>
        <w:rPr>
          <w:spacing w:val="-4"/>
        </w:rPr>
        <w:t> </w:t>
      </w:r>
      <w:r>
        <w:rPr/>
        <w:t>454</w:t>
      </w:r>
      <w:r>
        <w:rPr>
          <w:rFonts w:ascii="Cambria Math" w:hAnsi="Cambria Math"/>
        </w:rPr>
        <w:t>‑</w:t>
      </w:r>
      <w:r>
        <w:rPr/>
        <w:t>58.</w:t>
      </w:r>
    </w:p>
    <w:p>
      <w:pPr>
        <w:pStyle w:val="BodyText"/>
        <w:spacing w:line="272" w:lineRule="exact"/>
        <w:ind w:left="116"/>
      </w:pPr>
      <w:r>
        <w:rPr/>
        <w:t>Heshe, D, S Hoogestraat, C Brauckmann, U Karst, J Boos, et C Lanvers-Kaminsky. 2011.</w:t>
      </w:r>
    </w:p>
    <w:p>
      <w:pPr>
        <w:spacing w:line="242" w:lineRule="auto" w:before="0"/>
        <w:ind w:left="836" w:right="121" w:firstLine="0"/>
        <w:jc w:val="both"/>
        <w:rPr>
          <w:sz w:val="24"/>
        </w:rPr>
      </w:pPr>
      <w:r>
        <w:rPr>
          <w:sz w:val="24"/>
        </w:rPr>
        <w:t>« Dichloroacetate Metabolically Targeted Therapy Defeats Cytotoxicity of Standard Anticancer Drugs ». </w:t>
      </w:r>
      <w:r>
        <w:rPr>
          <w:i/>
          <w:sz w:val="24"/>
        </w:rPr>
        <w:t>Cancer Chemotherapy and Pharmacology </w:t>
      </w:r>
      <w:r>
        <w:rPr>
          <w:sz w:val="24"/>
        </w:rPr>
        <w:t>67 (3): 647</w:t>
      </w:r>
      <w:r>
        <w:rPr>
          <w:rFonts w:ascii="Cambria Math" w:hAnsi="Cambria Math"/>
          <w:sz w:val="24"/>
        </w:rPr>
        <w:t>‑</w:t>
      </w:r>
      <w:r>
        <w:rPr>
          <w:sz w:val="24"/>
        </w:rPr>
        <w:t>55.</w:t>
      </w:r>
    </w:p>
    <w:p>
      <w:pPr>
        <w:pStyle w:val="BodyText"/>
        <w:ind w:left="836" w:right="114" w:hanging="720"/>
        <w:jc w:val="both"/>
      </w:pPr>
      <w:r>
        <w:rPr/>
        <w:t>Higurashi, T, K Hosono, H Takahashi, Y Komiya, S Umezawa, E Sakai, T Uchiyama, et al. 2016. « Metformin for Chemoprevention of Metachronous Colorectal Adenoma or Polyps in Post-Polypectomy Patients without Diabetes: A Multicentre Double-Blind, Placebo-Controlled, Randomised Phase 3 Trial </w:t>
      </w:r>
      <w:r>
        <w:rPr>
          <w:spacing w:val="-4"/>
        </w:rPr>
        <w:t>». </w:t>
      </w:r>
      <w:r>
        <w:rPr>
          <w:i/>
        </w:rPr>
        <w:t>The Lancet Oncology </w:t>
      </w:r>
      <w:r>
        <w:rPr/>
        <w:t>17 (4):</w:t>
      </w:r>
      <w:r>
        <w:rPr>
          <w:spacing w:val="-35"/>
        </w:rPr>
        <w:t> </w:t>
      </w:r>
      <w:r>
        <w:rPr/>
        <w:t>475</w:t>
      </w:r>
      <w:r>
        <w:rPr>
          <w:rFonts w:ascii="Cambria Math" w:hAnsi="Cambria Math"/>
        </w:rPr>
        <w:t>‑</w:t>
      </w:r>
      <w:r>
        <w:rPr/>
        <w:t>83.</w:t>
      </w:r>
    </w:p>
    <w:p>
      <w:pPr>
        <w:spacing w:line="242" w:lineRule="auto" w:before="0"/>
        <w:ind w:left="836" w:right="115" w:hanging="720"/>
        <w:jc w:val="both"/>
        <w:rPr>
          <w:sz w:val="24"/>
        </w:rPr>
      </w:pPr>
      <w:r>
        <w:rPr>
          <w:sz w:val="24"/>
        </w:rPr>
        <w:t>Hill, A S, J A Werner, Q R Rogers, S L O’Neill, et M M Christopher. 2004. « Lipoic Acid Is 10 Times More Toxic in Cats than Reported in Humans, Dogs or Rats ». </w:t>
      </w:r>
      <w:r>
        <w:rPr>
          <w:i/>
          <w:sz w:val="24"/>
        </w:rPr>
        <w:t>Journal of </w:t>
      </w:r>
      <w:r>
        <w:rPr>
          <w:i/>
          <w:sz w:val="24"/>
        </w:rPr>
        <w:t>Animal Physiology and Animal Nutrition </w:t>
      </w:r>
      <w:r>
        <w:rPr>
          <w:sz w:val="24"/>
        </w:rPr>
        <w:t>88 (3</w:t>
      </w:r>
      <w:r>
        <w:rPr>
          <w:rFonts w:ascii="Cambria Math" w:hAnsi="Cambria Math"/>
          <w:sz w:val="24"/>
        </w:rPr>
        <w:t>‑</w:t>
      </w:r>
      <w:r>
        <w:rPr>
          <w:sz w:val="24"/>
        </w:rPr>
        <w:t>4): 150</w:t>
      </w:r>
      <w:r>
        <w:rPr>
          <w:rFonts w:ascii="Cambria Math" w:hAnsi="Cambria Math"/>
          <w:sz w:val="24"/>
        </w:rPr>
        <w:t>‑</w:t>
      </w:r>
      <w:r>
        <w:rPr>
          <w:sz w:val="24"/>
        </w:rPr>
        <w:t>56.</w:t>
      </w:r>
    </w:p>
    <w:p>
      <w:pPr>
        <w:pStyle w:val="BodyText"/>
        <w:spacing w:line="242" w:lineRule="auto"/>
        <w:ind w:left="836" w:right="112" w:hanging="720"/>
        <w:jc w:val="both"/>
      </w:pPr>
      <w:r>
        <w:rPr/>
        <w:t>Hirschey, M D, R J DeBerardinis, A M E Diehl, J E Drew, C Frezza, M F Green, L W Jones, et al. 2015. « Dysregulated metabolism contributes to oncogenesis ». </w:t>
      </w:r>
      <w:r>
        <w:rPr>
          <w:i/>
        </w:rPr>
        <w:t>Seminars in </w:t>
      </w:r>
      <w:r>
        <w:rPr>
          <w:i/>
        </w:rPr>
        <w:t>Cancer Biology </w:t>
      </w:r>
      <w:r>
        <w:rPr/>
        <w:t>12 (35):129</w:t>
      </w:r>
      <w:r>
        <w:rPr>
          <w:rFonts w:ascii="Cambria Math" w:hAnsi="Cambria Math"/>
        </w:rPr>
        <w:t>‑</w:t>
      </w:r>
      <w:r>
        <w:rPr/>
        <w:t>50.</w:t>
      </w:r>
    </w:p>
    <w:p>
      <w:pPr>
        <w:pStyle w:val="BodyText"/>
        <w:spacing w:line="242" w:lineRule="auto"/>
        <w:ind w:left="836" w:right="116" w:hanging="720"/>
        <w:jc w:val="both"/>
      </w:pPr>
      <w:r>
        <w:rPr/>
        <w:t>Hitosugi, T, L Zhou, S Elf, J Fan, H Kang, J H Seo, C Shan, et al. 2012. « Phosphoglycerate Mutase 1 Coordinates Glycolysis and Biosynthesis to Promote Tumor Growth ». </w:t>
      </w:r>
      <w:r>
        <w:rPr>
          <w:i/>
        </w:rPr>
        <w:t>Cancer Cell </w:t>
      </w:r>
      <w:r>
        <w:rPr/>
        <w:t>22 (5): 585</w:t>
      </w:r>
      <w:r>
        <w:rPr>
          <w:rFonts w:ascii="Cambria Math" w:hAnsi="Cambria Math"/>
        </w:rPr>
        <w:t>‑</w:t>
      </w:r>
      <w:r>
        <w:rPr/>
        <w:t>600.</w:t>
      </w:r>
    </w:p>
    <w:p>
      <w:pPr>
        <w:spacing w:after="0" w:line="242" w:lineRule="auto"/>
        <w:jc w:val="both"/>
        <w:sectPr>
          <w:pgSz w:w="11910" w:h="16840"/>
          <w:pgMar w:header="0" w:footer="1055" w:top="1320" w:bottom="1240" w:left="1300" w:right="1300"/>
        </w:sectPr>
      </w:pPr>
    </w:p>
    <w:p>
      <w:pPr>
        <w:pStyle w:val="BodyText"/>
        <w:spacing w:before="70"/>
        <w:ind w:left="836" w:right="112" w:hanging="720"/>
        <w:jc w:val="both"/>
      </w:pPr>
      <w:r>
        <w:rPr/>
        <w:t>Hulleman, E, K M Kazemier, A Holleman, D J VanderWeele, C M Rudin, M J C Broekhuis, W E Evans, R Pieters, et M L Den Boer. 2009. « Inhibition of Glycolysis Modulates Prednisolone Resistance in Acute Lymphoblastic Leukemia Cells ». </w:t>
      </w:r>
      <w:r>
        <w:rPr>
          <w:i/>
        </w:rPr>
        <w:t>Blood </w:t>
      </w:r>
      <w:r>
        <w:rPr/>
        <w:t>113 (9): 2014</w:t>
      </w:r>
      <w:r>
        <w:rPr>
          <w:rFonts w:ascii="Cambria Math" w:hAnsi="Cambria Math"/>
        </w:rPr>
        <w:t>‑</w:t>
      </w:r>
      <w:r>
        <w:rPr/>
        <w:t>21.</w:t>
      </w:r>
    </w:p>
    <w:p>
      <w:pPr>
        <w:pStyle w:val="BodyText"/>
        <w:spacing w:line="275" w:lineRule="exact"/>
        <w:ind w:left="116"/>
      </w:pPr>
      <w:r>
        <w:rPr/>
        <w:t>Hurvitz, S A, F Andre, Z Jiang, Z Shao, M S Mano, S P Neciosup, L Tseng, et al. 2015.</w:t>
      </w:r>
    </w:p>
    <w:p>
      <w:pPr>
        <w:pStyle w:val="BodyText"/>
        <w:spacing w:line="242" w:lineRule="auto"/>
        <w:ind w:left="836" w:right="115"/>
        <w:jc w:val="both"/>
      </w:pPr>
      <w:r>
        <w:rPr/>
        <w:t>«</w:t>
      </w:r>
      <w:r>
        <w:rPr>
          <w:spacing w:val="-4"/>
        </w:rPr>
        <w:t> </w:t>
      </w:r>
      <w:r>
        <w:rPr/>
        <w:t>Combination</w:t>
      </w:r>
      <w:r>
        <w:rPr>
          <w:spacing w:val="-13"/>
        </w:rPr>
        <w:t> </w:t>
      </w:r>
      <w:r>
        <w:rPr/>
        <w:t>of</w:t>
      </w:r>
      <w:r>
        <w:rPr>
          <w:spacing w:val="-12"/>
        </w:rPr>
        <w:t> </w:t>
      </w:r>
      <w:r>
        <w:rPr/>
        <w:t>Everolimus</w:t>
      </w:r>
      <w:r>
        <w:rPr>
          <w:spacing w:val="-13"/>
        </w:rPr>
        <w:t> </w:t>
      </w:r>
      <w:r>
        <w:rPr/>
        <w:t>with</w:t>
      </w:r>
      <w:r>
        <w:rPr>
          <w:spacing w:val="-13"/>
        </w:rPr>
        <w:t> </w:t>
      </w:r>
      <w:r>
        <w:rPr/>
        <w:t>Trastuzumab</w:t>
      </w:r>
      <w:r>
        <w:rPr>
          <w:spacing w:val="-14"/>
        </w:rPr>
        <w:t> </w:t>
      </w:r>
      <w:r>
        <w:rPr/>
        <w:t>plus</w:t>
      </w:r>
      <w:r>
        <w:rPr>
          <w:spacing w:val="-13"/>
        </w:rPr>
        <w:t> </w:t>
      </w:r>
      <w:r>
        <w:rPr/>
        <w:t>Paclitaxel</w:t>
      </w:r>
      <w:r>
        <w:rPr>
          <w:spacing w:val="-13"/>
        </w:rPr>
        <w:t> </w:t>
      </w:r>
      <w:r>
        <w:rPr/>
        <w:t>as</w:t>
      </w:r>
      <w:r>
        <w:rPr>
          <w:spacing w:val="-13"/>
        </w:rPr>
        <w:t> </w:t>
      </w:r>
      <w:r>
        <w:rPr/>
        <w:t>First-Line</w:t>
      </w:r>
      <w:r>
        <w:rPr>
          <w:spacing w:val="-14"/>
        </w:rPr>
        <w:t> </w:t>
      </w:r>
      <w:r>
        <w:rPr/>
        <w:t>Treatment for Patients with HER2-Positive Advanced Breast Cancer (BOLERO-1): A Phase 3, Randomised, Double-Blind, Multicentre Trial </w:t>
      </w:r>
      <w:r>
        <w:rPr>
          <w:spacing w:val="-4"/>
        </w:rPr>
        <w:t>». </w:t>
      </w:r>
      <w:r>
        <w:rPr>
          <w:i/>
        </w:rPr>
        <w:t>The Lancet. Oncology </w:t>
      </w:r>
      <w:r>
        <w:rPr/>
        <w:t>16 (7):</w:t>
      </w:r>
      <w:r>
        <w:rPr>
          <w:spacing w:val="3"/>
        </w:rPr>
        <w:t> </w:t>
      </w:r>
      <w:r>
        <w:rPr/>
        <w:t>816</w:t>
      </w:r>
      <w:r>
        <w:rPr>
          <w:rFonts w:ascii="Cambria Math" w:hAnsi="Cambria Math"/>
        </w:rPr>
        <w:t>‑</w:t>
      </w:r>
      <w:r>
        <w:rPr/>
        <w:t>29.</w:t>
      </w:r>
    </w:p>
    <w:p>
      <w:pPr>
        <w:spacing w:line="242" w:lineRule="auto" w:before="0"/>
        <w:ind w:left="836" w:right="115" w:hanging="720"/>
        <w:jc w:val="both"/>
        <w:rPr>
          <w:sz w:val="24"/>
        </w:rPr>
      </w:pPr>
      <w:r>
        <w:rPr>
          <w:sz w:val="24"/>
        </w:rPr>
        <w:t>Icard, P, P Kafara, J Steyaert, L Schwartz, et H Lincet. 2014. « The metabolic cooperation between cells in solid cancer tumors </w:t>
      </w:r>
      <w:r>
        <w:rPr>
          <w:spacing w:val="-4"/>
          <w:sz w:val="24"/>
        </w:rPr>
        <w:t>». </w:t>
      </w:r>
      <w:r>
        <w:rPr>
          <w:i/>
          <w:sz w:val="24"/>
        </w:rPr>
        <w:t>Biochimica et Biophysica Acta (BBA) -</w:t>
      </w:r>
      <w:r>
        <w:rPr>
          <w:i/>
          <w:spacing w:val="-33"/>
          <w:sz w:val="24"/>
        </w:rPr>
        <w:t> </w:t>
      </w:r>
      <w:r>
        <w:rPr>
          <w:i/>
          <w:sz w:val="24"/>
        </w:rPr>
        <w:t>Reviews </w:t>
      </w:r>
      <w:r>
        <w:rPr>
          <w:i/>
          <w:sz w:val="24"/>
        </w:rPr>
        <w:t>on Cancer </w:t>
      </w:r>
      <w:r>
        <w:rPr>
          <w:sz w:val="24"/>
        </w:rPr>
        <w:t>1846 (1):</w:t>
      </w:r>
      <w:r>
        <w:rPr>
          <w:spacing w:val="-3"/>
          <w:sz w:val="24"/>
        </w:rPr>
        <w:t> </w:t>
      </w:r>
      <w:r>
        <w:rPr>
          <w:sz w:val="24"/>
        </w:rPr>
        <w:t>216</w:t>
      </w:r>
      <w:r>
        <w:rPr>
          <w:rFonts w:ascii="Cambria Math" w:hAnsi="Cambria Math"/>
          <w:sz w:val="24"/>
        </w:rPr>
        <w:t>‑</w:t>
      </w:r>
      <w:r>
        <w:rPr>
          <w:sz w:val="24"/>
        </w:rPr>
        <w:t>25.</w:t>
      </w:r>
    </w:p>
    <w:p>
      <w:pPr>
        <w:pStyle w:val="BodyText"/>
        <w:spacing w:line="242" w:lineRule="auto"/>
        <w:ind w:left="836" w:right="117" w:hanging="720"/>
        <w:jc w:val="both"/>
      </w:pPr>
      <w:r>
        <w:rPr/>
        <w:t>Icard, P, et H Lincet. 2013. « La tumeur cancéreuse : un parasite métabolique ? » </w:t>
      </w:r>
      <w:r>
        <w:rPr>
          <w:i/>
        </w:rPr>
        <w:t>Bulletin du </w:t>
      </w:r>
      <w:r>
        <w:rPr>
          <w:i/>
        </w:rPr>
        <w:t>Cancer </w:t>
      </w:r>
      <w:r>
        <w:rPr/>
        <w:t>100 (5): 427</w:t>
      </w:r>
      <w:r>
        <w:rPr>
          <w:rFonts w:ascii="Cambria Math" w:hAnsi="Cambria Math"/>
        </w:rPr>
        <w:t>‑</w:t>
      </w:r>
      <w:r>
        <w:rPr/>
        <w:t>33.</w:t>
      </w:r>
    </w:p>
    <w:p>
      <w:pPr>
        <w:pStyle w:val="BodyText"/>
        <w:spacing w:line="242" w:lineRule="auto"/>
        <w:ind w:left="836" w:right="113" w:hanging="720"/>
        <w:jc w:val="both"/>
      </w:pPr>
      <w:r>
        <w:rPr/>
        <w:t>Imrali, A, X Mao, M Yeste-Velasco, J Shamash, et Y Lu. 2016. « Rapamycin Inhibits Prostate Cancer Cell Growth through Cyclin D1 and Enhances the Cytotoxic Efficacy of Cisplatin ». </w:t>
      </w:r>
      <w:r>
        <w:rPr>
          <w:i/>
        </w:rPr>
        <w:t>American Journal of Cancer Research </w:t>
      </w:r>
      <w:r>
        <w:rPr/>
        <w:t>6 (8): 1772</w:t>
      </w:r>
      <w:r>
        <w:rPr>
          <w:rFonts w:ascii="Cambria Math" w:hAnsi="Cambria Math"/>
        </w:rPr>
        <w:t>‑</w:t>
      </w:r>
      <w:r>
        <w:rPr/>
        <w:t>84.</w:t>
      </w:r>
    </w:p>
    <w:p>
      <w:pPr>
        <w:spacing w:line="240" w:lineRule="auto" w:before="0"/>
        <w:ind w:left="824" w:right="111" w:hanging="708"/>
        <w:jc w:val="both"/>
        <w:rPr>
          <w:sz w:val="24"/>
        </w:rPr>
      </w:pPr>
      <w:r>
        <w:rPr>
          <w:sz w:val="24"/>
        </w:rPr>
        <w:t>Institut National de l'Environnement Industriel et des RISques. </w:t>
      </w:r>
      <w:r>
        <w:rPr>
          <w:i/>
          <w:sz w:val="24"/>
        </w:rPr>
        <w:t>INERIS - Portail Substances </w:t>
      </w:r>
      <w:r>
        <w:rPr>
          <w:i/>
          <w:sz w:val="24"/>
        </w:rPr>
        <w:t>Chimiques, accueil</w:t>
      </w:r>
      <w:r>
        <w:rPr>
          <w:sz w:val="24"/>
        </w:rPr>
        <w:t>. [en ligne], URL : </w:t>
      </w:r>
      <w:hyperlink r:id="rId75">
        <w:r>
          <w:rPr>
            <w:sz w:val="24"/>
          </w:rPr>
          <w:t>http://www.ineris.fr/substances/fr/.</w:t>
        </w:r>
      </w:hyperlink>
      <w:r>
        <w:rPr>
          <w:sz w:val="24"/>
        </w:rPr>
        <w:t>[consulté le 20 avril 2017]</w:t>
      </w:r>
    </w:p>
    <w:p>
      <w:pPr>
        <w:spacing w:line="242" w:lineRule="auto" w:before="0"/>
        <w:ind w:left="836" w:right="113" w:hanging="720"/>
        <w:jc w:val="both"/>
        <w:rPr>
          <w:sz w:val="24"/>
        </w:rPr>
      </w:pPr>
      <w:r>
        <w:rPr>
          <w:sz w:val="24"/>
        </w:rPr>
        <w:t>Inoki, K, et K Guan. 2006. « Complexity of the TOR Signaling Network ». </w:t>
      </w:r>
      <w:r>
        <w:rPr>
          <w:i/>
          <w:sz w:val="24"/>
        </w:rPr>
        <w:t>Trends in Cell </w:t>
      </w:r>
      <w:r>
        <w:rPr>
          <w:i/>
          <w:sz w:val="24"/>
        </w:rPr>
        <w:t>Biology </w:t>
      </w:r>
      <w:r>
        <w:rPr>
          <w:sz w:val="24"/>
        </w:rPr>
        <w:t>16 (4): 206</w:t>
      </w:r>
      <w:r>
        <w:rPr>
          <w:rFonts w:ascii="Cambria Math" w:hAnsi="Cambria Math"/>
          <w:sz w:val="24"/>
        </w:rPr>
        <w:t>‑</w:t>
      </w:r>
      <w:r>
        <w:rPr>
          <w:sz w:val="24"/>
        </w:rPr>
        <w:t>12.</w:t>
      </w:r>
    </w:p>
    <w:p>
      <w:pPr>
        <w:pStyle w:val="BodyText"/>
        <w:spacing w:line="242" w:lineRule="auto"/>
        <w:ind w:left="836" w:right="114" w:hanging="720"/>
        <w:jc w:val="both"/>
      </w:pPr>
      <w:r>
        <w:rPr/>
        <w:t>Ja,</w:t>
      </w:r>
      <w:r>
        <w:rPr>
          <w:spacing w:val="-13"/>
        </w:rPr>
        <w:t> </w:t>
      </w:r>
      <w:r>
        <w:rPr/>
        <w:t>K,</w:t>
      </w:r>
      <w:r>
        <w:rPr>
          <w:spacing w:val="-14"/>
        </w:rPr>
        <w:t> </w:t>
      </w:r>
      <w:r>
        <w:rPr/>
        <w:t>A</w:t>
      </w:r>
      <w:r>
        <w:rPr>
          <w:spacing w:val="-14"/>
        </w:rPr>
        <w:t> </w:t>
      </w:r>
      <w:r>
        <w:rPr/>
        <w:t>Mirakian,</w:t>
      </w:r>
      <w:r>
        <w:rPr>
          <w:spacing w:val="-13"/>
        </w:rPr>
        <w:t> </w:t>
      </w:r>
      <w:r>
        <w:rPr/>
        <w:t>et</w:t>
      </w:r>
      <w:r>
        <w:rPr>
          <w:spacing w:val="-13"/>
        </w:rPr>
        <w:t> </w:t>
      </w:r>
      <w:r>
        <w:rPr/>
        <w:t>A</w:t>
      </w:r>
      <w:r>
        <w:rPr>
          <w:spacing w:val="-14"/>
        </w:rPr>
        <w:t> </w:t>
      </w:r>
      <w:r>
        <w:rPr/>
        <w:t>Kolin.</w:t>
      </w:r>
      <w:r>
        <w:rPr>
          <w:spacing w:val="-13"/>
        </w:rPr>
        <w:t> </w:t>
      </w:r>
      <w:r>
        <w:rPr/>
        <w:t>1988.</w:t>
      </w:r>
      <w:r>
        <w:rPr>
          <w:spacing w:val="-11"/>
        </w:rPr>
        <w:t> </w:t>
      </w:r>
      <w:r>
        <w:rPr/>
        <w:t>«</w:t>
      </w:r>
      <w:r>
        <w:rPr>
          <w:spacing w:val="-6"/>
        </w:rPr>
        <w:t> </w:t>
      </w:r>
      <w:r>
        <w:rPr/>
        <w:t>Antimetastatic</w:t>
      </w:r>
      <w:r>
        <w:rPr>
          <w:spacing w:val="-14"/>
        </w:rPr>
        <w:t> </w:t>
      </w:r>
      <w:r>
        <w:rPr/>
        <w:t>Effect</w:t>
      </w:r>
      <w:r>
        <w:rPr>
          <w:spacing w:val="-13"/>
        </w:rPr>
        <w:t> </w:t>
      </w:r>
      <w:r>
        <w:rPr/>
        <w:t>of</w:t>
      </w:r>
      <w:r>
        <w:rPr>
          <w:spacing w:val="-14"/>
        </w:rPr>
        <w:t> </w:t>
      </w:r>
      <w:r>
        <w:rPr/>
        <w:t>Amiloride</w:t>
      </w:r>
      <w:r>
        <w:rPr>
          <w:spacing w:val="-15"/>
        </w:rPr>
        <w:t> </w:t>
      </w:r>
      <w:r>
        <w:rPr/>
        <w:t>in</w:t>
      </w:r>
      <w:r>
        <w:rPr>
          <w:spacing w:val="-11"/>
        </w:rPr>
        <w:t> </w:t>
      </w:r>
      <w:r>
        <w:rPr/>
        <w:t>an</w:t>
      </w:r>
      <w:r>
        <w:rPr>
          <w:spacing w:val="-13"/>
        </w:rPr>
        <w:t> </w:t>
      </w:r>
      <w:r>
        <w:rPr/>
        <w:t>Animal</w:t>
      </w:r>
      <w:r>
        <w:rPr>
          <w:spacing w:val="-13"/>
        </w:rPr>
        <w:t> </w:t>
      </w:r>
      <w:r>
        <w:rPr/>
        <w:t>Tumour Model. » </w:t>
      </w:r>
      <w:r>
        <w:rPr>
          <w:i/>
        </w:rPr>
        <w:t>Anticancer Research </w:t>
      </w:r>
      <w:r>
        <w:rPr/>
        <w:t>8 (6):</w:t>
      </w:r>
      <w:r>
        <w:rPr>
          <w:spacing w:val="-9"/>
        </w:rPr>
        <w:t> </w:t>
      </w:r>
      <w:r>
        <w:rPr/>
        <w:t>1373</w:t>
      </w:r>
      <w:r>
        <w:rPr>
          <w:rFonts w:ascii="Cambria Math" w:hAnsi="Cambria Math"/>
        </w:rPr>
        <w:t>‑</w:t>
      </w:r>
      <w:r>
        <w:rPr/>
        <w:t>76.</w:t>
      </w:r>
    </w:p>
    <w:p>
      <w:pPr>
        <w:spacing w:line="240" w:lineRule="auto" w:before="0"/>
        <w:ind w:left="836" w:right="119" w:hanging="720"/>
        <w:jc w:val="both"/>
        <w:rPr>
          <w:sz w:val="24"/>
        </w:rPr>
      </w:pPr>
      <w:r>
        <w:rPr>
          <w:sz w:val="24"/>
        </w:rPr>
        <w:t>Jang, M, S S Kim, et J Lee. 2013. « Cancer Cell Metabolism: Implications for Therapeutic Targets ». </w:t>
      </w:r>
      <w:r>
        <w:rPr>
          <w:i/>
          <w:sz w:val="24"/>
        </w:rPr>
        <w:t>Experimental &amp; Molecular Medicine </w:t>
      </w:r>
      <w:r>
        <w:rPr>
          <w:sz w:val="24"/>
        </w:rPr>
        <w:t>45 (10): 45-56.</w:t>
      </w:r>
    </w:p>
    <w:p>
      <w:pPr>
        <w:pStyle w:val="BodyText"/>
        <w:spacing w:before="2"/>
        <w:ind w:left="836" w:right="113" w:hanging="720"/>
        <w:jc w:val="both"/>
      </w:pPr>
      <w:r>
        <w:rPr/>
        <w:t>Jin,</w:t>
      </w:r>
      <w:r>
        <w:rPr>
          <w:spacing w:val="-6"/>
        </w:rPr>
        <w:t> </w:t>
      </w:r>
      <w:r>
        <w:rPr/>
        <w:t>G,</w:t>
      </w:r>
      <w:r>
        <w:rPr>
          <w:spacing w:val="-7"/>
        </w:rPr>
        <w:t> </w:t>
      </w:r>
      <w:r>
        <w:rPr/>
        <w:t>Z</w:t>
      </w:r>
      <w:r>
        <w:rPr>
          <w:spacing w:val="-9"/>
        </w:rPr>
        <w:t> </w:t>
      </w:r>
      <w:r>
        <w:rPr/>
        <w:t>J</w:t>
      </w:r>
      <w:r>
        <w:rPr>
          <w:spacing w:val="-4"/>
        </w:rPr>
        <w:t> </w:t>
      </w:r>
      <w:r>
        <w:rPr/>
        <w:t>Reitman,</w:t>
      </w:r>
      <w:r>
        <w:rPr>
          <w:spacing w:val="-4"/>
        </w:rPr>
        <w:t> </w:t>
      </w:r>
      <w:r>
        <w:rPr/>
        <w:t>I</w:t>
      </w:r>
      <w:r>
        <w:rPr>
          <w:spacing w:val="-12"/>
        </w:rPr>
        <w:t> </w:t>
      </w:r>
      <w:r>
        <w:rPr/>
        <w:t>Spasojevic,</w:t>
      </w:r>
      <w:r>
        <w:rPr>
          <w:spacing w:val="-4"/>
        </w:rPr>
        <w:t> </w:t>
      </w:r>
      <w:r>
        <w:rPr/>
        <w:t>I</w:t>
      </w:r>
      <w:r>
        <w:rPr>
          <w:spacing w:val="-7"/>
        </w:rPr>
        <w:t> </w:t>
      </w:r>
      <w:r>
        <w:rPr/>
        <w:t>Batinic-Haberle,</w:t>
      </w:r>
      <w:r>
        <w:rPr>
          <w:spacing w:val="-7"/>
        </w:rPr>
        <w:t> </w:t>
      </w:r>
      <w:r>
        <w:rPr/>
        <w:t>J</w:t>
      </w:r>
      <w:r>
        <w:rPr>
          <w:spacing w:val="-3"/>
        </w:rPr>
        <w:t> </w:t>
      </w:r>
      <w:r>
        <w:rPr/>
        <w:t>Yang,</w:t>
      </w:r>
      <w:r>
        <w:rPr>
          <w:spacing w:val="-6"/>
        </w:rPr>
        <w:t> </w:t>
      </w:r>
      <w:r>
        <w:rPr/>
        <w:t>O</w:t>
      </w:r>
      <w:r>
        <w:rPr>
          <w:spacing w:val="-7"/>
        </w:rPr>
        <w:t> </w:t>
      </w:r>
      <w:r>
        <w:rPr/>
        <w:t>Schmidt-Kittler,</w:t>
      </w:r>
      <w:r>
        <w:rPr>
          <w:spacing w:val="-6"/>
        </w:rPr>
        <w:t> </w:t>
      </w:r>
      <w:r>
        <w:rPr/>
        <w:t>D</w:t>
      </w:r>
      <w:r>
        <w:rPr>
          <w:spacing w:val="-7"/>
        </w:rPr>
        <w:t> </w:t>
      </w:r>
      <w:r>
        <w:rPr/>
        <w:t>D</w:t>
      </w:r>
      <w:r>
        <w:rPr>
          <w:spacing w:val="-4"/>
        </w:rPr>
        <w:t> </w:t>
      </w:r>
      <w:r>
        <w:rPr/>
        <w:t>Bigner,</w:t>
      </w:r>
      <w:r>
        <w:rPr>
          <w:spacing w:val="-5"/>
        </w:rPr>
        <w:t> </w:t>
      </w:r>
      <w:r>
        <w:rPr/>
        <w:t>et H Yan. 2011. « 2-Hydroxyglutarate Production, but Not Dominant Negative Function, Is Conferred by Glioma-Derived NADP+-Dependent Isocitrate Dehydrogenase Mutations </w:t>
      </w:r>
      <w:r>
        <w:rPr>
          <w:spacing w:val="-4"/>
        </w:rPr>
        <w:t>». </w:t>
      </w:r>
      <w:r>
        <w:rPr>
          <w:i/>
        </w:rPr>
        <w:t>PLoS ONE </w:t>
      </w:r>
      <w:r>
        <w:rPr/>
        <w:t>6 (2):</w:t>
      </w:r>
      <w:r>
        <w:rPr>
          <w:spacing w:val="5"/>
        </w:rPr>
        <w:t> </w:t>
      </w:r>
      <w:r>
        <w:rPr/>
        <w:t>80-92.</w:t>
      </w:r>
    </w:p>
    <w:p>
      <w:pPr>
        <w:pStyle w:val="BodyText"/>
        <w:spacing w:line="242" w:lineRule="auto"/>
        <w:ind w:left="836" w:right="114" w:hanging="720"/>
        <w:jc w:val="both"/>
      </w:pPr>
      <w:r>
        <w:rPr/>
        <w:t>Jin, L, D Li, G N Alesi, J Fan, H Kang, Z Lu, T J Boggon, et al. 2015. « Glutamate Dehydrogenase 1 Signals through Antioxidant Glutathione Peroxidase 1 to Regulate Redox Homeostasis and Tumor Growth ». </w:t>
      </w:r>
      <w:r>
        <w:rPr>
          <w:i/>
        </w:rPr>
        <w:t>Cancer Cell </w:t>
      </w:r>
      <w:r>
        <w:rPr/>
        <w:t>27 (2): 257</w:t>
      </w:r>
      <w:r>
        <w:rPr>
          <w:rFonts w:ascii="Cambria Math" w:hAnsi="Cambria Math"/>
        </w:rPr>
        <w:t>‑</w:t>
      </w:r>
      <w:r>
        <w:rPr/>
        <w:t>70.</w:t>
      </w:r>
    </w:p>
    <w:p>
      <w:pPr>
        <w:pStyle w:val="BodyText"/>
        <w:ind w:left="836" w:right="114" w:hanging="720"/>
        <w:jc w:val="both"/>
      </w:pPr>
      <w:r>
        <w:rPr/>
        <w:t>Kaipparettu, B A, Y Ma, J H Park, T Lee, Y Zhang, P Yotnda, C J Creighton, W Chan, et L C Wong. 2013. « Crosstalk from Non-Cancerous Mitochondria Can Inhibit Tumor Properties</w:t>
      </w:r>
      <w:r>
        <w:rPr>
          <w:spacing w:val="-11"/>
        </w:rPr>
        <w:t> </w:t>
      </w:r>
      <w:r>
        <w:rPr/>
        <w:t>of</w:t>
      </w:r>
      <w:r>
        <w:rPr>
          <w:spacing w:val="-12"/>
        </w:rPr>
        <w:t> </w:t>
      </w:r>
      <w:r>
        <w:rPr/>
        <w:t>Metastatic</w:t>
      </w:r>
      <w:r>
        <w:rPr>
          <w:spacing w:val="-10"/>
        </w:rPr>
        <w:t> </w:t>
      </w:r>
      <w:r>
        <w:rPr/>
        <w:t>Cells</w:t>
      </w:r>
      <w:r>
        <w:rPr>
          <w:spacing w:val="-11"/>
        </w:rPr>
        <w:t> </w:t>
      </w:r>
      <w:r>
        <w:rPr/>
        <w:t>by</w:t>
      </w:r>
      <w:r>
        <w:rPr>
          <w:spacing w:val="-16"/>
        </w:rPr>
        <w:t> </w:t>
      </w:r>
      <w:r>
        <w:rPr/>
        <w:t>Suppressing</w:t>
      </w:r>
      <w:r>
        <w:rPr>
          <w:spacing w:val="-13"/>
        </w:rPr>
        <w:t> </w:t>
      </w:r>
      <w:r>
        <w:rPr/>
        <w:t>Oncogenic</w:t>
      </w:r>
      <w:r>
        <w:rPr>
          <w:spacing w:val="-12"/>
        </w:rPr>
        <w:t> </w:t>
      </w:r>
      <w:r>
        <w:rPr/>
        <w:t>Pathways</w:t>
      </w:r>
      <w:r>
        <w:rPr>
          <w:spacing w:val="7"/>
        </w:rPr>
        <w:t> </w:t>
      </w:r>
      <w:r>
        <w:rPr>
          <w:spacing w:val="-4"/>
        </w:rPr>
        <w:t>».</w:t>
      </w:r>
      <w:r>
        <w:rPr>
          <w:spacing w:val="-9"/>
        </w:rPr>
        <w:t> </w:t>
      </w:r>
      <w:r>
        <w:rPr>
          <w:i/>
        </w:rPr>
        <w:t>PLOS</w:t>
      </w:r>
      <w:r>
        <w:rPr>
          <w:i/>
          <w:spacing w:val="-12"/>
        </w:rPr>
        <w:t> </w:t>
      </w:r>
      <w:r>
        <w:rPr>
          <w:i/>
        </w:rPr>
        <w:t>ONE</w:t>
      </w:r>
      <w:r>
        <w:rPr>
          <w:i/>
          <w:spacing w:val="-11"/>
        </w:rPr>
        <w:t> </w:t>
      </w:r>
      <w:r>
        <w:rPr/>
        <w:t>8</w:t>
      </w:r>
      <w:r>
        <w:rPr>
          <w:spacing w:val="-11"/>
        </w:rPr>
        <w:t> </w:t>
      </w:r>
      <w:r>
        <w:rPr/>
        <w:t>(5): 47-59.</w:t>
      </w:r>
    </w:p>
    <w:p>
      <w:pPr>
        <w:pStyle w:val="BodyText"/>
        <w:spacing w:before="6"/>
        <w:ind w:left="836" w:right="114" w:hanging="720"/>
        <w:jc w:val="both"/>
      </w:pPr>
      <w:r>
        <w:rPr/>
        <w:t>Kamiyama,</w:t>
      </w:r>
      <w:r>
        <w:rPr>
          <w:spacing w:val="-12"/>
        </w:rPr>
        <w:t> </w:t>
      </w:r>
      <w:r>
        <w:rPr/>
        <w:t>H,</w:t>
      </w:r>
      <w:r>
        <w:rPr>
          <w:spacing w:val="-12"/>
        </w:rPr>
        <w:t> </w:t>
      </w:r>
      <w:r>
        <w:rPr/>
        <w:t>S</w:t>
      </w:r>
      <w:r>
        <w:rPr>
          <w:spacing w:val="-11"/>
        </w:rPr>
        <w:t> </w:t>
      </w:r>
      <w:r>
        <w:rPr/>
        <w:t>Takano,</w:t>
      </w:r>
      <w:r>
        <w:rPr>
          <w:spacing w:val="-12"/>
        </w:rPr>
        <w:t> </w:t>
      </w:r>
      <w:r>
        <w:rPr/>
        <w:t>K</w:t>
      </w:r>
      <w:r>
        <w:rPr>
          <w:spacing w:val="-13"/>
        </w:rPr>
        <w:t> </w:t>
      </w:r>
      <w:r>
        <w:rPr/>
        <w:t>Tsuboi,</w:t>
      </w:r>
      <w:r>
        <w:rPr>
          <w:spacing w:val="-12"/>
        </w:rPr>
        <w:t> </w:t>
      </w:r>
      <w:r>
        <w:rPr/>
        <w:t>et</w:t>
      </w:r>
      <w:r>
        <w:rPr>
          <w:spacing w:val="-14"/>
        </w:rPr>
        <w:t> </w:t>
      </w:r>
      <w:r>
        <w:rPr/>
        <w:t>A</w:t>
      </w:r>
      <w:r>
        <w:rPr>
          <w:spacing w:val="-13"/>
        </w:rPr>
        <w:t> </w:t>
      </w:r>
      <w:r>
        <w:rPr/>
        <w:t>Matsumura.</w:t>
      </w:r>
      <w:r>
        <w:rPr>
          <w:spacing w:val="-12"/>
        </w:rPr>
        <w:t> </w:t>
      </w:r>
      <w:r>
        <w:rPr/>
        <w:t>2005.</w:t>
      </w:r>
      <w:r>
        <w:rPr>
          <w:spacing w:val="-7"/>
        </w:rPr>
        <w:t> </w:t>
      </w:r>
      <w:r>
        <w:rPr/>
        <w:t>«</w:t>
      </w:r>
      <w:r>
        <w:rPr>
          <w:spacing w:val="-8"/>
        </w:rPr>
        <w:t> </w:t>
      </w:r>
      <w:r>
        <w:rPr/>
        <w:t>Anti-Angiogenic</w:t>
      </w:r>
      <w:r>
        <w:rPr>
          <w:spacing w:val="-13"/>
        </w:rPr>
        <w:t> </w:t>
      </w:r>
      <w:r>
        <w:rPr/>
        <w:t>Effects</w:t>
      </w:r>
      <w:r>
        <w:rPr>
          <w:spacing w:val="-11"/>
        </w:rPr>
        <w:t> </w:t>
      </w:r>
      <w:r>
        <w:rPr/>
        <w:t>of</w:t>
      </w:r>
      <w:r>
        <w:rPr>
          <w:spacing w:val="-13"/>
        </w:rPr>
        <w:t> </w:t>
      </w:r>
      <w:r>
        <w:rPr/>
        <w:t>SN38 (Active Metabolite of Irinotecan): Inhibition of Hypoxia-Inducible Factor 1 Alpha (HIF-1α)/Vascular Endothelial Growth Factor (VEGF) Expression of Glioma and Growth of Endothelial Cells </w:t>
      </w:r>
      <w:r>
        <w:rPr>
          <w:spacing w:val="-4"/>
        </w:rPr>
        <w:t>». </w:t>
      </w:r>
      <w:r>
        <w:rPr>
          <w:i/>
        </w:rPr>
        <w:t>Journal of Cancer Research and Clinical Oncology</w:t>
      </w:r>
      <w:r>
        <w:rPr>
          <w:i/>
          <w:spacing w:val="-38"/>
        </w:rPr>
        <w:t> </w:t>
      </w:r>
      <w:r>
        <w:rPr/>
        <w:t>131 (4):</w:t>
      </w:r>
      <w:r>
        <w:rPr>
          <w:spacing w:val="-3"/>
        </w:rPr>
        <w:t> </w:t>
      </w:r>
      <w:r>
        <w:rPr/>
        <w:t>205</w:t>
      </w:r>
      <w:r>
        <w:rPr>
          <w:rFonts w:ascii="Cambria Math" w:hAnsi="Cambria Math"/>
        </w:rPr>
        <w:t>‑</w:t>
      </w:r>
      <w:r>
        <w:rPr/>
        <w:t>13.</w:t>
      </w:r>
    </w:p>
    <w:p>
      <w:pPr>
        <w:pStyle w:val="BodyText"/>
        <w:ind w:left="836" w:right="113" w:hanging="720"/>
        <w:jc w:val="both"/>
      </w:pPr>
      <w:r>
        <w:rPr/>
        <w:t>Kato, Y, S Ozawa, C Miyamoto, Y M, A Suzuki, T Maeda, et Y Baba. 2013. « Acidic Extracellular</w:t>
      </w:r>
      <w:r>
        <w:rPr>
          <w:spacing w:val="-11"/>
        </w:rPr>
        <w:t> </w:t>
      </w:r>
      <w:r>
        <w:rPr/>
        <w:t>Microenvironment</w:t>
      </w:r>
      <w:r>
        <w:rPr>
          <w:spacing w:val="-10"/>
        </w:rPr>
        <w:t> </w:t>
      </w:r>
      <w:r>
        <w:rPr/>
        <w:t>and</w:t>
      </w:r>
      <w:r>
        <w:rPr>
          <w:spacing w:val="-10"/>
        </w:rPr>
        <w:t> </w:t>
      </w:r>
      <w:r>
        <w:rPr/>
        <w:t>Cancer</w:t>
      </w:r>
      <w:r>
        <w:rPr>
          <w:spacing w:val="1"/>
        </w:rPr>
        <w:t> </w:t>
      </w:r>
      <w:r>
        <w:rPr>
          <w:spacing w:val="-4"/>
        </w:rPr>
        <w:t>».</w:t>
      </w:r>
      <w:r>
        <w:rPr>
          <w:spacing w:val="-7"/>
        </w:rPr>
        <w:t> </w:t>
      </w:r>
      <w:r>
        <w:rPr>
          <w:i/>
        </w:rPr>
        <w:t>Cancer</w:t>
      </w:r>
      <w:r>
        <w:rPr>
          <w:i/>
          <w:spacing w:val="-9"/>
        </w:rPr>
        <w:t> </w:t>
      </w:r>
      <w:r>
        <w:rPr>
          <w:i/>
        </w:rPr>
        <w:t>Cell</w:t>
      </w:r>
      <w:r>
        <w:rPr>
          <w:i/>
          <w:spacing w:val="-9"/>
        </w:rPr>
        <w:t> </w:t>
      </w:r>
      <w:r>
        <w:rPr>
          <w:i/>
        </w:rPr>
        <w:t>International</w:t>
      </w:r>
      <w:r>
        <w:rPr>
          <w:i/>
          <w:spacing w:val="-7"/>
        </w:rPr>
        <w:t> </w:t>
      </w:r>
      <w:r>
        <w:rPr/>
        <w:t>13</w:t>
      </w:r>
      <w:r>
        <w:rPr>
          <w:spacing w:val="-10"/>
        </w:rPr>
        <w:t> </w:t>
      </w:r>
      <w:r>
        <w:rPr/>
        <w:t>(1):</w:t>
      </w:r>
      <w:r>
        <w:rPr>
          <w:spacing w:val="-9"/>
        </w:rPr>
        <w:t> </w:t>
      </w:r>
      <w:r>
        <w:rPr/>
        <w:t>89-98.</w:t>
      </w:r>
    </w:p>
    <w:p>
      <w:pPr>
        <w:pStyle w:val="BodyText"/>
        <w:spacing w:line="242" w:lineRule="auto" w:before="4"/>
        <w:ind w:left="836" w:right="114" w:hanging="720"/>
        <w:jc w:val="both"/>
      </w:pPr>
      <w:r>
        <w:rPr/>
        <w:t>Keith, R S Johnson, et M C Simon. 2012. « HIF1α and HIF2α: Sibling Rivalry in Hypoxic Tumour Growth and Progression ». </w:t>
      </w:r>
      <w:r>
        <w:rPr>
          <w:i/>
        </w:rPr>
        <w:t>Nature Reviews. Cancer </w:t>
      </w:r>
      <w:r>
        <w:rPr/>
        <w:t>12 (1): 9</w:t>
      </w:r>
      <w:r>
        <w:rPr>
          <w:rFonts w:ascii="Cambria Math" w:hAnsi="Cambria Math"/>
        </w:rPr>
        <w:t>‑</w:t>
      </w:r>
      <w:r>
        <w:rPr/>
        <w:t>22.</w:t>
      </w:r>
    </w:p>
    <w:p>
      <w:pPr>
        <w:pStyle w:val="BodyText"/>
        <w:spacing w:line="242" w:lineRule="auto"/>
        <w:ind w:left="836" w:right="112" w:hanging="720"/>
        <w:jc w:val="both"/>
      </w:pPr>
      <w:r>
        <w:rPr/>
        <w:t>Kiebish,</w:t>
      </w:r>
      <w:r>
        <w:rPr>
          <w:spacing w:val="-6"/>
        </w:rPr>
        <w:t> </w:t>
      </w:r>
      <w:r>
        <w:rPr/>
        <w:t>M</w:t>
      </w:r>
      <w:r>
        <w:rPr>
          <w:spacing w:val="-6"/>
        </w:rPr>
        <w:t> </w:t>
      </w:r>
      <w:r>
        <w:rPr/>
        <w:t>A,</w:t>
      </w:r>
      <w:r>
        <w:rPr>
          <w:spacing w:val="-4"/>
        </w:rPr>
        <w:t> </w:t>
      </w:r>
      <w:r>
        <w:rPr/>
        <w:t>X</w:t>
      </w:r>
      <w:r>
        <w:rPr>
          <w:spacing w:val="-7"/>
        </w:rPr>
        <w:t> </w:t>
      </w:r>
      <w:r>
        <w:rPr/>
        <w:t>Han,</w:t>
      </w:r>
      <w:r>
        <w:rPr>
          <w:spacing w:val="-6"/>
        </w:rPr>
        <w:t> </w:t>
      </w:r>
      <w:r>
        <w:rPr/>
        <w:t>H</w:t>
      </w:r>
      <w:r>
        <w:rPr>
          <w:spacing w:val="-2"/>
        </w:rPr>
        <w:t> </w:t>
      </w:r>
      <w:r>
        <w:rPr/>
        <w:t>Cheng,</w:t>
      </w:r>
      <w:r>
        <w:rPr>
          <w:spacing w:val="-4"/>
        </w:rPr>
        <w:t> </w:t>
      </w:r>
      <w:r>
        <w:rPr/>
        <w:t>J</w:t>
      </w:r>
      <w:r>
        <w:rPr>
          <w:spacing w:val="-3"/>
        </w:rPr>
        <w:t> </w:t>
      </w:r>
      <w:r>
        <w:rPr/>
        <w:t>H</w:t>
      </w:r>
      <w:r>
        <w:rPr>
          <w:spacing w:val="-7"/>
        </w:rPr>
        <w:t> </w:t>
      </w:r>
      <w:r>
        <w:rPr/>
        <w:t>Chuang,</w:t>
      </w:r>
      <w:r>
        <w:rPr>
          <w:spacing w:val="-6"/>
        </w:rPr>
        <w:t> </w:t>
      </w:r>
      <w:r>
        <w:rPr/>
        <w:t>et</w:t>
      </w:r>
      <w:r>
        <w:rPr>
          <w:spacing w:val="-4"/>
        </w:rPr>
        <w:t> </w:t>
      </w:r>
      <w:r>
        <w:rPr/>
        <w:t>T</w:t>
      </w:r>
      <w:r>
        <w:rPr>
          <w:spacing w:val="-4"/>
        </w:rPr>
        <w:t> </w:t>
      </w:r>
      <w:r>
        <w:rPr/>
        <w:t>N</w:t>
      </w:r>
      <w:r>
        <w:rPr>
          <w:spacing w:val="-7"/>
        </w:rPr>
        <w:t> </w:t>
      </w:r>
      <w:r>
        <w:rPr/>
        <w:t>Seyfried.</w:t>
      </w:r>
      <w:r>
        <w:rPr>
          <w:spacing w:val="-5"/>
        </w:rPr>
        <w:t> </w:t>
      </w:r>
      <w:r>
        <w:rPr/>
        <w:t>2008.</w:t>
      </w:r>
      <w:r>
        <w:rPr>
          <w:spacing w:val="-1"/>
        </w:rPr>
        <w:t> </w:t>
      </w:r>
      <w:r>
        <w:rPr/>
        <w:t>«</w:t>
      </w:r>
      <w:r>
        <w:rPr>
          <w:spacing w:val="-4"/>
        </w:rPr>
        <w:t> </w:t>
      </w:r>
      <w:r>
        <w:rPr/>
        <w:t>Cardiolipin</w:t>
      </w:r>
      <w:r>
        <w:rPr>
          <w:spacing w:val="-6"/>
        </w:rPr>
        <w:t> </w:t>
      </w:r>
      <w:r>
        <w:rPr/>
        <w:t>and</w:t>
      </w:r>
      <w:r>
        <w:rPr>
          <w:spacing w:val="-6"/>
        </w:rPr>
        <w:t> </w:t>
      </w:r>
      <w:r>
        <w:rPr/>
        <w:t>electron transport chain abnormalities in mouse brain tumor mitochondria: lipidomic evidence supporting</w:t>
      </w:r>
      <w:r>
        <w:rPr>
          <w:spacing w:val="-12"/>
        </w:rPr>
        <w:t> </w:t>
      </w:r>
      <w:r>
        <w:rPr/>
        <w:t>the</w:t>
      </w:r>
      <w:r>
        <w:rPr>
          <w:spacing w:val="-11"/>
        </w:rPr>
        <w:t> </w:t>
      </w:r>
      <w:r>
        <w:rPr/>
        <w:t>Warburg</w:t>
      </w:r>
      <w:r>
        <w:rPr>
          <w:spacing w:val="-12"/>
        </w:rPr>
        <w:t> </w:t>
      </w:r>
      <w:r>
        <w:rPr/>
        <w:t>theory</w:t>
      </w:r>
      <w:r>
        <w:rPr>
          <w:spacing w:val="-15"/>
        </w:rPr>
        <w:t> </w:t>
      </w:r>
      <w:r>
        <w:rPr/>
        <w:t>of</w:t>
      </w:r>
      <w:r>
        <w:rPr>
          <w:spacing w:val="-11"/>
        </w:rPr>
        <w:t> </w:t>
      </w:r>
      <w:r>
        <w:rPr/>
        <w:t>cancer</w:t>
      </w:r>
      <w:r>
        <w:rPr>
          <w:spacing w:val="5"/>
        </w:rPr>
        <w:t> </w:t>
      </w:r>
      <w:r>
        <w:rPr>
          <w:spacing w:val="-4"/>
        </w:rPr>
        <w:t>».</w:t>
      </w:r>
      <w:r>
        <w:rPr>
          <w:spacing w:val="-8"/>
        </w:rPr>
        <w:t> </w:t>
      </w:r>
      <w:r>
        <w:rPr>
          <w:i/>
        </w:rPr>
        <w:t>Journal</w:t>
      </w:r>
      <w:r>
        <w:rPr>
          <w:i/>
          <w:spacing w:val="-10"/>
        </w:rPr>
        <w:t> </w:t>
      </w:r>
      <w:r>
        <w:rPr>
          <w:i/>
        </w:rPr>
        <w:t>of</w:t>
      </w:r>
      <w:r>
        <w:rPr>
          <w:i/>
          <w:spacing w:val="-10"/>
        </w:rPr>
        <w:t> </w:t>
      </w:r>
      <w:r>
        <w:rPr>
          <w:i/>
        </w:rPr>
        <w:t>Lipid</w:t>
      </w:r>
      <w:r>
        <w:rPr>
          <w:i/>
          <w:spacing w:val="-12"/>
        </w:rPr>
        <w:t> </w:t>
      </w:r>
      <w:r>
        <w:rPr>
          <w:i/>
        </w:rPr>
        <w:t>Research</w:t>
      </w:r>
      <w:r>
        <w:rPr>
          <w:i/>
          <w:spacing w:val="-9"/>
        </w:rPr>
        <w:t> </w:t>
      </w:r>
      <w:r>
        <w:rPr/>
        <w:t>49</w:t>
      </w:r>
      <w:r>
        <w:rPr>
          <w:spacing w:val="-10"/>
        </w:rPr>
        <w:t> </w:t>
      </w:r>
      <w:r>
        <w:rPr/>
        <w:t>(12):</w:t>
      </w:r>
      <w:r>
        <w:rPr>
          <w:spacing w:val="-10"/>
        </w:rPr>
        <w:t> </w:t>
      </w:r>
      <w:r>
        <w:rPr/>
        <w:t>2545</w:t>
      </w:r>
      <w:r>
        <w:rPr>
          <w:rFonts w:ascii="Cambria Math" w:hAnsi="Cambria Math"/>
        </w:rPr>
        <w:t>‑</w:t>
      </w:r>
      <w:r>
        <w:rPr/>
        <w:t>56.</w:t>
      </w:r>
    </w:p>
    <w:p>
      <w:pPr>
        <w:spacing w:after="0" w:line="242" w:lineRule="auto"/>
        <w:jc w:val="both"/>
        <w:sectPr>
          <w:pgSz w:w="11910" w:h="16840"/>
          <w:pgMar w:header="0" w:footer="995" w:top="1320" w:bottom="1240" w:left="1300" w:right="1300"/>
        </w:sectPr>
      </w:pPr>
    </w:p>
    <w:p>
      <w:pPr>
        <w:pStyle w:val="BodyText"/>
        <w:spacing w:line="242" w:lineRule="auto" w:before="70"/>
        <w:ind w:left="836" w:right="115" w:hanging="720"/>
        <w:jc w:val="both"/>
      </w:pPr>
      <w:r>
        <w:rPr/>
        <w:t>Kim,</w:t>
      </w:r>
      <w:r>
        <w:rPr>
          <w:spacing w:val="-11"/>
        </w:rPr>
        <w:t> </w:t>
      </w:r>
      <w:r>
        <w:rPr/>
        <w:t>D</w:t>
      </w:r>
      <w:r>
        <w:rPr>
          <w:spacing w:val="-14"/>
        </w:rPr>
        <w:t> </w:t>
      </w:r>
      <w:r>
        <w:rPr/>
        <w:t>J,</w:t>
      </w:r>
      <w:r>
        <w:rPr>
          <w:spacing w:val="-11"/>
        </w:rPr>
        <w:t> </w:t>
      </w:r>
      <w:r>
        <w:rPr/>
        <w:t>Y</w:t>
      </w:r>
      <w:r>
        <w:rPr>
          <w:spacing w:val="-14"/>
        </w:rPr>
        <w:t> </w:t>
      </w:r>
      <w:r>
        <w:rPr/>
        <w:t>S</w:t>
      </w:r>
      <w:r>
        <w:rPr>
          <w:spacing w:val="-13"/>
        </w:rPr>
        <w:t> </w:t>
      </w:r>
      <w:r>
        <w:rPr/>
        <w:t>Park,</w:t>
      </w:r>
      <w:r>
        <w:rPr>
          <w:spacing w:val="-12"/>
        </w:rPr>
        <w:t> </w:t>
      </w:r>
      <w:r>
        <w:rPr/>
        <w:t>N</w:t>
      </w:r>
      <w:r>
        <w:rPr>
          <w:spacing w:val="-11"/>
        </w:rPr>
        <w:t> </w:t>
      </w:r>
      <w:r>
        <w:rPr/>
        <w:t>D</w:t>
      </w:r>
      <w:r>
        <w:rPr>
          <w:spacing w:val="-14"/>
        </w:rPr>
        <w:t> </w:t>
      </w:r>
      <w:r>
        <w:rPr/>
        <w:t>Kim,</w:t>
      </w:r>
      <w:r>
        <w:rPr>
          <w:spacing w:val="-11"/>
        </w:rPr>
        <w:t> </w:t>
      </w:r>
      <w:r>
        <w:rPr/>
        <w:t>S</w:t>
      </w:r>
      <w:r>
        <w:rPr>
          <w:spacing w:val="-13"/>
        </w:rPr>
        <w:t> </w:t>
      </w:r>
      <w:r>
        <w:rPr/>
        <w:t>H</w:t>
      </w:r>
      <w:r>
        <w:rPr>
          <w:spacing w:val="-12"/>
        </w:rPr>
        <w:t> </w:t>
      </w:r>
      <w:r>
        <w:rPr/>
        <w:t>Min,</w:t>
      </w:r>
      <w:r>
        <w:rPr>
          <w:spacing w:val="-13"/>
        </w:rPr>
        <w:t> </w:t>
      </w:r>
      <w:r>
        <w:rPr/>
        <w:t>Y</w:t>
      </w:r>
      <w:r>
        <w:rPr>
          <w:spacing w:val="-12"/>
        </w:rPr>
        <w:t> </w:t>
      </w:r>
      <w:r>
        <w:rPr/>
        <w:t>You,</w:t>
      </w:r>
      <w:r>
        <w:rPr>
          <w:spacing w:val="-12"/>
        </w:rPr>
        <w:t> </w:t>
      </w:r>
      <w:r>
        <w:rPr/>
        <w:t>Y</w:t>
      </w:r>
      <w:r>
        <w:rPr>
          <w:spacing w:val="-14"/>
        </w:rPr>
        <w:t> </w:t>
      </w:r>
      <w:r>
        <w:rPr/>
        <w:t>Jung,</w:t>
      </w:r>
      <w:r>
        <w:rPr>
          <w:spacing w:val="-11"/>
        </w:rPr>
        <w:t> </w:t>
      </w:r>
      <w:r>
        <w:rPr/>
        <w:t>H</w:t>
      </w:r>
      <w:r>
        <w:rPr>
          <w:spacing w:val="-12"/>
        </w:rPr>
        <w:t> </w:t>
      </w:r>
      <w:r>
        <w:rPr/>
        <w:t>Koo,</w:t>
      </w:r>
      <w:r>
        <w:rPr>
          <w:spacing w:val="-12"/>
        </w:rPr>
        <w:t> </w:t>
      </w:r>
      <w:r>
        <w:rPr/>
        <w:t>et</w:t>
      </w:r>
      <w:r>
        <w:rPr>
          <w:spacing w:val="-11"/>
        </w:rPr>
        <w:t> </w:t>
      </w:r>
      <w:r>
        <w:rPr/>
        <w:t>al.</w:t>
      </w:r>
      <w:r>
        <w:rPr>
          <w:spacing w:val="-13"/>
        </w:rPr>
        <w:t> </w:t>
      </w:r>
      <w:r>
        <w:rPr/>
        <w:t>2015.</w:t>
      </w:r>
      <w:r>
        <w:rPr>
          <w:spacing w:val="-13"/>
        </w:rPr>
        <w:t> </w:t>
      </w:r>
      <w:r>
        <w:rPr/>
        <w:t>«</w:t>
      </w:r>
      <w:r>
        <w:rPr>
          <w:spacing w:val="-3"/>
        </w:rPr>
        <w:t> </w:t>
      </w:r>
      <w:r>
        <w:rPr/>
        <w:t>A</w:t>
      </w:r>
      <w:r>
        <w:rPr>
          <w:spacing w:val="-12"/>
        </w:rPr>
        <w:t> </w:t>
      </w:r>
      <w:r>
        <w:rPr/>
        <w:t>Novel</w:t>
      </w:r>
      <w:r>
        <w:rPr>
          <w:spacing w:val="-11"/>
        </w:rPr>
        <w:t> </w:t>
      </w:r>
      <w:r>
        <w:rPr/>
        <w:t>Pyruvate Kinase M2 Activator Compound That Suppresses Lung Cancer Cell Viability under Hypoxia </w:t>
      </w:r>
      <w:r>
        <w:rPr>
          <w:spacing w:val="-4"/>
        </w:rPr>
        <w:t>». </w:t>
      </w:r>
      <w:r>
        <w:rPr>
          <w:i/>
        </w:rPr>
        <w:t>Molecules and Cells </w:t>
      </w:r>
      <w:r>
        <w:rPr/>
        <w:t>38 (4):</w:t>
      </w:r>
      <w:r>
        <w:rPr>
          <w:spacing w:val="1"/>
        </w:rPr>
        <w:t> </w:t>
      </w:r>
      <w:r>
        <w:rPr/>
        <w:t>373</w:t>
      </w:r>
      <w:r>
        <w:rPr>
          <w:rFonts w:ascii="Cambria Math" w:hAnsi="Cambria Math"/>
        </w:rPr>
        <w:t>‑</w:t>
      </w:r>
      <w:r>
        <w:rPr/>
        <w:t>79.</w:t>
      </w:r>
    </w:p>
    <w:p>
      <w:pPr>
        <w:pStyle w:val="BodyText"/>
        <w:ind w:left="836" w:right="113" w:hanging="720"/>
        <w:jc w:val="both"/>
      </w:pPr>
      <w:r>
        <w:rPr/>
        <w:t>Klippel, S, J Jakubikova, J Delmore, M Ooi, D McMillin, E Kastritis, J Laubach, P G Richardson, K C Anderson, et C S Mitsiades. 2012. « Methyljasmonate Displays in Vitro and in Vivo Activity against Multiple Myeloma Cells ». </w:t>
      </w:r>
      <w:r>
        <w:rPr>
          <w:i/>
        </w:rPr>
        <w:t>British Journal of </w:t>
      </w:r>
      <w:r>
        <w:rPr>
          <w:i/>
        </w:rPr>
        <w:t>Haematology </w:t>
      </w:r>
      <w:r>
        <w:rPr/>
        <w:t>159 (3): 340</w:t>
      </w:r>
      <w:r>
        <w:rPr>
          <w:rFonts w:ascii="Cambria Math" w:hAnsi="Cambria Math"/>
        </w:rPr>
        <w:t>‑</w:t>
      </w:r>
      <w:r>
        <w:rPr/>
        <w:t>51.</w:t>
      </w:r>
    </w:p>
    <w:p>
      <w:pPr>
        <w:pStyle w:val="BodyText"/>
        <w:spacing w:line="242" w:lineRule="auto"/>
        <w:ind w:left="836" w:right="114" w:hanging="720"/>
        <w:jc w:val="both"/>
      </w:pPr>
      <w:r>
        <w:rPr/>
        <w:t>Ko, Y H, P L.Pedersen, et J F Geschwind. 2001. « Glucose Catabolism in the Rabbit VX2 Tumor Model for Liver Cancer: Characterization and Targeting Hexokinase ». </w:t>
      </w:r>
      <w:r>
        <w:rPr>
          <w:i/>
        </w:rPr>
        <w:t>Cancer </w:t>
      </w:r>
      <w:r>
        <w:rPr>
          <w:i/>
        </w:rPr>
        <w:t>Letters </w:t>
      </w:r>
      <w:r>
        <w:rPr/>
        <w:t>173 (1): 83</w:t>
      </w:r>
      <w:r>
        <w:rPr>
          <w:rFonts w:ascii="Cambria Math" w:hAnsi="Cambria Math"/>
        </w:rPr>
        <w:t>‑</w:t>
      </w:r>
      <w:r>
        <w:rPr/>
        <w:t>91.</w:t>
      </w:r>
    </w:p>
    <w:p>
      <w:pPr>
        <w:pStyle w:val="BodyText"/>
        <w:ind w:left="836" w:right="110" w:hanging="720"/>
        <w:jc w:val="both"/>
      </w:pPr>
      <w:r>
        <w:rPr/>
        <w:t>Ko, Y H, B L Smith, Y Wang, M G Pomper, D A Rini, M S Torbenson, J Hullihen, et P L Pedersen.</w:t>
      </w:r>
      <w:r>
        <w:rPr>
          <w:spacing w:val="-11"/>
        </w:rPr>
        <w:t> </w:t>
      </w:r>
      <w:r>
        <w:rPr/>
        <w:t>2004.</w:t>
      </w:r>
      <w:r>
        <w:rPr>
          <w:spacing w:val="-7"/>
        </w:rPr>
        <w:t> </w:t>
      </w:r>
      <w:r>
        <w:rPr/>
        <w:t>«</w:t>
      </w:r>
      <w:r>
        <w:rPr>
          <w:spacing w:val="-6"/>
        </w:rPr>
        <w:t> </w:t>
      </w:r>
      <w:r>
        <w:rPr/>
        <w:t>Advanced</w:t>
      </w:r>
      <w:r>
        <w:rPr>
          <w:spacing w:val="-11"/>
        </w:rPr>
        <w:t> </w:t>
      </w:r>
      <w:r>
        <w:rPr/>
        <w:t>Cancers:</w:t>
      </w:r>
      <w:r>
        <w:rPr>
          <w:spacing w:val="-11"/>
        </w:rPr>
        <w:t> </w:t>
      </w:r>
      <w:r>
        <w:rPr/>
        <w:t>Eradication</w:t>
      </w:r>
      <w:r>
        <w:rPr>
          <w:spacing w:val="-9"/>
        </w:rPr>
        <w:t> </w:t>
      </w:r>
      <w:r>
        <w:rPr/>
        <w:t>in</w:t>
      </w:r>
      <w:r>
        <w:rPr>
          <w:spacing w:val="-11"/>
        </w:rPr>
        <w:t> </w:t>
      </w:r>
      <w:r>
        <w:rPr/>
        <w:t>All</w:t>
      </w:r>
      <w:r>
        <w:rPr>
          <w:spacing w:val="-11"/>
        </w:rPr>
        <w:t> </w:t>
      </w:r>
      <w:r>
        <w:rPr/>
        <w:t>Cases</w:t>
      </w:r>
      <w:r>
        <w:rPr>
          <w:spacing w:val="-11"/>
        </w:rPr>
        <w:t> </w:t>
      </w:r>
      <w:r>
        <w:rPr/>
        <w:t>Using</w:t>
      </w:r>
      <w:r>
        <w:rPr>
          <w:spacing w:val="-13"/>
        </w:rPr>
        <w:t> </w:t>
      </w:r>
      <w:r>
        <w:rPr/>
        <w:t>3-Bromopyruvate Therapy to Deplete ATP </w:t>
      </w:r>
      <w:r>
        <w:rPr>
          <w:spacing w:val="-4"/>
        </w:rPr>
        <w:t>». </w:t>
      </w:r>
      <w:r>
        <w:rPr>
          <w:i/>
        </w:rPr>
        <w:t>Biochemical and Biophysical Research Communications </w:t>
      </w:r>
      <w:r>
        <w:rPr/>
        <w:t>324 (1):</w:t>
      </w:r>
      <w:r>
        <w:rPr>
          <w:spacing w:val="-3"/>
        </w:rPr>
        <w:t> </w:t>
      </w:r>
      <w:r>
        <w:rPr/>
        <w:t>269</w:t>
      </w:r>
      <w:r>
        <w:rPr>
          <w:rFonts w:ascii="Cambria Math" w:hAnsi="Cambria Math"/>
        </w:rPr>
        <w:t>‑</w:t>
      </w:r>
      <w:r>
        <w:rPr/>
        <w:t>75.</w:t>
      </w:r>
    </w:p>
    <w:p>
      <w:pPr>
        <w:pStyle w:val="BodyText"/>
        <w:spacing w:before="3"/>
        <w:ind w:left="836" w:right="113" w:hanging="720"/>
        <w:jc w:val="both"/>
      </w:pPr>
      <w:r>
        <w:rPr/>
        <w:t>Ko Y H, H A Verhoeven, M J Lee, D J Corbin, T J Vogl, et P L Pedersen. 2012. « A Translational Study “Case Report” on the Small Molecule “Energy Blocker” 3- Bromopyruvate (3BP) as a Potent Anticancer Agent: From Bench Side to Bedside ». </w:t>
      </w:r>
      <w:r>
        <w:rPr>
          <w:i/>
        </w:rPr>
        <w:t>Journal of Bioenergetics and Biomembranes </w:t>
      </w:r>
      <w:r>
        <w:rPr/>
        <w:t>44 (1): 163</w:t>
      </w:r>
      <w:r>
        <w:rPr>
          <w:rFonts w:ascii="Cambria Math" w:hAnsi="Cambria Math"/>
        </w:rPr>
        <w:t>‑</w:t>
      </w:r>
      <w:r>
        <w:rPr/>
        <w:t>70.</w:t>
      </w:r>
    </w:p>
    <w:p>
      <w:pPr>
        <w:pStyle w:val="BodyText"/>
        <w:ind w:left="836" w:right="116" w:hanging="720"/>
        <w:jc w:val="both"/>
      </w:pPr>
      <w:r>
        <w:rPr/>
        <w:t>Kubo, T, K Fujiwara, K Hotta, T Okada, S Kuyama, S Harita, T Ninomiya, et al. 2016. « A Phase II Study of Topotecan and Cisplatin with Sequential Thoracic Radiotherapy in Elderly Patients with Small-Cell Lung Cancer: Okayama Lung Cancer Study Group 0102 ». </w:t>
      </w:r>
      <w:r>
        <w:rPr>
          <w:i/>
        </w:rPr>
        <w:t>Cancer Chemotherapy and Pharmacology</w:t>
      </w:r>
      <w:r>
        <w:rPr/>
        <w:t>, 16 (8): 3135-46.</w:t>
      </w:r>
    </w:p>
    <w:p>
      <w:pPr>
        <w:pStyle w:val="BodyText"/>
        <w:spacing w:line="242" w:lineRule="auto" w:before="3"/>
        <w:ind w:left="836" w:right="112" w:hanging="720"/>
        <w:jc w:val="both"/>
      </w:pPr>
      <w:r>
        <w:rPr/>
        <w:t>Kung, C, J Hixon, S Choe, K Marks, S Gross, E Murphy, B DeLaBarre, et al. 2012. « Small Molecule</w:t>
      </w:r>
      <w:r>
        <w:rPr>
          <w:spacing w:val="-14"/>
        </w:rPr>
        <w:t> </w:t>
      </w:r>
      <w:r>
        <w:rPr/>
        <w:t>Activation</w:t>
      </w:r>
      <w:r>
        <w:rPr>
          <w:spacing w:val="-13"/>
        </w:rPr>
        <w:t> </w:t>
      </w:r>
      <w:r>
        <w:rPr/>
        <w:t>of</w:t>
      </w:r>
      <w:r>
        <w:rPr>
          <w:spacing w:val="-14"/>
        </w:rPr>
        <w:t> </w:t>
      </w:r>
      <w:r>
        <w:rPr/>
        <w:t>PKM2</w:t>
      </w:r>
      <w:r>
        <w:rPr>
          <w:spacing w:val="-14"/>
        </w:rPr>
        <w:t> </w:t>
      </w:r>
      <w:r>
        <w:rPr/>
        <w:t>in</w:t>
      </w:r>
      <w:r>
        <w:rPr>
          <w:spacing w:val="-13"/>
        </w:rPr>
        <w:t> </w:t>
      </w:r>
      <w:r>
        <w:rPr/>
        <w:t>Cancer</w:t>
      </w:r>
      <w:r>
        <w:rPr>
          <w:spacing w:val="-14"/>
        </w:rPr>
        <w:t> </w:t>
      </w:r>
      <w:r>
        <w:rPr/>
        <w:t>Cells</w:t>
      </w:r>
      <w:r>
        <w:rPr>
          <w:spacing w:val="-11"/>
        </w:rPr>
        <w:t> </w:t>
      </w:r>
      <w:r>
        <w:rPr/>
        <w:t>Induces</w:t>
      </w:r>
      <w:r>
        <w:rPr>
          <w:spacing w:val="-13"/>
        </w:rPr>
        <w:t> </w:t>
      </w:r>
      <w:r>
        <w:rPr/>
        <w:t>Serine</w:t>
      </w:r>
      <w:r>
        <w:rPr>
          <w:spacing w:val="-14"/>
        </w:rPr>
        <w:t> </w:t>
      </w:r>
      <w:r>
        <w:rPr/>
        <w:t>Auxotrophy</w:t>
      </w:r>
      <w:r>
        <w:rPr>
          <w:spacing w:val="0"/>
        </w:rPr>
        <w:t> </w:t>
      </w:r>
      <w:r>
        <w:rPr>
          <w:spacing w:val="-3"/>
        </w:rPr>
        <w:t>».</w:t>
      </w:r>
      <w:r>
        <w:rPr>
          <w:spacing w:val="-11"/>
        </w:rPr>
        <w:t> </w:t>
      </w:r>
      <w:r>
        <w:rPr>
          <w:i/>
        </w:rPr>
        <w:t>Chemistry </w:t>
      </w:r>
      <w:r>
        <w:rPr>
          <w:i/>
        </w:rPr>
        <w:t>&amp; Biology </w:t>
      </w:r>
      <w:r>
        <w:rPr/>
        <w:t>19 (9):</w:t>
      </w:r>
      <w:r>
        <w:rPr>
          <w:spacing w:val="-4"/>
        </w:rPr>
        <w:t> </w:t>
      </w:r>
      <w:r>
        <w:rPr/>
        <w:t>1187</w:t>
      </w:r>
      <w:r>
        <w:rPr>
          <w:rFonts w:ascii="Cambria Math" w:hAnsi="Cambria Math"/>
        </w:rPr>
        <w:t>‑</w:t>
      </w:r>
      <w:r>
        <w:rPr/>
        <w:t>98.</w:t>
      </w:r>
    </w:p>
    <w:p>
      <w:pPr>
        <w:pStyle w:val="BodyText"/>
        <w:ind w:left="836" w:right="112" w:hanging="720"/>
        <w:jc w:val="both"/>
      </w:pPr>
      <w:r>
        <w:rPr/>
        <w:t>Kunjithapatham, R, J F Geschwind, P P Rao, T N Boronina, R N Cole, et S Ganapathy- Kanniappan. 2013. « Systemic administration of 3-bromopyruvate reveals its interaction with serum proteins in a rat model </w:t>
      </w:r>
      <w:r>
        <w:rPr>
          <w:spacing w:val="-4"/>
        </w:rPr>
        <w:t>». </w:t>
      </w:r>
      <w:r>
        <w:rPr>
          <w:i/>
        </w:rPr>
        <w:t>BioMed Central Research Notes </w:t>
      </w:r>
      <w:r>
        <w:rPr/>
        <w:t>3</w:t>
      </w:r>
      <w:r>
        <w:rPr>
          <w:spacing w:val="-26"/>
        </w:rPr>
        <w:t> </w:t>
      </w:r>
      <w:r>
        <w:rPr/>
        <w:t>(6): 277-89.</w:t>
      </w:r>
    </w:p>
    <w:p>
      <w:pPr>
        <w:pStyle w:val="BodyText"/>
        <w:spacing w:line="242" w:lineRule="auto" w:before="4"/>
        <w:ind w:left="836" w:right="113" w:hanging="720"/>
        <w:jc w:val="both"/>
      </w:pPr>
      <w:r>
        <w:rPr/>
        <w:t>Kuo, W, J Lin, et T K Tang. 2000. « Human Glucose-6-Phosphate Dehydrogenase (G6PD) Gene Transforms NIH 3T3 Cells and Induces Tumors in Nude Mice ». </w:t>
      </w:r>
      <w:r>
        <w:rPr>
          <w:i/>
        </w:rPr>
        <w:t>International </w:t>
      </w:r>
      <w:r>
        <w:rPr>
          <w:i/>
        </w:rPr>
        <w:t>Journal of Cancer </w:t>
      </w:r>
      <w:r>
        <w:rPr/>
        <w:t>85 (6): 857</w:t>
      </w:r>
      <w:r>
        <w:rPr>
          <w:rFonts w:ascii="Cambria Math" w:hAnsi="Cambria Math"/>
        </w:rPr>
        <w:t>‑</w:t>
      </w:r>
      <w:r>
        <w:rPr/>
        <w:t>64.</w:t>
      </w:r>
    </w:p>
    <w:p>
      <w:pPr>
        <w:pStyle w:val="BodyText"/>
        <w:spacing w:line="242" w:lineRule="auto"/>
        <w:ind w:left="836" w:right="114" w:hanging="720"/>
        <w:jc w:val="both"/>
      </w:pPr>
      <w:r>
        <w:rPr/>
        <w:t>Lane, M A, D K Ingram, et G S Roth. 1998. « 2-Deoxy-D-Glucose Feeding in Rats Mimics Physiologic Effects of Calorie Restriction ». </w:t>
      </w:r>
      <w:r>
        <w:rPr>
          <w:i/>
        </w:rPr>
        <w:t>Journal of Anti-Aging Medicine </w:t>
      </w:r>
      <w:r>
        <w:rPr/>
        <w:t>1 (4): 327</w:t>
      </w:r>
      <w:r>
        <w:rPr>
          <w:rFonts w:ascii="Cambria Math" w:hAnsi="Cambria Math"/>
        </w:rPr>
        <w:t>‑</w:t>
      </w:r>
      <w:r>
        <w:rPr/>
        <w:t>37.</w:t>
      </w:r>
    </w:p>
    <w:p>
      <w:pPr>
        <w:pStyle w:val="BodyText"/>
        <w:spacing w:line="242" w:lineRule="auto" w:before="1"/>
        <w:ind w:left="836" w:right="118" w:hanging="720"/>
        <w:jc w:val="both"/>
      </w:pPr>
      <w:r>
        <w:rPr/>
        <w:t>Lavalle, G E, C B De Campos, A C Bertagnolli, et G D Cassali. 2012. « Canine Malignant Mammary Gland Neoplasms with Advanced Clinical Staging Treated with</w:t>
      </w:r>
      <w:r>
        <w:rPr>
          <w:spacing w:val="-42"/>
        </w:rPr>
        <w:t> </w:t>
      </w:r>
      <w:r>
        <w:rPr/>
        <w:t>Carboplatin and Cyclooxygenase Inhibitors </w:t>
      </w:r>
      <w:r>
        <w:rPr>
          <w:spacing w:val="-4"/>
        </w:rPr>
        <w:t>». </w:t>
      </w:r>
      <w:r>
        <w:rPr>
          <w:i/>
        </w:rPr>
        <w:t>In Vivo </w:t>
      </w:r>
      <w:r>
        <w:rPr/>
        <w:t>26 (3):</w:t>
      </w:r>
      <w:r>
        <w:rPr>
          <w:spacing w:val="2"/>
        </w:rPr>
        <w:t> </w:t>
      </w:r>
      <w:r>
        <w:rPr/>
        <w:t>375</w:t>
      </w:r>
      <w:r>
        <w:rPr>
          <w:rFonts w:ascii="Cambria Math" w:hAnsi="Cambria Math"/>
        </w:rPr>
        <w:t>‑</w:t>
      </w:r>
      <w:r>
        <w:rPr/>
        <w:t>79.</w:t>
      </w:r>
    </w:p>
    <w:p>
      <w:pPr>
        <w:spacing w:line="240" w:lineRule="auto" w:before="0"/>
        <w:ind w:left="836" w:right="114" w:hanging="720"/>
        <w:jc w:val="both"/>
        <w:rPr>
          <w:sz w:val="24"/>
        </w:rPr>
      </w:pPr>
      <w:r>
        <w:rPr>
          <w:sz w:val="24"/>
        </w:rPr>
        <w:t>Le, A, C R Cooper, A M Gouw, R Dinavahi, A Maitra, L M Deck, R E Royer, D L Vander Jagt, G L Semenza, et C V Dang. 2010. « Inhibition of Lactate Dehydrogenase A Induces</w:t>
      </w:r>
      <w:r>
        <w:rPr>
          <w:spacing w:val="-16"/>
          <w:sz w:val="24"/>
        </w:rPr>
        <w:t> </w:t>
      </w:r>
      <w:r>
        <w:rPr>
          <w:sz w:val="24"/>
        </w:rPr>
        <w:t>Oxidative</w:t>
      </w:r>
      <w:r>
        <w:rPr>
          <w:spacing w:val="-16"/>
          <w:sz w:val="24"/>
        </w:rPr>
        <w:t> </w:t>
      </w:r>
      <w:r>
        <w:rPr>
          <w:sz w:val="24"/>
        </w:rPr>
        <w:t>Stress</w:t>
      </w:r>
      <w:r>
        <w:rPr>
          <w:spacing w:val="-13"/>
          <w:sz w:val="24"/>
        </w:rPr>
        <w:t> </w:t>
      </w:r>
      <w:r>
        <w:rPr>
          <w:sz w:val="24"/>
        </w:rPr>
        <w:t>and</w:t>
      </w:r>
      <w:r>
        <w:rPr>
          <w:spacing w:val="-13"/>
          <w:sz w:val="24"/>
        </w:rPr>
        <w:t> </w:t>
      </w:r>
      <w:r>
        <w:rPr>
          <w:sz w:val="24"/>
        </w:rPr>
        <w:t>Inhibits</w:t>
      </w:r>
      <w:r>
        <w:rPr>
          <w:spacing w:val="-15"/>
          <w:sz w:val="24"/>
        </w:rPr>
        <w:t> </w:t>
      </w:r>
      <w:r>
        <w:rPr>
          <w:sz w:val="24"/>
        </w:rPr>
        <w:t>Tumor</w:t>
      </w:r>
      <w:r>
        <w:rPr>
          <w:spacing w:val="-15"/>
          <w:sz w:val="24"/>
        </w:rPr>
        <w:t> </w:t>
      </w:r>
      <w:r>
        <w:rPr>
          <w:sz w:val="24"/>
        </w:rPr>
        <w:t>Progression</w:t>
      </w:r>
      <w:r>
        <w:rPr>
          <w:spacing w:val="3"/>
          <w:sz w:val="24"/>
        </w:rPr>
        <w:t> </w:t>
      </w:r>
      <w:r>
        <w:rPr>
          <w:spacing w:val="-4"/>
          <w:sz w:val="24"/>
        </w:rPr>
        <w:t>».</w:t>
      </w:r>
      <w:r>
        <w:rPr>
          <w:spacing w:val="-16"/>
          <w:sz w:val="24"/>
        </w:rPr>
        <w:t> </w:t>
      </w:r>
      <w:r>
        <w:rPr>
          <w:i/>
          <w:sz w:val="24"/>
        </w:rPr>
        <w:t>Proceedings</w:t>
      </w:r>
      <w:r>
        <w:rPr>
          <w:i/>
          <w:spacing w:val="-15"/>
          <w:sz w:val="24"/>
        </w:rPr>
        <w:t> </w:t>
      </w:r>
      <w:r>
        <w:rPr>
          <w:i/>
          <w:sz w:val="24"/>
        </w:rPr>
        <w:t>of</w:t>
      </w:r>
      <w:r>
        <w:rPr>
          <w:i/>
          <w:spacing w:val="-15"/>
          <w:sz w:val="24"/>
        </w:rPr>
        <w:t> </w:t>
      </w:r>
      <w:r>
        <w:rPr>
          <w:i/>
          <w:sz w:val="24"/>
        </w:rPr>
        <w:t>the</w:t>
      </w:r>
      <w:r>
        <w:rPr>
          <w:i/>
          <w:spacing w:val="-17"/>
          <w:sz w:val="24"/>
        </w:rPr>
        <w:t> </w:t>
      </w:r>
      <w:r>
        <w:rPr>
          <w:i/>
          <w:sz w:val="24"/>
        </w:rPr>
        <w:t>National </w:t>
      </w:r>
      <w:r>
        <w:rPr>
          <w:i/>
          <w:sz w:val="24"/>
        </w:rPr>
        <w:t>Academy of Sciences of the United States of America </w:t>
      </w:r>
      <w:r>
        <w:rPr>
          <w:sz w:val="24"/>
        </w:rPr>
        <w:t>107 (5):</w:t>
      </w:r>
      <w:r>
        <w:rPr>
          <w:spacing w:val="-10"/>
          <w:sz w:val="24"/>
        </w:rPr>
        <w:t> </w:t>
      </w:r>
      <w:r>
        <w:rPr>
          <w:sz w:val="24"/>
        </w:rPr>
        <w:t>2037</w:t>
      </w:r>
      <w:r>
        <w:rPr>
          <w:rFonts w:ascii="Cambria Math" w:hAnsi="Cambria Math"/>
          <w:sz w:val="24"/>
        </w:rPr>
        <w:t>‑</w:t>
      </w:r>
      <w:r>
        <w:rPr>
          <w:sz w:val="24"/>
        </w:rPr>
        <w:t>42.</w:t>
      </w:r>
    </w:p>
    <w:p>
      <w:pPr>
        <w:pStyle w:val="BodyText"/>
        <w:spacing w:before="3"/>
        <w:ind w:left="836" w:right="111" w:hanging="720"/>
        <w:jc w:val="both"/>
      </w:pPr>
      <w:r>
        <w:rPr/>
        <w:t>Lee,</w:t>
      </w:r>
      <w:r>
        <w:rPr>
          <w:spacing w:val="-10"/>
        </w:rPr>
        <w:t> </w:t>
      </w:r>
      <w:r>
        <w:rPr/>
        <w:t>K,</w:t>
      </w:r>
      <w:r>
        <w:rPr>
          <w:spacing w:val="-10"/>
        </w:rPr>
        <w:t> </w:t>
      </w:r>
      <w:r>
        <w:rPr/>
        <w:t>D</w:t>
      </w:r>
      <w:r>
        <w:rPr>
          <w:spacing w:val="-10"/>
        </w:rPr>
        <w:t> </w:t>
      </w:r>
      <w:r>
        <w:rPr/>
        <w:t>Khaira,</w:t>
      </w:r>
      <w:r>
        <w:rPr>
          <w:spacing w:val="-10"/>
        </w:rPr>
        <w:t> </w:t>
      </w:r>
      <w:r>
        <w:rPr/>
        <w:t>R</w:t>
      </w:r>
      <w:r>
        <w:rPr>
          <w:spacing w:val="-9"/>
        </w:rPr>
        <w:t> </w:t>
      </w:r>
      <w:r>
        <w:rPr/>
        <w:t>Rodriguez,</w:t>
      </w:r>
      <w:r>
        <w:rPr>
          <w:spacing w:val="-10"/>
        </w:rPr>
        <w:t> </w:t>
      </w:r>
      <w:r>
        <w:rPr/>
        <w:t>C</w:t>
      </w:r>
      <w:r>
        <w:rPr>
          <w:spacing w:val="-9"/>
        </w:rPr>
        <w:t> </w:t>
      </w:r>
      <w:r>
        <w:rPr/>
        <w:t>Maturo,</w:t>
      </w:r>
      <w:r>
        <w:rPr>
          <w:spacing w:val="-10"/>
        </w:rPr>
        <w:t> </w:t>
      </w:r>
      <w:r>
        <w:rPr/>
        <w:t>K</w:t>
      </w:r>
      <w:r>
        <w:rPr>
          <w:spacing w:val="-9"/>
        </w:rPr>
        <w:t> </w:t>
      </w:r>
      <w:r>
        <w:rPr/>
        <w:t>O’Donnell,</w:t>
      </w:r>
      <w:r>
        <w:rPr>
          <w:spacing w:val="-10"/>
        </w:rPr>
        <w:t> </w:t>
      </w:r>
      <w:r>
        <w:rPr/>
        <w:t>et</w:t>
      </w:r>
      <w:r>
        <w:rPr>
          <w:spacing w:val="-9"/>
        </w:rPr>
        <w:t> </w:t>
      </w:r>
      <w:r>
        <w:rPr/>
        <w:t>R</w:t>
      </w:r>
      <w:r>
        <w:rPr>
          <w:spacing w:val="-11"/>
        </w:rPr>
        <w:t> </w:t>
      </w:r>
      <w:r>
        <w:rPr/>
        <w:t>Shorr.</w:t>
      </w:r>
      <w:r>
        <w:rPr>
          <w:spacing w:val="-9"/>
        </w:rPr>
        <w:t> </w:t>
      </w:r>
      <w:r>
        <w:rPr/>
        <w:t>2011.</w:t>
      </w:r>
      <w:r>
        <w:rPr>
          <w:spacing w:val="-7"/>
        </w:rPr>
        <w:t> </w:t>
      </w:r>
      <w:r>
        <w:rPr/>
        <w:t>«</w:t>
      </w:r>
      <w:r>
        <w:rPr>
          <w:spacing w:val="-7"/>
        </w:rPr>
        <w:t> </w:t>
      </w:r>
      <w:r>
        <w:rPr/>
        <w:t>Long-Term</w:t>
      </w:r>
      <w:r>
        <w:rPr>
          <w:spacing w:val="-10"/>
        </w:rPr>
        <w:t> </w:t>
      </w:r>
      <w:r>
        <w:rPr/>
        <w:t>Stable Disease of Stage IV Pancreatic Neuroendocrine Tumors and Without Significant Adverse Effect </w:t>
      </w:r>
      <w:r>
        <w:rPr>
          <w:spacing w:val="1"/>
        </w:rPr>
        <w:t>by </w:t>
      </w:r>
      <w:r>
        <w:rPr/>
        <w:t>CPI-613, an Investigational Novel Anti-Cancer Agent </w:t>
      </w:r>
      <w:r>
        <w:rPr>
          <w:spacing w:val="-4"/>
        </w:rPr>
        <w:t>». </w:t>
      </w:r>
      <w:r>
        <w:rPr>
          <w:i/>
        </w:rPr>
        <w:t>Case Study </w:t>
      </w:r>
      <w:r>
        <w:rPr>
          <w:i/>
        </w:rPr>
        <w:t>and Case Report </w:t>
      </w:r>
      <w:r>
        <w:rPr/>
        <w:t>1 (3):</w:t>
      </w:r>
      <w:r>
        <w:rPr>
          <w:spacing w:val="-4"/>
        </w:rPr>
        <w:t> </w:t>
      </w:r>
      <w:r>
        <w:rPr/>
        <w:t>137</w:t>
      </w:r>
      <w:r>
        <w:rPr>
          <w:rFonts w:ascii="Cambria Math" w:hAnsi="Cambria Math"/>
        </w:rPr>
        <w:t>‑</w:t>
      </w:r>
      <w:r>
        <w:rPr/>
        <w:t>45.</w:t>
      </w:r>
    </w:p>
    <w:p>
      <w:pPr>
        <w:pStyle w:val="BodyText"/>
        <w:ind w:left="836" w:right="113" w:hanging="720"/>
        <w:jc w:val="both"/>
      </w:pPr>
      <w:r>
        <w:rPr/>
        <w:t>Lee, K, J Luddy, C Maturo, R Rodriguez, D A Levitan, D D Hurd, L R Ellis, et al. 2013. « A Phase I Study Of The Safety, Efficacy and Pharmacokinetics Of The First In Class Pyruvate Dehydrogenase Complex Inhibitor Cpi-613 In Patients With Advanced Hematologic Malignancies ». </w:t>
      </w:r>
      <w:r>
        <w:rPr>
          <w:i/>
        </w:rPr>
        <w:t>Blood </w:t>
      </w:r>
      <w:r>
        <w:rPr/>
        <w:t>122 (21): 486</w:t>
      </w:r>
      <w:r>
        <w:rPr>
          <w:rFonts w:ascii="Cambria Math" w:hAnsi="Cambria Math"/>
        </w:rPr>
        <w:t>‑</w:t>
      </w:r>
      <w:r>
        <w:rPr/>
        <w:t>97.</w:t>
      </w:r>
    </w:p>
    <w:p>
      <w:pPr>
        <w:spacing w:after="0"/>
        <w:jc w:val="both"/>
        <w:sectPr>
          <w:pgSz w:w="11910" w:h="16840"/>
          <w:pgMar w:header="0" w:footer="1055" w:top="1320" w:bottom="1240" w:left="1300" w:right="1300"/>
        </w:sectPr>
      </w:pPr>
    </w:p>
    <w:p>
      <w:pPr>
        <w:pStyle w:val="BodyText"/>
        <w:spacing w:line="242" w:lineRule="auto" w:before="70"/>
        <w:ind w:left="836" w:right="112" w:hanging="720"/>
        <w:jc w:val="both"/>
      </w:pPr>
      <w:r>
        <w:rPr/>
        <w:t>Lee, M, et J Yoon. 2015. « Metabolic Interplay between Glycolysis and Mitochondrial Oxidation: The Reverse Warburg Effect and Its Therapeutic Implication ». </w:t>
      </w:r>
      <w:r>
        <w:rPr>
          <w:i/>
        </w:rPr>
        <w:t>World </w:t>
      </w:r>
      <w:r>
        <w:rPr>
          <w:i/>
        </w:rPr>
        <w:t>Journal of Biological Chemistry </w:t>
      </w:r>
      <w:r>
        <w:rPr/>
        <w:t>6 (3): 148</w:t>
      </w:r>
      <w:r>
        <w:rPr>
          <w:rFonts w:ascii="Cambria Math" w:hAnsi="Cambria Math"/>
        </w:rPr>
        <w:t>‑</w:t>
      </w:r>
      <w:r>
        <w:rPr/>
        <w:t>61.</w:t>
      </w:r>
    </w:p>
    <w:p>
      <w:pPr>
        <w:pStyle w:val="BodyText"/>
        <w:spacing w:line="242" w:lineRule="auto"/>
        <w:ind w:left="836" w:right="113" w:hanging="720"/>
        <w:jc w:val="both"/>
      </w:pPr>
      <w:r>
        <w:rPr/>
        <w:t>Lee, Y, H Jeon, J E Hong, Y J Cho, J Y Ryu, J Choi, S H Lee, et al. 2015. « Proton Pump Inhibitors Enhance the Effects of Cytotoxic Agents in Chemoresistant Epithelial Ovarian Carcinoma ». </w:t>
      </w:r>
      <w:r>
        <w:rPr>
          <w:i/>
        </w:rPr>
        <w:t>Oncotarget </w:t>
      </w:r>
      <w:r>
        <w:rPr/>
        <w:t>6 (33): 35040</w:t>
      </w:r>
      <w:r>
        <w:rPr>
          <w:rFonts w:ascii="Cambria Math" w:hAnsi="Cambria Math"/>
        </w:rPr>
        <w:t>‑</w:t>
      </w:r>
      <w:r>
        <w:rPr/>
        <w:t>50.</w:t>
      </w:r>
    </w:p>
    <w:p>
      <w:pPr>
        <w:pStyle w:val="BodyText"/>
        <w:ind w:left="836" w:right="114" w:hanging="720"/>
        <w:jc w:val="both"/>
      </w:pPr>
      <w:r>
        <w:rPr/>
        <w:t>Lengyel, E, L M Litchfield, A K Mitra, K M Nieman, A Mukherjee, Y Zhang, A Johnson, M Bradaric, W Lee, et I L Romero. 2015. « Metformin Inhibits Ovarian Cancer Growth and Increases Sensitivity to Paclitaxel in Mouse Models ». </w:t>
      </w:r>
      <w:r>
        <w:rPr>
          <w:i/>
        </w:rPr>
        <w:t>American Journal of </w:t>
      </w:r>
      <w:r>
        <w:rPr>
          <w:i/>
        </w:rPr>
        <w:t>Obstetrics and Gynecology </w:t>
      </w:r>
      <w:r>
        <w:rPr/>
        <w:t>212 (4): 479-90.</w:t>
      </w:r>
    </w:p>
    <w:p>
      <w:pPr>
        <w:pStyle w:val="BodyText"/>
        <w:spacing w:line="242" w:lineRule="auto" w:before="2"/>
        <w:ind w:left="836" w:right="113" w:hanging="720"/>
        <w:jc w:val="both"/>
      </w:pPr>
      <w:r>
        <w:rPr/>
        <w:t>Lenz, J A, C S Robat, et T J Stein. 2016. « Vinblastine as a Second Rescue for the Treatment of Canine Multicentric Lymphoma in 39 Cases (2005 to 2014) ». </w:t>
      </w:r>
      <w:r>
        <w:rPr>
          <w:i/>
        </w:rPr>
        <w:t>Journal of Small </w:t>
      </w:r>
      <w:r>
        <w:rPr>
          <w:i/>
        </w:rPr>
        <w:t>Animal Practice </w:t>
      </w:r>
      <w:r>
        <w:rPr/>
        <w:t>57 (8): 429</w:t>
      </w:r>
      <w:r>
        <w:rPr>
          <w:rFonts w:ascii="Cambria Math" w:hAnsi="Cambria Math"/>
        </w:rPr>
        <w:t>‑</w:t>
      </w:r>
      <w:r>
        <w:rPr/>
        <w:t>34.</w:t>
      </w:r>
    </w:p>
    <w:p>
      <w:pPr>
        <w:pStyle w:val="BodyText"/>
        <w:spacing w:line="242" w:lineRule="auto"/>
        <w:ind w:left="836" w:right="112" w:hanging="720"/>
        <w:jc w:val="both"/>
      </w:pPr>
      <w:r>
        <w:rPr/>
        <w:t>Leray, V, H Dumon, L Martin, B Siliart, R Sergheraert, V Biourge, et P Nguyen. 2006. « No Effect of Conjugated Linoleic Acid or Garcinia Cambogia on Fat-Free Mass, and Energy Expenditure in Normal Cats ». </w:t>
      </w:r>
      <w:r>
        <w:rPr>
          <w:i/>
        </w:rPr>
        <w:t>The Journal of Nutrition </w:t>
      </w:r>
      <w:r>
        <w:rPr/>
        <w:t>136 (7): 1982</w:t>
      </w:r>
      <w:r>
        <w:rPr>
          <w:rFonts w:ascii="Cambria Math" w:hAnsi="Cambria Math"/>
        </w:rPr>
        <w:t>‑</w:t>
      </w:r>
      <w:r>
        <w:rPr/>
        <w:t>89.</w:t>
      </w:r>
    </w:p>
    <w:p>
      <w:pPr>
        <w:pStyle w:val="BodyText"/>
        <w:spacing w:line="242" w:lineRule="auto"/>
        <w:ind w:left="836" w:right="113" w:hanging="720"/>
        <w:jc w:val="both"/>
      </w:pPr>
      <w:r>
        <w:rPr/>
        <w:t>Levy, A G, P E Zage, L J Akers, M L Ghisoli, Z Chen, W Fang, S Kannan, et al. 2012. « The Combination of the Novel Glycolysis Inhibitor 3-BrOP and Rapamycin Is Effective against Neuroblastoma ». </w:t>
      </w:r>
      <w:r>
        <w:rPr>
          <w:i/>
        </w:rPr>
        <w:t>Investigational New Drugs </w:t>
      </w:r>
      <w:r>
        <w:rPr/>
        <w:t>30 (1): 191</w:t>
      </w:r>
      <w:r>
        <w:rPr>
          <w:rFonts w:ascii="Cambria Math" w:hAnsi="Cambria Math"/>
        </w:rPr>
        <w:t>‑</w:t>
      </w:r>
      <w:r>
        <w:rPr/>
        <w:t>99.</w:t>
      </w:r>
    </w:p>
    <w:p>
      <w:pPr>
        <w:pStyle w:val="BodyText"/>
        <w:ind w:left="836" w:right="115" w:hanging="720"/>
        <w:jc w:val="both"/>
      </w:pPr>
      <w:r>
        <w:rPr/>
        <w:t>Li, B, X Li, Z Ni, Y Zhang, Y Zeng, X Yan, Y Huang, et al. 2016. « Dichloroacetate and Metformin Synergistically</w:t>
      </w:r>
      <w:r>
        <w:rPr>
          <w:spacing w:val="-45"/>
        </w:rPr>
        <w:t> </w:t>
      </w:r>
      <w:r>
        <w:rPr/>
        <w:t>Suppress the Growth of Ovarian Cancer Cells </w:t>
      </w:r>
      <w:r>
        <w:rPr>
          <w:spacing w:val="-4"/>
        </w:rPr>
        <w:t>». </w:t>
      </w:r>
      <w:r>
        <w:rPr>
          <w:i/>
        </w:rPr>
        <w:t>Oncotarget </w:t>
      </w:r>
      <w:r>
        <w:rPr/>
        <w:t>2</w:t>
      </w:r>
      <w:r>
        <w:rPr>
          <w:spacing w:val="-3"/>
        </w:rPr>
        <w:t> </w:t>
      </w:r>
      <w:r>
        <w:rPr/>
        <w:t>(7):106-14.</w:t>
      </w:r>
    </w:p>
    <w:p>
      <w:pPr>
        <w:pStyle w:val="BodyText"/>
        <w:spacing w:line="242" w:lineRule="auto" w:before="7"/>
        <w:ind w:left="836" w:right="116" w:hanging="720"/>
        <w:jc w:val="both"/>
      </w:pPr>
      <w:r>
        <w:rPr/>
        <w:t>Li,</w:t>
      </w:r>
      <w:r>
        <w:rPr>
          <w:spacing w:val="-4"/>
        </w:rPr>
        <w:t> </w:t>
      </w:r>
      <w:r>
        <w:rPr/>
        <w:t>C,</w:t>
      </w:r>
      <w:r>
        <w:rPr>
          <w:spacing w:val="-2"/>
        </w:rPr>
        <w:t> </w:t>
      </w:r>
      <w:r>
        <w:rPr/>
        <w:t>Z</w:t>
      </w:r>
      <w:r>
        <w:rPr>
          <w:spacing w:val="-8"/>
        </w:rPr>
        <w:t> </w:t>
      </w:r>
      <w:r>
        <w:rPr/>
        <w:t>Xiao,</w:t>
      </w:r>
      <w:r>
        <w:rPr>
          <w:spacing w:val="-2"/>
        </w:rPr>
        <w:t> </w:t>
      </w:r>
      <w:r>
        <w:rPr/>
        <w:t>Z</w:t>
      </w:r>
      <w:r>
        <w:rPr>
          <w:spacing w:val="-7"/>
        </w:rPr>
        <w:t> </w:t>
      </w:r>
      <w:r>
        <w:rPr/>
        <w:t>Chen,</w:t>
      </w:r>
      <w:r>
        <w:rPr>
          <w:spacing w:val="-2"/>
        </w:rPr>
        <w:t> </w:t>
      </w:r>
      <w:r>
        <w:rPr/>
        <w:t>X</w:t>
      </w:r>
      <w:r>
        <w:rPr>
          <w:spacing w:val="-3"/>
        </w:rPr>
        <w:t> </w:t>
      </w:r>
      <w:r>
        <w:rPr/>
        <w:t>Zhang,</w:t>
      </w:r>
      <w:r>
        <w:rPr>
          <w:spacing w:val="-5"/>
        </w:rPr>
        <w:t> </w:t>
      </w:r>
      <w:r>
        <w:rPr/>
        <w:t>J Li,</w:t>
      </w:r>
      <w:r>
        <w:rPr>
          <w:spacing w:val="-4"/>
        </w:rPr>
        <w:t> </w:t>
      </w:r>
      <w:r>
        <w:rPr/>
        <w:t>X</w:t>
      </w:r>
      <w:r>
        <w:rPr>
          <w:spacing w:val="-4"/>
        </w:rPr>
        <w:t> </w:t>
      </w:r>
      <w:r>
        <w:rPr/>
        <w:t>Wu,</w:t>
      </w:r>
      <w:r>
        <w:rPr>
          <w:spacing w:val="-5"/>
        </w:rPr>
        <w:t> </w:t>
      </w:r>
      <w:r>
        <w:rPr/>
        <w:t>X Li,</w:t>
      </w:r>
      <w:r>
        <w:rPr>
          <w:spacing w:val="-5"/>
        </w:rPr>
        <w:t> </w:t>
      </w:r>
      <w:r>
        <w:rPr/>
        <w:t>et</w:t>
      </w:r>
      <w:r>
        <w:rPr>
          <w:spacing w:val="-4"/>
        </w:rPr>
        <w:t> </w:t>
      </w:r>
      <w:r>
        <w:rPr/>
        <w:t>al.</w:t>
      </w:r>
      <w:r>
        <w:rPr>
          <w:spacing w:val="-4"/>
        </w:rPr>
        <w:t> </w:t>
      </w:r>
      <w:r>
        <w:rPr/>
        <w:t>2006. «</w:t>
      </w:r>
      <w:r>
        <w:rPr>
          <w:spacing w:val="-6"/>
        </w:rPr>
        <w:t> </w:t>
      </w:r>
      <w:r>
        <w:rPr/>
        <w:t>Proteome</w:t>
      </w:r>
      <w:r>
        <w:rPr>
          <w:spacing w:val="-1"/>
        </w:rPr>
        <w:t> </w:t>
      </w:r>
      <w:r>
        <w:rPr/>
        <w:t>Analysis</w:t>
      </w:r>
      <w:r>
        <w:rPr>
          <w:spacing w:val="-4"/>
        </w:rPr>
        <w:t> </w:t>
      </w:r>
      <w:r>
        <w:rPr/>
        <w:t>of</w:t>
      </w:r>
      <w:r>
        <w:rPr>
          <w:spacing w:val="-6"/>
        </w:rPr>
        <w:t> </w:t>
      </w:r>
      <w:r>
        <w:rPr/>
        <w:t>Human Lung Squamous Carcinoma </w:t>
      </w:r>
      <w:r>
        <w:rPr>
          <w:spacing w:val="-4"/>
        </w:rPr>
        <w:t>». </w:t>
      </w:r>
      <w:r>
        <w:rPr>
          <w:i/>
        </w:rPr>
        <w:t>Proteomics </w:t>
      </w:r>
      <w:r>
        <w:rPr/>
        <w:t>6 (2):</w:t>
      </w:r>
      <w:r>
        <w:rPr>
          <w:spacing w:val="0"/>
        </w:rPr>
        <w:t> </w:t>
      </w:r>
      <w:r>
        <w:rPr/>
        <w:t>547</w:t>
      </w:r>
      <w:r>
        <w:rPr>
          <w:rFonts w:ascii="Cambria Math" w:hAnsi="Cambria Math"/>
        </w:rPr>
        <w:t>‑</w:t>
      </w:r>
      <w:r>
        <w:rPr/>
        <w:t>58.</w:t>
      </w:r>
    </w:p>
    <w:p>
      <w:pPr>
        <w:pStyle w:val="BodyText"/>
        <w:spacing w:line="272" w:lineRule="exact"/>
        <w:ind w:left="116"/>
        <w:rPr>
          <w:i/>
        </w:rPr>
      </w:pPr>
      <w:r>
        <w:rPr/>
        <w:t>Li, J, S G Kim, et J Blenis. 2014a. « Rapamycin: One Drug, Many Effects </w:t>
      </w:r>
      <w:r>
        <w:rPr>
          <w:spacing w:val="-3"/>
        </w:rPr>
        <w:t>». </w:t>
      </w:r>
      <w:r>
        <w:rPr>
          <w:i/>
        </w:rPr>
        <w:t>Cell</w:t>
      </w:r>
      <w:r>
        <w:rPr>
          <w:i/>
          <w:spacing w:val="55"/>
        </w:rPr>
        <w:t> </w:t>
      </w:r>
      <w:r>
        <w:rPr>
          <w:i/>
        </w:rPr>
        <w:t>Metabolism</w:t>
      </w:r>
    </w:p>
    <w:p>
      <w:pPr>
        <w:pStyle w:val="BodyText"/>
        <w:spacing w:line="279" w:lineRule="exact" w:before="3"/>
        <w:ind w:left="836"/>
        <w:jc w:val="both"/>
      </w:pPr>
      <w:r>
        <w:rPr/>
        <w:t>19 (3): 373</w:t>
      </w:r>
      <w:r>
        <w:rPr>
          <w:rFonts w:ascii="Cambria Math" w:hAnsi="Cambria Math"/>
        </w:rPr>
        <w:t>‑</w:t>
      </w:r>
      <w:r>
        <w:rPr/>
        <w:t>79.</w:t>
      </w:r>
    </w:p>
    <w:p>
      <w:pPr>
        <w:pStyle w:val="BodyText"/>
        <w:ind w:left="836" w:right="120" w:hanging="720"/>
        <w:jc w:val="both"/>
      </w:pPr>
      <w:r>
        <w:rPr/>
        <w:t>Li, We, J Liu, K Jackson, R Shi, et Y Zhao. 2014b. « Sensitizing the Therapeutic Efficacy of Taxol with Shikonin in Human Breast Cancer Cells ». </w:t>
      </w:r>
      <w:r>
        <w:rPr>
          <w:i/>
        </w:rPr>
        <w:t>PloS One </w:t>
      </w:r>
      <w:r>
        <w:rPr/>
        <w:t>9 (4): 79-90.</w:t>
      </w:r>
    </w:p>
    <w:p>
      <w:pPr>
        <w:pStyle w:val="BodyText"/>
        <w:spacing w:line="242" w:lineRule="auto" w:before="2"/>
        <w:ind w:left="836" w:right="114" w:hanging="720"/>
        <w:jc w:val="both"/>
      </w:pPr>
      <w:r>
        <w:rPr/>
        <w:t>Li, Y C, K P Fung, T T Kwok, C Y Lee, Y K Suen, et S K Kong. 2002. « Mitochondrial Targeting Drug Lonidamine Triggered Apoptosis in Doxorubicin-Resistant HepG2 Cells ». </w:t>
      </w:r>
      <w:r>
        <w:rPr>
          <w:i/>
        </w:rPr>
        <w:t>Life Sciences </w:t>
      </w:r>
      <w:r>
        <w:rPr/>
        <w:t>71 (23): 2729</w:t>
      </w:r>
      <w:r>
        <w:rPr>
          <w:rFonts w:ascii="Cambria Math" w:hAnsi="Cambria Math"/>
        </w:rPr>
        <w:t>‑</w:t>
      </w:r>
      <w:r>
        <w:rPr/>
        <w:t>40.</w:t>
      </w:r>
    </w:p>
    <w:p>
      <w:pPr>
        <w:pStyle w:val="BodyText"/>
        <w:spacing w:line="242" w:lineRule="auto"/>
        <w:ind w:left="836" w:right="114" w:hanging="720"/>
        <w:jc w:val="both"/>
      </w:pPr>
      <w:r>
        <w:rPr/>
        <w:t>Libby, G, L A Donnelly, P T Donnan, D R Alessi, A D Morris, et J M M Evans. 2009. « New Users</w:t>
      </w:r>
      <w:r>
        <w:rPr>
          <w:spacing w:val="-12"/>
        </w:rPr>
        <w:t> </w:t>
      </w:r>
      <w:r>
        <w:rPr/>
        <w:t>of</w:t>
      </w:r>
      <w:r>
        <w:rPr>
          <w:spacing w:val="-10"/>
        </w:rPr>
        <w:t> </w:t>
      </w:r>
      <w:r>
        <w:rPr/>
        <w:t>Metformin</w:t>
      </w:r>
      <w:r>
        <w:rPr>
          <w:spacing w:val="-11"/>
        </w:rPr>
        <w:t> </w:t>
      </w:r>
      <w:r>
        <w:rPr/>
        <w:t>Are</w:t>
      </w:r>
      <w:r>
        <w:rPr>
          <w:spacing w:val="-10"/>
        </w:rPr>
        <w:t> </w:t>
      </w:r>
      <w:r>
        <w:rPr/>
        <w:t>at</w:t>
      </w:r>
      <w:r>
        <w:rPr>
          <w:spacing w:val="-8"/>
        </w:rPr>
        <w:t> </w:t>
      </w:r>
      <w:r>
        <w:rPr/>
        <w:t>Low</w:t>
      </w:r>
      <w:r>
        <w:rPr>
          <w:spacing w:val="-12"/>
        </w:rPr>
        <w:t> </w:t>
      </w:r>
      <w:r>
        <w:rPr/>
        <w:t>Risk</w:t>
      </w:r>
      <w:r>
        <w:rPr>
          <w:spacing w:val="-10"/>
        </w:rPr>
        <w:t> </w:t>
      </w:r>
      <w:r>
        <w:rPr/>
        <w:t>of</w:t>
      </w:r>
      <w:r>
        <w:rPr>
          <w:spacing w:val="-7"/>
        </w:rPr>
        <w:t> </w:t>
      </w:r>
      <w:r>
        <w:rPr/>
        <w:t>Incident</w:t>
      </w:r>
      <w:r>
        <w:rPr>
          <w:spacing w:val="-11"/>
        </w:rPr>
        <w:t> </w:t>
      </w:r>
      <w:r>
        <w:rPr/>
        <w:t>Cancer:</w:t>
      </w:r>
      <w:r>
        <w:rPr>
          <w:spacing w:val="-9"/>
        </w:rPr>
        <w:t> </w:t>
      </w:r>
      <w:r>
        <w:rPr/>
        <w:t>A</w:t>
      </w:r>
      <w:r>
        <w:rPr>
          <w:spacing w:val="-12"/>
        </w:rPr>
        <w:t> </w:t>
      </w:r>
      <w:r>
        <w:rPr/>
        <w:t>Cohort</w:t>
      </w:r>
      <w:r>
        <w:rPr>
          <w:spacing w:val="-11"/>
        </w:rPr>
        <w:t> </w:t>
      </w:r>
      <w:r>
        <w:rPr/>
        <w:t>Study</w:t>
      </w:r>
      <w:r>
        <w:rPr>
          <w:spacing w:val="-16"/>
        </w:rPr>
        <w:t> </w:t>
      </w:r>
      <w:r>
        <w:rPr/>
        <w:t>among</w:t>
      </w:r>
      <w:r>
        <w:rPr>
          <w:spacing w:val="-13"/>
        </w:rPr>
        <w:t> </w:t>
      </w:r>
      <w:r>
        <w:rPr/>
        <w:t>People with Type 2 Diabetes </w:t>
      </w:r>
      <w:r>
        <w:rPr>
          <w:spacing w:val="-4"/>
        </w:rPr>
        <w:t>». </w:t>
      </w:r>
      <w:r>
        <w:rPr>
          <w:i/>
        </w:rPr>
        <w:t>Diabetes Care </w:t>
      </w:r>
      <w:r>
        <w:rPr/>
        <w:t>32 (9):</w:t>
      </w:r>
      <w:r>
        <w:rPr>
          <w:spacing w:val="5"/>
        </w:rPr>
        <w:t> </w:t>
      </w:r>
      <w:r>
        <w:rPr/>
        <w:t>1620</w:t>
      </w:r>
      <w:r>
        <w:rPr>
          <w:rFonts w:ascii="Cambria Math" w:hAnsi="Cambria Math"/>
        </w:rPr>
        <w:t>‑</w:t>
      </w:r>
      <w:r>
        <w:rPr/>
        <w:t>25.</w:t>
      </w:r>
    </w:p>
    <w:p>
      <w:pPr>
        <w:pStyle w:val="BodyText"/>
        <w:spacing w:line="270" w:lineRule="exact" w:before="6"/>
        <w:ind w:left="116"/>
      </w:pPr>
      <w:r>
        <w:rPr/>
        <w:t>Lin, C, T Cheng, W Tsai, H Tsai, K Hu, H Chang, C Yeh, Y Chen, C Liao, et W Chang. 2012.</w:t>
      </w:r>
    </w:p>
    <w:p>
      <w:pPr>
        <w:pStyle w:val="BodyText"/>
        <w:ind w:left="836" w:right="119"/>
        <w:jc w:val="both"/>
      </w:pPr>
      <w:r>
        <w:rPr/>
        <w:t>« Loss of the Respiratory Enzyme Citrate Synthase Directly Links the Warburg Effect to Tumor Malignancy ». </w:t>
      </w:r>
      <w:r>
        <w:rPr>
          <w:i/>
        </w:rPr>
        <w:t>Scientific Reports </w:t>
      </w:r>
      <w:r>
        <w:rPr/>
        <w:t>5 (2): 785-96.</w:t>
      </w:r>
    </w:p>
    <w:p>
      <w:pPr>
        <w:pStyle w:val="BodyText"/>
        <w:ind w:left="116"/>
      </w:pPr>
      <w:r>
        <w:rPr/>
        <w:t>Lin, G, D K Hill, G Andrejeva, J K R Boult, H Troy, A L Fong, M R Orton, et al. 2014a.</w:t>
      </w:r>
    </w:p>
    <w:p>
      <w:pPr>
        <w:pStyle w:val="BodyText"/>
        <w:ind w:left="836"/>
        <w:jc w:val="both"/>
      </w:pPr>
      <w:r>
        <w:rPr/>
        <w:t>« Dichloroacetate  Induces  Autophagy  in  Colorectal  Cancer  Cells  and  Tumours  ».</w:t>
      </w:r>
    </w:p>
    <w:p>
      <w:pPr>
        <w:spacing w:line="279" w:lineRule="exact" w:before="3"/>
        <w:ind w:left="836" w:right="0" w:firstLine="0"/>
        <w:jc w:val="both"/>
        <w:rPr>
          <w:sz w:val="24"/>
        </w:rPr>
      </w:pPr>
      <w:r>
        <w:rPr>
          <w:i/>
          <w:sz w:val="24"/>
        </w:rPr>
        <w:t>British Journal of Cancer </w:t>
      </w:r>
      <w:r>
        <w:rPr>
          <w:sz w:val="24"/>
        </w:rPr>
        <w:t>111 (2): 375</w:t>
      </w:r>
      <w:r>
        <w:rPr>
          <w:rFonts w:ascii="Cambria Math" w:hAnsi="Cambria Math"/>
          <w:sz w:val="24"/>
        </w:rPr>
        <w:t>‑</w:t>
      </w:r>
      <w:r>
        <w:rPr>
          <w:sz w:val="24"/>
        </w:rPr>
        <w:t>85.</w:t>
      </w:r>
    </w:p>
    <w:p>
      <w:pPr>
        <w:pStyle w:val="BodyText"/>
        <w:spacing w:line="274" w:lineRule="exact"/>
        <w:ind w:left="116"/>
      </w:pPr>
      <w:r>
        <w:rPr/>
        <w:t>Lin,</w:t>
      </w:r>
      <w:r>
        <w:rPr>
          <w:spacing w:val="-14"/>
        </w:rPr>
        <w:t> </w:t>
      </w:r>
      <w:r>
        <w:rPr/>
        <w:t>J,</w:t>
      </w:r>
      <w:r>
        <w:rPr>
          <w:spacing w:val="-14"/>
        </w:rPr>
        <w:t> </w:t>
      </w:r>
      <w:r>
        <w:rPr/>
        <w:t>T</w:t>
      </w:r>
      <w:r>
        <w:rPr>
          <w:spacing w:val="-15"/>
        </w:rPr>
        <w:t> </w:t>
      </w:r>
      <w:r>
        <w:rPr/>
        <w:t>Zhan,</w:t>
      </w:r>
      <w:r>
        <w:rPr>
          <w:spacing w:val="-14"/>
        </w:rPr>
        <w:t> </w:t>
      </w:r>
      <w:r>
        <w:rPr/>
        <w:t>D</w:t>
      </w:r>
      <w:r>
        <w:rPr>
          <w:spacing w:val="-13"/>
        </w:rPr>
        <w:t> </w:t>
      </w:r>
      <w:r>
        <w:rPr/>
        <w:t>Duffy,</w:t>
      </w:r>
      <w:r>
        <w:rPr>
          <w:spacing w:val="-14"/>
        </w:rPr>
        <w:t> </w:t>
      </w:r>
      <w:r>
        <w:rPr/>
        <w:t>J</w:t>
      </w:r>
      <w:r>
        <w:rPr>
          <w:spacing w:val="-11"/>
        </w:rPr>
        <w:t> </w:t>
      </w:r>
      <w:r>
        <w:rPr/>
        <w:t>Hoffman-Censits,</w:t>
      </w:r>
      <w:r>
        <w:rPr>
          <w:spacing w:val="-14"/>
        </w:rPr>
        <w:t> </w:t>
      </w:r>
      <w:r>
        <w:rPr/>
        <w:t>D</w:t>
      </w:r>
      <w:r>
        <w:rPr>
          <w:spacing w:val="-15"/>
        </w:rPr>
        <w:t> </w:t>
      </w:r>
      <w:r>
        <w:rPr/>
        <w:t>Kilpatrick,</w:t>
      </w:r>
      <w:r>
        <w:rPr>
          <w:spacing w:val="-13"/>
        </w:rPr>
        <w:t> </w:t>
      </w:r>
      <w:r>
        <w:rPr/>
        <w:t>E</w:t>
      </w:r>
      <w:r>
        <w:rPr>
          <w:spacing w:val="-15"/>
        </w:rPr>
        <w:t> </w:t>
      </w:r>
      <w:r>
        <w:rPr/>
        <w:t>J</w:t>
      </w:r>
      <w:r>
        <w:rPr>
          <w:spacing w:val="-12"/>
        </w:rPr>
        <w:t> </w:t>
      </w:r>
      <w:r>
        <w:rPr/>
        <w:t>Trabulsi,</w:t>
      </w:r>
      <w:r>
        <w:rPr>
          <w:spacing w:val="-14"/>
        </w:rPr>
        <w:t> </w:t>
      </w:r>
      <w:r>
        <w:rPr/>
        <w:t>C</w:t>
      </w:r>
      <w:r>
        <w:rPr>
          <w:spacing w:val="-14"/>
        </w:rPr>
        <w:t> </w:t>
      </w:r>
      <w:r>
        <w:rPr/>
        <w:t>D</w:t>
      </w:r>
      <w:r>
        <w:rPr>
          <w:spacing w:val="-14"/>
        </w:rPr>
        <w:t> </w:t>
      </w:r>
      <w:r>
        <w:rPr/>
        <w:t>Lallas,</w:t>
      </w:r>
      <w:r>
        <w:rPr>
          <w:spacing w:val="-12"/>
        </w:rPr>
        <w:t> </w:t>
      </w:r>
      <w:r>
        <w:rPr/>
        <w:t>et</w:t>
      </w:r>
      <w:r>
        <w:rPr>
          <w:spacing w:val="-14"/>
        </w:rPr>
        <w:t> </w:t>
      </w:r>
      <w:r>
        <w:rPr/>
        <w:t>al.</w:t>
      </w:r>
      <w:r>
        <w:rPr>
          <w:spacing w:val="-14"/>
        </w:rPr>
        <w:t> </w:t>
      </w:r>
      <w:r>
        <w:rPr/>
        <w:t>2014b.</w:t>
      </w:r>
    </w:p>
    <w:p>
      <w:pPr>
        <w:spacing w:line="242" w:lineRule="auto" w:before="0"/>
        <w:ind w:left="836" w:right="112" w:firstLine="0"/>
        <w:jc w:val="both"/>
        <w:rPr>
          <w:sz w:val="24"/>
        </w:rPr>
      </w:pPr>
      <w:r>
        <w:rPr>
          <w:sz w:val="24"/>
        </w:rPr>
        <w:t>« A Pilot Phase II Study of Digoxin in Patients with Recurrent Prostate Cancer </w:t>
      </w:r>
      <w:r>
        <w:rPr>
          <w:spacing w:val="2"/>
          <w:sz w:val="24"/>
        </w:rPr>
        <w:t>as </w:t>
      </w:r>
      <w:r>
        <w:rPr>
          <w:sz w:val="24"/>
        </w:rPr>
        <w:t>Evident by a Rising PSA </w:t>
      </w:r>
      <w:r>
        <w:rPr>
          <w:spacing w:val="-3"/>
          <w:sz w:val="24"/>
        </w:rPr>
        <w:t>». </w:t>
      </w:r>
      <w:r>
        <w:rPr>
          <w:i/>
          <w:sz w:val="24"/>
        </w:rPr>
        <w:t>American Journal of Cancer Therapy and Pharmacology</w:t>
      </w:r>
      <w:r>
        <w:rPr>
          <w:i/>
          <w:spacing w:val="-34"/>
          <w:sz w:val="24"/>
        </w:rPr>
        <w:t> </w:t>
      </w:r>
      <w:r>
        <w:rPr>
          <w:sz w:val="24"/>
        </w:rPr>
        <w:t>2 (1):</w:t>
      </w:r>
      <w:r>
        <w:rPr>
          <w:spacing w:val="-3"/>
          <w:sz w:val="24"/>
        </w:rPr>
        <w:t> </w:t>
      </w:r>
      <w:r>
        <w:rPr>
          <w:sz w:val="24"/>
        </w:rPr>
        <w:t>21</w:t>
      </w:r>
      <w:r>
        <w:rPr>
          <w:rFonts w:ascii="Cambria Math" w:hAnsi="Cambria Math"/>
          <w:sz w:val="24"/>
        </w:rPr>
        <w:t>‑</w:t>
      </w:r>
      <w:r>
        <w:rPr>
          <w:sz w:val="24"/>
        </w:rPr>
        <w:t>32.</w:t>
      </w:r>
    </w:p>
    <w:p>
      <w:pPr>
        <w:pStyle w:val="BodyText"/>
        <w:spacing w:line="272" w:lineRule="exact"/>
        <w:ind w:left="116"/>
      </w:pPr>
      <w:r>
        <w:rPr/>
        <w:t>Lincet, H. 2013. « Importance des voies métaboliques et de leurs cibles dans le traitement</w:t>
      </w:r>
    </w:p>
    <w:p>
      <w:pPr>
        <w:pStyle w:val="BodyText"/>
        <w:ind w:left="824" w:right="117"/>
        <w:jc w:val="both"/>
      </w:pPr>
      <w:r>
        <w:rPr/>
        <w:t>des cancers localement agressifs ». Habilitation à Diriger des Recherches. Caen : Université de Caen Basse-Normandie, 118p</w:t>
      </w:r>
    </w:p>
    <w:p>
      <w:pPr>
        <w:spacing w:after="0"/>
        <w:jc w:val="both"/>
        <w:sectPr>
          <w:pgSz w:w="11910" w:h="16840"/>
          <w:pgMar w:header="0" w:footer="995" w:top="1320" w:bottom="1240" w:left="1300" w:right="1300"/>
        </w:sectPr>
      </w:pPr>
    </w:p>
    <w:p>
      <w:pPr>
        <w:pStyle w:val="BodyText"/>
        <w:spacing w:before="70"/>
        <w:ind w:left="836" w:right="112" w:hanging="720"/>
        <w:jc w:val="both"/>
      </w:pPr>
      <w:r>
        <w:rPr/>
        <w:t>Lincet,</w:t>
      </w:r>
      <w:r>
        <w:rPr>
          <w:spacing w:val="-14"/>
        </w:rPr>
        <w:t> </w:t>
      </w:r>
      <w:r>
        <w:rPr/>
        <w:t>H,</w:t>
      </w:r>
      <w:r>
        <w:rPr>
          <w:spacing w:val="-15"/>
        </w:rPr>
        <w:t> </w:t>
      </w:r>
      <w:r>
        <w:rPr/>
        <w:t>P</w:t>
      </w:r>
      <w:r>
        <w:rPr>
          <w:spacing w:val="-13"/>
        </w:rPr>
        <w:t> </w:t>
      </w:r>
      <w:r>
        <w:rPr/>
        <w:t>Kafara,</w:t>
      </w:r>
      <w:r>
        <w:rPr>
          <w:spacing w:val="-14"/>
        </w:rPr>
        <w:t> </w:t>
      </w:r>
      <w:r>
        <w:rPr/>
        <w:t>F</w:t>
      </w:r>
      <w:r>
        <w:rPr>
          <w:spacing w:val="-16"/>
        </w:rPr>
        <w:t> </w:t>
      </w:r>
      <w:r>
        <w:rPr/>
        <w:t>Giffard,</w:t>
      </w:r>
      <w:r>
        <w:rPr>
          <w:spacing w:val="-15"/>
        </w:rPr>
        <w:t> </w:t>
      </w:r>
      <w:r>
        <w:rPr/>
        <w:t>E</w:t>
      </w:r>
      <w:r>
        <w:rPr>
          <w:spacing w:val="-13"/>
        </w:rPr>
        <w:t> </w:t>
      </w:r>
      <w:r>
        <w:rPr/>
        <w:t>Abeilard-Lemoisson,</w:t>
      </w:r>
      <w:r>
        <w:rPr>
          <w:spacing w:val="-14"/>
        </w:rPr>
        <w:t> </w:t>
      </w:r>
      <w:r>
        <w:rPr/>
        <w:t>M</w:t>
      </w:r>
      <w:r>
        <w:rPr>
          <w:spacing w:val="-14"/>
        </w:rPr>
        <w:t> </w:t>
      </w:r>
      <w:r>
        <w:rPr/>
        <w:t>Duval,</w:t>
      </w:r>
      <w:r>
        <w:rPr>
          <w:spacing w:val="-14"/>
        </w:rPr>
        <w:t> </w:t>
      </w:r>
      <w:r>
        <w:rPr/>
        <w:t>M</w:t>
      </w:r>
      <w:r>
        <w:rPr>
          <w:spacing w:val="-11"/>
        </w:rPr>
        <w:t> </w:t>
      </w:r>
      <w:r>
        <w:rPr/>
        <w:t>Louis,</w:t>
      </w:r>
      <w:r>
        <w:rPr>
          <w:spacing w:val="-11"/>
        </w:rPr>
        <w:t> </w:t>
      </w:r>
      <w:r>
        <w:rPr/>
        <w:t>L</w:t>
      </w:r>
      <w:r>
        <w:rPr>
          <w:spacing w:val="-17"/>
        </w:rPr>
        <w:t> </w:t>
      </w:r>
      <w:r>
        <w:rPr/>
        <w:t>Poulain,</w:t>
      </w:r>
      <w:r>
        <w:rPr>
          <w:spacing w:val="-14"/>
        </w:rPr>
        <w:t> </w:t>
      </w:r>
      <w:r>
        <w:rPr/>
        <w:t>et</w:t>
      </w:r>
      <w:r>
        <w:rPr>
          <w:spacing w:val="-14"/>
        </w:rPr>
        <w:t> </w:t>
      </w:r>
      <w:r>
        <w:rPr/>
        <w:t>P</w:t>
      </w:r>
      <w:r>
        <w:rPr>
          <w:spacing w:val="-14"/>
        </w:rPr>
        <w:t> </w:t>
      </w:r>
      <w:r>
        <w:rPr/>
        <w:t>Icard. 2013. « Inhibition of Mcl-1 expression by citrate enhances the effect of Bcl-xL inhibitors</w:t>
      </w:r>
      <w:r>
        <w:rPr>
          <w:spacing w:val="-12"/>
        </w:rPr>
        <w:t> </w:t>
      </w:r>
      <w:r>
        <w:rPr/>
        <w:t>on</w:t>
      </w:r>
      <w:r>
        <w:rPr>
          <w:spacing w:val="-11"/>
        </w:rPr>
        <w:t> </w:t>
      </w:r>
      <w:r>
        <w:rPr/>
        <w:t>human</w:t>
      </w:r>
      <w:r>
        <w:rPr>
          <w:spacing w:val="-12"/>
        </w:rPr>
        <w:t> </w:t>
      </w:r>
      <w:r>
        <w:rPr/>
        <w:t>ovarian</w:t>
      </w:r>
      <w:r>
        <w:rPr>
          <w:spacing w:val="-12"/>
        </w:rPr>
        <w:t> </w:t>
      </w:r>
      <w:r>
        <w:rPr/>
        <w:t>carcinoma</w:t>
      </w:r>
      <w:r>
        <w:rPr>
          <w:spacing w:val="-12"/>
        </w:rPr>
        <w:t> </w:t>
      </w:r>
      <w:r>
        <w:rPr/>
        <w:t>cells</w:t>
      </w:r>
      <w:r>
        <w:rPr>
          <w:spacing w:val="5"/>
        </w:rPr>
        <w:t> </w:t>
      </w:r>
      <w:r>
        <w:rPr>
          <w:spacing w:val="-4"/>
        </w:rPr>
        <w:t>».</w:t>
      </w:r>
      <w:r>
        <w:rPr>
          <w:spacing w:val="-8"/>
        </w:rPr>
        <w:t> </w:t>
      </w:r>
      <w:r>
        <w:rPr>
          <w:i/>
        </w:rPr>
        <w:t>Journal</w:t>
      </w:r>
      <w:r>
        <w:rPr>
          <w:i/>
          <w:spacing w:val="-11"/>
        </w:rPr>
        <w:t> </w:t>
      </w:r>
      <w:r>
        <w:rPr>
          <w:i/>
        </w:rPr>
        <w:t>of</w:t>
      </w:r>
      <w:r>
        <w:rPr>
          <w:i/>
          <w:spacing w:val="-11"/>
        </w:rPr>
        <w:t> </w:t>
      </w:r>
      <w:r>
        <w:rPr>
          <w:i/>
        </w:rPr>
        <w:t>Ovarian</w:t>
      </w:r>
      <w:r>
        <w:rPr>
          <w:i/>
          <w:spacing w:val="-11"/>
        </w:rPr>
        <w:t> </w:t>
      </w:r>
      <w:r>
        <w:rPr>
          <w:i/>
        </w:rPr>
        <w:t>Research</w:t>
      </w:r>
      <w:r>
        <w:rPr>
          <w:i/>
          <w:spacing w:val="-9"/>
        </w:rPr>
        <w:t> </w:t>
      </w:r>
      <w:r>
        <w:rPr/>
        <w:t>6</w:t>
      </w:r>
      <w:r>
        <w:rPr>
          <w:spacing w:val="-11"/>
        </w:rPr>
        <w:t> </w:t>
      </w:r>
      <w:r>
        <w:rPr/>
        <w:t>(10):</w:t>
      </w:r>
      <w:r>
        <w:rPr>
          <w:spacing w:val="-11"/>
        </w:rPr>
        <w:t> </w:t>
      </w:r>
      <w:r>
        <w:rPr/>
        <w:t>72- 84.</w:t>
      </w:r>
    </w:p>
    <w:p>
      <w:pPr>
        <w:pStyle w:val="BodyText"/>
        <w:spacing w:line="242" w:lineRule="auto"/>
        <w:ind w:left="836" w:right="120" w:hanging="720"/>
        <w:jc w:val="both"/>
      </w:pPr>
      <w:r>
        <w:rPr/>
        <w:t>Lincet, H, et P Icard. 2015. « How Do Glycolytic Enzymes Favour Cancer Cell Proliferation by Nonmetabolic Functions? » </w:t>
      </w:r>
      <w:r>
        <w:rPr>
          <w:i/>
        </w:rPr>
        <w:t>Oncogene </w:t>
      </w:r>
      <w:r>
        <w:rPr/>
        <w:t>34 (29): 3751</w:t>
      </w:r>
      <w:r>
        <w:rPr>
          <w:rFonts w:ascii="Cambria Math" w:hAnsi="Cambria Math"/>
        </w:rPr>
        <w:t>‑</w:t>
      </w:r>
      <w:r>
        <w:rPr/>
        <w:t>59.</w:t>
      </w:r>
    </w:p>
    <w:p>
      <w:pPr>
        <w:pStyle w:val="BodyText"/>
        <w:spacing w:line="242" w:lineRule="auto"/>
        <w:ind w:left="836" w:right="112" w:hanging="720"/>
        <w:jc w:val="both"/>
      </w:pPr>
      <w:r>
        <w:rPr/>
        <w:t>Liu, X, Z Yang, Z Chen, R Chen, D Zhao, Y Zhou, et L Qiao. 2015a. « Effects of the Suppression</w:t>
      </w:r>
      <w:r>
        <w:rPr>
          <w:spacing w:val="-14"/>
        </w:rPr>
        <w:t> </w:t>
      </w:r>
      <w:r>
        <w:rPr/>
        <w:t>of</w:t>
      </w:r>
      <w:r>
        <w:rPr>
          <w:spacing w:val="-13"/>
        </w:rPr>
        <w:t> </w:t>
      </w:r>
      <w:r>
        <w:rPr/>
        <w:t>Lactate</w:t>
      </w:r>
      <w:r>
        <w:rPr>
          <w:spacing w:val="-15"/>
        </w:rPr>
        <w:t> </w:t>
      </w:r>
      <w:r>
        <w:rPr/>
        <w:t>Dehydrogenase</w:t>
      </w:r>
      <w:r>
        <w:rPr>
          <w:spacing w:val="-15"/>
        </w:rPr>
        <w:t> </w:t>
      </w:r>
      <w:r>
        <w:rPr/>
        <w:t>A</w:t>
      </w:r>
      <w:r>
        <w:rPr>
          <w:spacing w:val="-15"/>
        </w:rPr>
        <w:t> </w:t>
      </w:r>
      <w:r>
        <w:rPr/>
        <w:t>on</w:t>
      </w:r>
      <w:r>
        <w:rPr>
          <w:spacing w:val="-14"/>
        </w:rPr>
        <w:t> </w:t>
      </w:r>
      <w:r>
        <w:rPr/>
        <w:t>the</w:t>
      </w:r>
      <w:r>
        <w:rPr>
          <w:spacing w:val="-15"/>
        </w:rPr>
        <w:t> </w:t>
      </w:r>
      <w:r>
        <w:rPr/>
        <w:t>Growth</w:t>
      </w:r>
      <w:r>
        <w:rPr>
          <w:spacing w:val="-14"/>
        </w:rPr>
        <w:t> </w:t>
      </w:r>
      <w:r>
        <w:rPr/>
        <w:t>and</w:t>
      </w:r>
      <w:r>
        <w:rPr>
          <w:spacing w:val="-12"/>
        </w:rPr>
        <w:t> </w:t>
      </w:r>
      <w:r>
        <w:rPr/>
        <w:t>Invasion</w:t>
      </w:r>
      <w:r>
        <w:rPr>
          <w:spacing w:val="-14"/>
        </w:rPr>
        <w:t> </w:t>
      </w:r>
      <w:r>
        <w:rPr/>
        <w:t>of</w:t>
      </w:r>
      <w:r>
        <w:rPr>
          <w:spacing w:val="-15"/>
        </w:rPr>
        <w:t> </w:t>
      </w:r>
      <w:r>
        <w:rPr/>
        <w:t>Human</w:t>
      </w:r>
      <w:r>
        <w:rPr>
          <w:spacing w:val="-15"/>
        </w:rPr>
        <w:t> </w:t>
      </w:r>
      <w:r>
        <w:rPr/>
        <w:t>Gastric Cancer Cells </w:t>
      </w:r>
      <w:r>
        <w:rPr>
          <w:spacing w:val="-4"/>
        </w:rPr>
        <w:t>». </w:t>
      </w:r>
      <w:r>
        <w:rPr>
          <w:i/>
        </w:rPr>
        <w:t>Oncology Reports </w:t>
      </w:r>
      <w:r>
        <w:rPr/>
        <w:t>33 (1):</w:t>
      </w:r>
      <w:r>
        <w:rPr>
          <w:spacing w:val="1"/>
        </w:rPr>
        <w:t> </w:t>
      </w:r>
      <w:r>
        <w:rPr/>
        <w:t>157</w:t>
      </w:r>
      <w:r>
        <w:rPr>
          <w:rFonts w:ascii="Cambria Math" w:hAnsi="Cambria Math"/>
        </w:rPr>
        <w:t>‑</w:t>
      </w:r>
      <w:r>
        <w:rPr/>
        <w:t>62.</w:t>
      </w:r>
    </w:p>
    <w:p>
      <w:pPr>
        <w:pStyle w:val="BodyText"/>
        <w:ind w:left="836" w:right="111" w:hanging="720"/>
        <w:jc w:val="both"/>
      </w:pPr>
      <w:r>
        <w:rPr/>
        <w:t>Liu, Y, Y Cao, W Zhang, S Bergmeier, Y Qian, H Akbar, R Colvin, et al. 2012. « A Small- Molecule Inhibitor of Glucose Transporter 1 Downregulates Glycolysis, Induces Cell- Cycle</w:t>
      </w:r>
      <w:r>
        <w:rPr>
          <w:spacing w:val="-17"/>
        </w:rPr>
        <w:t> </w:t>
      </w:r>
      <w:r>
        <w:rPr/>
        <w:t>Arrest,</w:t>
      </w:r>
      <w:r>
        <w:rPr>
          <w:spacing w:val="-16"/>
        </w:rPr>
        <w:t> </w:t>
      </w:r>
      <w:r>
        <w:rPr/>
        <w:t>and</w:t>
      </w:r>
      <w:r>
        <w:rPr>
          <w:spacing w:val="-14"/>
        </w:rPr>
        <w:t> </w:t>
      </w:r>
      <w:r>
        <w:rPr/>
        <w:t>Inhibits</w:t>
      </w:r>
      <w:r>
        <w:rPr>
          <w:spacing w:val="-14"/>
        </w:rPr>
        <w:t> </w:t>
      </w:r>
      <w:r>
        <w:rPr/>
        <w:t>Cancer</w:t>
      </w:r>
      <w:r>
        <w:rPr>
          <w:spacing w:val="-18"/>
        </w:rPr>
        <w:t> </w:t>
      </w:r>
      <w:r>
        <w:rPr/>
        <w:t>Cell</w:t>
      </w:r>
      <w:r>
        <w:rPr>
          <w:spacing w:val="-16"/>
        </w:rPr>
        <w:t> </w:t>
      </w:r>
      <w:r>
        <w:rPr/>
        <w:t>Growth</w:t>
      </w:r>
      <w:r>
        <w:rPr>
          <w:spacing w:val="-17"/>
        </w:rPr>
        <w:t> </w:t>
      </w:r>
      <w:r>
        <w:rPr/>
        <w:t>in</w:t>
      </w:r>
      <w:r>
        <w:rPr>
          <w:spacing w:val="-16"/>
        </w:rPr>
        <w:t> </w:t>
      </w:r>
      <w:r>
        <w:rPr/>
        <w:t>Vitro</w:t>
      </w:r>
      <w:r>
        <w:rPr>
          <w:spacing w:val="-18"/>
        </w:rPr>
        <w:t> </w:t>
      </w:r>
      <w:r>
        <w:rPr/>
        <w:t>and</w:t>
      </w:r>
      <w:r>
        <w:rPr>
          <w:spacing w:val="-17"/>
        </w:rPr>
        <w:t> </w:t>
      </w:r>
      <w:r>
        <w:rPr/>
        <w:t>in</w:t>
      </w:r>
      <w:r>
        <w:rPr>
          <w:spacing w:val="-16"/>
        </w:rPr>
        <w:t> </w:t>
      </w:r>
      <w:r>
        <w:rPr/>
        <w:t>Vivo</w:t>
      </w:r>
      <w:r>
        <w:rPr>
          <w:spacing w:val="5"/>
        </w:rPr>
        <w:t> </w:t>
      </w:r>
      <w:r>
        <w:rPr>
          <w:spacing w:val="-4"/>
        </w:rPr>
        <w:t>».</w:t>
      </w:r>
      <w:r>
        <w:rPr>
          <w:spacing w:val="-17"/>
        </w:rPr>
        <w:t> </w:t>
      </w:r>
      <w:r>
        <w:rPr>
          <w:i/>
        </w:rPr>
        <w:t>Molecular</w:t>
      </w:r>
      <w:r>
        <w:rPr>
          <w:i/>
          <w:spacing w:val="-16"/>
        </w:rPr>
        <w:t> </w:t>
      </w:r>
      <w:r>
        <w:rPr>
          <w:i/>
        </w:rPr>
        <w:t>Cancer </w:t>
      </w:r>
      <w:r>
        <w:rPr>
          <w:i/>
        </w:rPr>
        <w:t>Therapeutics </w:t>
      </w:r>
      <w:r>
        <w:rPr/>
        <w:t>11 (8):</w:t>
      </w:r>
      <w:r>
        <w:rPr>
          <w:spacing w:val="-5"/>
        </w:rPr>
        <w:t> </w:t>
      </w:r>
      <w:r>
        <w:rPr/>
        <w:t>1672</w:t>
      </w:r>
      <w:r>
        <w:rPr>
          <w:rFonts w:ascii="Cambria Math" w:hAnsi="Cambria Math"/>
        </w:rPr>
        <w:t>‑</w:t>
      </w:r>
      <w:r>
        <w:rPr/>
        <w:t>82.</w:t>
      </w:r>
    </w:p>
    <w:p>
      <w:pPr>
        <w:pStyle w:val="BodyText"/>
        <w:spacing w:line="242" w:lineRule="auto"/>
        <w:ind w:left="836" w:right="115" w:hanging="720"/>
        <w:jc w:val="both"/>
      </w:pPr>
      <w:r>
        <w:rPr/>
        <w:t>Liu, Y, W Zhang, Y Cao, Y Liu, S Bergmeier, et X Chen. 2010. « Small Compound Inhibitors of Basal Glucose Transport Inhibit Cell Proliferation and Induce Apoptosis in Cancer Cells via Glucose-Deprivation-like Mechanisms ». </w:t>
      </w:r>
      <w:r>
        <w:rPr>
          <w:i/>
        </w:rPr>
        <w:t>Cancer Letters </w:t>
      </w:r>
      <w:r>
        <w:rPr/>
        <w:t>298 (2): 176</w:t>
      </w:r>
      <w:r>
        <w:rPr>
          <w:rFonts w:ascii="Cambria Math" w:hAnsi="Cambria Math"/>
        </w:rPr>
        <w:t>‑</w:t>
      </w:r>
      <w:r>
        <w:rPr/>
        <w:t>85.</w:t>
      </w:r>
    </w:p>
    <w:p>
      <w:pPr>
        <w:pStyle w:val="BodyText"/>
        <w:ind w:left="836" w:right="113" w:hanging="720"/>
        <w:jc w:val="both"/>
      </w:pPr>
      <w:r>
        <w:rPr/>
        <w:t>Liu, Z, Y Sun, H Hong, S Zhao, X Zou, R Ma, C Jiang, Z Wang, H Li, et H Liu. 2015b. « 3- Bromopyruvate Enhanced Daunorubicin-Induced Cytotoxicity Involved in Monocarboxylate Transporter 1 in Breast Cancer Cells ». </w:t>
      </w:r>
      <w:r>
        <w:rPr>
          <w:i/>
        </w:rPr>
        <w:t>American Journal of Cancer </w:t>
      </w:r>
      <w:r>
        <w:rPr>
          <w:i/>
        </w:rPr>
        <w:t>Research </w:t>
      </w:r>
      <w:r>
        <w:rPr/>
        <w:t>5 (9): 2673</w:t>
      </w:r>
      <w:r>
        <w:rPr>
          <w:rFonts w:ascii="Cambria Math" w:hAnsi="Cambria Math"/>
        </w:rPr>
        <w:t>‑</w:t>
      </w:r>
      <w:r>
        <w:rPr/>
        <w:t>85.</w:t>
      </w:r>
    </w:p>
    <w:p>
      <w:pPr>
        <w:spacing w:line="242" w:lineRule="auto" w:before="1"/>
        <w:ind w:left="836" w:right="119" w:hanging="720"/>
        <w:jc w:val="both"/>
        <w:rPr>
          <w:sz w:val="24"/>
        </w:rPr>
      </w:pPr>
      <w:r>
        <w:rPr>
          <w:sz w:val="24"/>
        </w:rPr>
        <w:t>Loftin, E G, et L Herold. 2009. « Therapy and Outcome of Suspected Alpha Lipoic Acid Toxicity in Two Dogs ». </w:t>
      </w:r>
      <w:r>
        <w:rPr>
          <w:i/>
          <w:sz w:val="24"/>
        </w:rPr>
        <w:t>Journal of Veterinary Emergency and Critical Care (San </w:t>
      </w:r>
      <w:r>
        <w:rPr>
          <w:i/>
          <w:sz w:val="24"/>
        </w:rPr>
        <w:t>Antonio, Tex.: 2001) </w:t>
      </w:r>
      <w:r>
        <w:rPr>
          <w:sz w:val="24"/>
        </w:rPr>
        <w:t>19 (5): 501</w:t>
      </w:r>
      <w:r>
        <w:rPr>
          <w:rFonts w:ascii="Cambria Math" w:hAnsi="Cambria Math"/>
          <w:sz w:val="24"/>
        </w:rPr>
        <w:t>‑</w:t>
      </w:r>
      <w:r>
        <w:rPr>
          <w:sz w:val="24"/>
        </w:rPr>
        <w:t>6.</w:t>
      </w:r>
    </w:p>
    <w:p>
      <w:pPr>
        <w:pStyle w:val="BodyText"/>
        <w:ind w:left="836" w:right="114" w:hanging="720"/>
        <w:jc w:val="both"/>
      </w:pPr>
      <w:r>
        <w:rPr/>
        <w:t>Lombard-Bohas, C, J C Yao, T Hobday, E Van Cutsem, E M Wolin, A Panneerselvam, S Stergiopoulos, M H Shah, J Capdevila, et R Pommier. 2015. « Impact of Prior Chemotherapy</w:t>
      </w:r>
      <w:r>
        <w:rPr>
          <w:spacing w:val="-14"/>
        </w:rPr>
        <w:t> </w:t>
      </w:r>
      <w:r>
        <w:rPr/>
        <w:t>Use</w:t>
      </w:r>
      <w:r>
        <w:rPr>
          <w:spacing w:val="-11"/>
        </w:rPr>
        <w:t> </w:t>
      </w:r>
      <w:r>
        <w:rPr/>
        <w:t>on</w:t>
      </w:r>
      <w:r>
        <w:rPr>
          <w:spacing w:val="-10"/>
        </w:rPr>
        <w:t> </w:t>
      </w:r>
      <w:r>
        <w:rPr/>
        <w:t>the</w:t>
      </w:r>
      <w:r>
        <w:rPr>
          <w:spacing w:val="-10"/>
        </w:rPr>
        <w:t> </w:t>
      </w:r>
      <w:r>
        <w:rPr/>
        <w:t>Efficacy</w:t>
      </w:r>
      <w:r>
        <w:rPr>
          <w:spacing w:val="-17"/>
        </w:rPr>
        <w:t> </w:t>
      </w:r>
      <w:r>
        <w:rPr/>
        <w:t>of</w:t>
      </w:r>
      <w:r>
        <w:rPr>
          <w:spacing w:val="-10"/>
        </w:rPr>
        <w:t> </w:t>
      </w:r>
      <w:r>
        <w:rPr/>
        <w:t>Everolimus</w:t>
      </w:r>
      <w:r>
        <w:rPr>
          <w:spacing w:val="-9"/>
        </w:rPr>
        <w:t> </w:t>
      </w:r>
      <w:r>
        <w:rPr/>
        <w:t>in</w:t>
      </w:r>
      <w:r>
        <w:rPr>
          <w:spacing w:val="-9"/>
        </w:rPr>
        <w:t> </w:t>
      </w:r>
      <w:r>
        <w:rPr/>
        <w:t>Patients</w:t>
      </w:r>
      <w:r>
        <w:rPr>
          <w:spacing w:val="-9"/>
        </w:rPr>
        <w:t> </w:t>
      </w:r>
      <w:r>
        <w:rPr/>
        <w:t>with</w:t>
      </w:r>
      <w:r>
        <w:rPr>
          <w:spacing w:val="-9"/>
        </w:rPr>
        <w:t> </w:t>
      </w:r>
      <w:r>
        <w:rPr/>
        <w:t>Advanced</w:t>
      </w:r>
      <w:r>
        <w:rPr>
          <w:spacing w:val="-10"/>
        </w:rPr>
        <w:t> </w:t>
      </w:r>
      <w:r>
        <w:rPr/>
        <w:t>Pancreatic Neuroendocrine Tumors: A Subgroup Analysis of the Phase III RADIANT-3 Trial </w:t>
      </w:r>
      <w:r>
        <w:rPr>
          <w:spacing w:val="-4"/>
        </w:rPr>
        <w:t>».</w:t>
      </w:r>
      <w:r>
        <w:rPr>
          <w:spacing w:val="51"/>
        </w:rPr>
        <w:t> </w:t>
      </w:r>
      <w:r>
        <w:rPr>
          <w:i/>
        </w:rPr>
        <w:t>Pancreas </w:t>
      </w:r>
      <w:r>
        <w:rPr/>
        <w:t>44 (2):</w:t>
      </w:r>
      <w:r>
        <w:rPr>
          <w:spacing w:val="-6"/>
        </w:rPr>
        <w:t> </w:t>
      </w:r>
      <w:r>
        <w:rPr/>
        <w:t>181</w:t>
      </w:r>
      <w:r>
        <w:rPr>
          <w:rFonts w:ascii="Cambria Math" w:hAnsi="Cambria Math"/>
        </w:rPr>
        <w:t>‑</w:t>
      </w:r>
      <w:r>
        <w:rPr/>
        <w:t>89.</w:t>
      </w:r>
    </w:p>
    <w:p>
      <w:pPr>
        <w:pStyle w:val="BodyText"/>
        <w:spacing w:line="242" w:lineRule="auto"/>
        <w:ind w:left="836" w:right="117" w:hanging="720"/>
        <w:jc w:val="both"/>
      </w:pPr>
      <w:r>
        <w:rPr/>
        <w:t>Long, X, Y Lin, S Ortiz-Vega, K Yonezawa, et J Avruch. 2005. « Rheb Binds and Regulates the mTOR Kinase ». </w:t>
      </w:r>
      <w:r>
        <w:rPr>
          <w:i/>
        </w:rPr>
        <w:t>Current Biology </w:t>
      </w:r>
      <w:r>
        <w:rPr/>
        <w:t>15 (8): 702</w:t>
      </w:r>
      <w:r>
        <w:rPr>
          <w:rFonts w:ascii="Cambria Math" w:hAnsi="Cambria Math"/>
        </w:rPr>
        <w:t>‑</w:t>
      </w:r>
      <w:r>
        <w:rPr/>
        <w:t>13.</w:t>
      </w:r>
    </w:p>
    <w:p>
      <w:pPr>
        <w:pStyle w:val="BodyText"/>
        <w:spacing w:line="270" w:lineRule="exact"/>
        <w:ind w:left="116"/>
      </w:pPr>
      <w:r>
        <w:rPr/>
        <w:t>Lu, Y, X Zhang, H  Zhang, J  Lan, G Huang, E Varin, H  Lincet, L Poulain, et P  Icard.  2011.</w:t>
      </w:r>
    </w:p>
    <w:p>
      <w:pPr>
        <w:pStyle w:val="BodyText"/>
        <w:spacing w:line="242" w:lineRule="auto"/>
        <w:ind w:left="836" w:right="110"/>
      </w:pPr>
      <w:r>
        <w:rPr/>
        <w:t>« Citrate Induces Apoptotic Cell Death: A Promising Way to Treat  Gastric Carcinoma? » </w:t>
      </w:r>
      <w:r>
        <w:rPr>
          <w:i/>
        </w:rPr>
        <w:t>Anticancer Research </w:t>
      </w:r>
      <w:r>
        <w:rPr/>
        <w:t>31 (3): 797</w:t>
      </w:r>
      <w:r>
        <w:rPr>
          <w:rFonts w:ascii="Cambria Math" w:hAnsi="Cambria Math"/>
        </w:rPr>
        <w:t>‑</w:t>
      </w:r>
      <w:r>
        <w:rPr/>
        <w:t>805.</w:t>
      </w:r>
    </w:p>
    <w:p>
      <w:pPr>
        <w:pStyle w:val="BodyText"/>
        <w:spacing w:line="270" w:lineRule="exact"/>
        <w:ind w:left="116"/>
      </w:pPr>
      <w:r>
        <w:rPr/>
        <w:t>Luciani, F, M Spada, A De Milito, A Molinari, L Rivoltini, A Montinaro, M Marra, et al. 2004.</w:t>
      </w:r>
    </w:p>
    <w:p>
      <w:pPr>
        <w:spacing w:line="242" w:lineRule="auto" w:before="0"/>
        <w:ind w:left="836" w:right="0" w:firstLine="0"/>
        <w:jc w:val="left"/>
        <w:rPr>
          <w:sz w:val="24"/>
        </w:rPr>
      </w:pPr>
      <w:r>
        <w:rPr>
          <w:sz w:val="24"/>
        </w:rPr>
        <w:t>« Effect of Proton Pump Inhibitor Pretreatment on Resistance of Solid Tumors to Cytotoxic Drugs ». </w:t>
      </w:r>
      <w:r>
        <w:rPr>
          <w:i/>
          <w:sz w:val="24"/>
        </w:rPr>
        <w:t>Journal of the National Cancer Institute </w:t>
      </w:r>
      <w:r>
        <w:rPr>
          <w:sz w:val="24"/>
        </w:rPr>
        <w:t>96 (22): 1702</w:t>
      </w:r>
      <w:r>
        <w:rPr>
          <w:rFonts w:ascii="Cambria Math" w:hAnsi="Cambria Math"/>
          <w:sz w:val="24"/>
        </w:rPr>
        <w:t>‑</w:t>
      </w:r>
      <w:r>
        <w:rPr>
          <w:sz w:val="24"/>
        </w:rPr>
        <w:t>13.</w:t>
      </w:r>
    </w:p>
    <w:p>
      <w:pPr>
        <w:pStyle w:val="BodyText"/>
        <w:spacing w:line="242" w:lineRule="auto"/>
        <w:ind w:left="836" w:right="114" w:hanging="720"/>
        <w:jc w:val="both"/>
      </w:pPr>
      <w:r>
        <w:rPr/>
        <w:t>Lynch, R M, K E Fogarty, et F S Fay. 1991. « Modulation of Hexokinase Association with Mitochondria Analyzed with Quantitative Three-Dimensional Confocal Microscopy ». </w:t>
      </w:r>
      <w:r>
        <w:rPr>
          <w:i/>
        </w:rPr>
        <w:t>The Journal of Cell Biology </w:t>
      </w:r>
      <w:r>
        <w:rPr/>
        <w:t>112 (3): 385</w:t>
      </w:r>
      <w:r>
        <w:rPr>
          <w:rFonts w:ascii="Cambria Math" w:hAnsi="Cambria Math"/>
        </w:rPr>
        <w:t>‑</w:t>
      </w:r>
      <w:r>
        <w:rPr/>
        <w:t>95.</w:t>
      </w:r>
    </w:p>
    <w:p>
      <w:pPr>
        <w:pStyle w:val="BodyText"/>
        <w:spacing w:line="242" w:lineRule="auto"/>
        <w:ind w:left="836" w:right="115" w:hanging="720"/>
        <w:jc w:val="both"/>
      </w:pPr>
      <w:r>
        <w:rPr/>
        <w:t>Macheda, M L, S Rogers, et J D Best. 2005. « Molecular and Cellular Regulation of Glucose Transporter (GLUT) Proteins in Cancer ». </w:t>
      </w:r>
      <w:r>
        <w:rPr>
          <w:i/>
        </w:rPr>
        <w:t>Journal of Cellular Physiology </w:t>
      </w:r>
      <w:r>
        <w:rPr/>
        <w:t>202 (3): 654</w:t>
      </w:r>
      <w:r>
        <w:rPr>
          <w:rFonts w:ascii="Cambria Math" w:hAnsi="Cambria Math"/>
        </w:rPr>
        <w:t>‑</w:t>
      </w:r>
      <w:r>
        <w:rPr/>
        <w:t>62.</w:t>
      </w:r>
    </w:p>
    <w:p>
      <w:pPr>
        <w:pStyle w:val="BodyText"/>
        <w:spacing w:line="242" w:lineRule="auto"/>
        <w:ind w:left="836" w:right="116" w:hanging="720"/>
        <w:jc w:val="both"/>
      </w:pPr>
      <w:r>
        <w:rPr/>
        <w:t>Madhok,</w:t>
      </w:r>
      <w:r>
        <w:rPr>
          <w:spacing w:val="-9"/>
        </w:rPr>
        <w:t> </w:t>
      </w:r>
      <w:r>
        <w:rPr/>
        <w:t>B</w:t>
      </w:r>
      <w:r>
        <w:rPr>
          <w:spacing w:val="-10"/>
        </w:rPr>
        <w:t> </w:t>
      </w:r>
      <w:r>
        <w:rPr/>
        <w:t>M,</w:t>
      </w:r>
      <w:r>
        <w:rPr>
          <w:spacing w:val="-8"/>
        </w:rPr>
        <w:t> </w:t>
      </w:r>
      <w:r>
        <w:rPr/>
        <w:t>S</w:t>
      </w:r>
      <w:r>
        <w:rPr>
          <w:spacing w:val="-8"/>
        </w:rPr>
        <w:t> </w:t>
      </w:r>
      <w:r>
        <w:rPr/>
        <w:t>Yeluri,</w:t>
      </w:r>
      <w:r>
        <w:rPr>
          <w:spacing w:val="-8"/>
        </w:rPr>
        <w:t> </w:t>
      </w:r>
      <w:r>
        <w:rPr/>
        <w:t>S</w:t>
      </w:r>
      <w:r>
        <w:rPr>
          <w:spacing w:val="-8"/>
        </w:rPr>
        <w:t> </w:t>
      </w:r>
      <w:r>
        <w:rPr/>
        <w:t>L</w:t>
      </w:r>
      <w:r>
        <w:rPr>
          <w:spacing w:val="-14"/>
        </w:rPr>
        <w:t> </w:t>
      </w:r>
      <w:r>
        <w:rPr/>
        <w:t>Perry,</w:t>
      </w:r>
      <w:r>
        <w:rPr>
          <w:spacing w:val="-9"/>
        </w:rPr>
        <w:t> </w:t>
      </w:r>
      <w:r>
        <w:rPr/>
        <w:t>T</w:t>
      </w:r>
      <w:r>
        <w:rPr>
          <w:spacing w:val="-9"/>
        </w:rPr>
        <w:t> </w:t>
      </w:r>
      <w:r>
        <w:rPr/>
        <w:t>A</w:t>
      </w:r>
      <w:r>
        <w:rPr>
          <w:spacing w:val="-7"/>
        </w:rPr>
        <w:t> </w:t>
      </w:r>
      <w:r>
        <w:rPr/>
        <w:t>Hughes,</w:t>
      </w:r>
      <w:r>
        <w:rPr>
          <w:spacing w:val="-8"/>
        </w:rPr>
        <w:t> </w:t>
      </w:r>
      <w:r>
        <w:rPr/>
        <w:t>et</w:t>
      </w:r>
      <w:r>
        <w:rPr>
          <w:spacing w:val="-8"/>
        </w:rPr>
        <w:t> </w:t>
      </w:r>
      <w:r>
        <w:rPr/>
        <w:t>D</w:t>
      </w:r>
      <w:r>
        <w:rPr>
          <w:spacing w:val="-9"/>
        </w:rPr>
        <w:t> </w:t>
      </w:r>
      <w:r>
        <w:rPr/>
        <w:t>G</w:t>
      </w:r>
      <w:r>
        <w:rPr>
          <w:spacing w:val="-11"/>
        </w:rPr>
        <w:t> </w:t>
      </w:r>
      <w:r>
        <w:rPr/>
        <w:t>Jayne.</w:t>
      </w:r>
      <w:r>
        <w:rPr>
          <w:spacing w:val="-9"/>
        </w:rPr>
        <w:t> </w:t>
      </w:r>
      <w:r>
        <w:rPr/>
        <w:t>2010.</w:t>
      </w:r>
      <w:r>
        <w:rPr>
          <w:spacing w:val="-4"/>
        </w:rPr>
        <w:t> </w:t>
      </w:r>
      <w:r>
        <w:rPr/>
        <w:t>«</w:t>
      </w:r>
      <w:r>
        <w:rPr>
          <w:spacing w:val="-6"/>
        </w:rPr>
        <w:t> </w:t>
      </w:r>
      <w:r>
        <w:rPr/>
        <w:t>Dichloroacetate</w:t>
      </w:r>
      <w:r>
        <w:rPr>
          <w:spacing w:val="-7"/>
        </w:rPr>
        <w:t> </w:t>
      </w:r>
      <w:r>
        <w:rPr/>
        <w:t>Induces Apoptosis</w:t>
      </w:r>
      <w:r>
        <w:rPr>
          <w:spacing w:val="-17"/>
        </w:rPr>
        <w:t> </w:t>
      </w:r>
      <w:r>
        <w:rPr/>
        <w:t>and</w:t>
      </w:r>
      <w:r>
        <w:rPr>
          <w:spacing w:val="-17"/>
        </w:rPr>
        <w:t> </w:t>
      </w:r>
      <w:r>
        <w:rPr/>
        <w:t>Cell-Cycle</w:t>
      </w:r>
      <w:r>
        <w:rPr>
          <w:spacing w:val="-15"/>
        </w:rPr>
        <w:t> </w:t>
      </w:r>
      <w:r>
        <w:rPr/>
        <w:t>Arrest</w:t>
      </w:r>
      <w:r>
        <w:rPr>
          <w:spacing w:val="-16"/>
        </w:rPr>
        <w:t> </w:t>
      </w:r>
      <w:r>
        <w:rPr/>
        <w:t>in</w:t>
      </w:r>
      <w:r>
        <w:rPr>
          <w:spacing w:val="-16"/>
        </w:rPr>
        <w:t> </w:t>
      </w:r>
      <w:r>
        <w:rPr/>
        <w:t>Colorectal</w:t>
      </w:r>
      <w:r>
        <w:rPr>
          <w:spacing w:val="-17"/>
        </w:rPr>
        <w:t> </w:t>
      </w:r>
      <w:r>
        <w:rPr/>
        <w:t>Cancer</w:t>
      </w:r>
      <w:r>
        <w:rPr>
          <w:spacing w:val="-18"/>
        </w:rPr>
        <w:t> </w:t>
      </w:r>
      <w:r>
        <w:rPr/>
        <w:t>Cells</w:t>
      </w:r>
      <w:r>
        <w:rPr>
          <w:spacing w:val="5"/>
        </w:rPr>
        <w:t> </w:t>
      </w:r>
      <w:r>
        <w:rPr>
          <w:spacing w:val="-4"/>
        </w:rPr>
        <w:t>».</w:t>
      </w:r>
      <w:r>
        <w:rPr>
          <w:spacing w:val="-14"/>
        </w:rPr>
        <w:t> </w:t>
      </w:r>
      <w:r>
        <w:rPr>
          <w:i/>
        </w:rPr>
        <w:t>British</w:t>
      </w:r>
      <w:r>
        <w:rPr>
          <w:i/>
          <w:spacing w:val="-16"/>
        </w:rPr>
        <w:t> </w:t>
      </w:r>
      <w:r>
        <w:rPr>
          <w:i/>
        </w:rPr>
        <w:t>Journal</w:t>
      </w:r>
      <w:r>
        <w:rPr>
          <w:i/>
          <w:spacing w:val="-16"/>
        </w:rPr>
        <w:t> </w:t>
      </w:r>
      <w:r>
        <w:rPr>
          <w:i/>
        </w:rPr>
        <w:t>of</w:t>
      </w:r>
      <w:r>
        <w:rPr>
          <w:i/>
          <w:spacing w:val="-16"/>
        </w:rPr>
        <w:t> </w:t>
      </w:r>
      <w:r>
        <w:rPr>
          <w:i/>
        </w:rPr>
        <w:t>Cancer </w:t>
      </w:r>
      <w:r>
        <w:rPr/>
        <w:t>102 (12):</w:t>
      </w:r>
      <w:r>
        <w:rPr>
          <w:spacing w:val="-3"/>
        </w:rPr>
        <w:t> </w:t>
      </w:r>
      <w:r>
        <w:rPr/>
        <w:t>1746</w:t>
      </w:r>
      <w:r>
        <w:rPr>
          <w:rFonts w:ascii="Cambria Math" w:hAnsi="Cambria Math"/>
        </w:rPr>
        <w:t>‑</w:t>
      </w:r>
      <w:r>
        <w:rPr/>
        <w:t>52.</w:t>
      </w:r>
    </w:p>
    <w:p>
      <w:pPr>
        <w:pStyle w:val="BodyText"/>
        <w:spacing w:line="242" w:lineRule="auto"/>
        <w:ind w:left="836" w:right="111" w:hanging="720"/>
        <w:jc w:val="both"/>
      </w:pPr>
      <w:r>
        <w:rPr/>
        <w:t>Maher,</w:t>
      </w:r>
      <w:r>
        <w:rPr>
          <w:spacing w:val="-9"/>
        </w:rPr>
        <w:t> </w:t>
      </w:r>
      <w:r>
        <w:rPr/>
        <w:t>J</w:t>
      </w:r>
      <w:r>
        <w:rPr>
          <w:spacing w:val="-6"/>
        </w:rPr>
        <w:t> </w:t>
      </w:r>
      <w:r>
        <w:rPr/>
        <w:t>C,</w:t>
      </w:r>
      <w:r>
        <w:rPr>
          <w:spacing w:val="-9"/>
        </w:rPr>
        <w:t> </w:t>
      </w:r>
      <w:r>
        <w:rPr/>
        <w:t>A</w:t>
      </w:r>
      <w:r>
        <w:rPr>
          <w:spacing w:val="-7"/>
        </w:rPr>
        <w:t> </w:t>
      </w:r>
      <w:r>
        <w:rPr/>
        <w:t>Krishan,</w:t>
      </w:r>
      <w:r>
        <w:rPr>
          <w:spacing w:val="-7"/>
        </w:rPr>
        <w:t> </w:t>
      </w:r>
      <w:r>
        <w:rPr/>
        <w:t>et</w:t>
      </w:r>
      <w:r>
        <w:rPr>
          <w:spacing w:val="-6"/>
        </w:rPr>
        <w:t> </w:t>
      </w:r>
      <w:r>
        <w:rPr/>
        <w:t>T</w:t>
      </w:r>
      <w:r>
        <w:rPr>
          <w:spacing w:val="-8"/>
        </w:rPr>
        <w:t> </w:t>
      </w:r>
      <w:r>
        <w:rPr/>
        <w:t>J</w:t>
      </w:r>
      <w:r>
        <w:rPr>
          <w:spacing w:val="-4"/>
        </w:rPr>
        <w:t> </w:t>
      </w:r>
      <w:r>
        <w:rPr/>
        <w:t>Lampidis.</w:t>
      </w:r>
      <w:r>
        <w:rPr>
          <w:spacing w:val="-7"/>
        </w:rPr>
        <w:t> </w:t>
      </w:r>
      <w:r>
        <w:rPr/>
        <w:t>2004.</w:t>
      </w:r>
      <w:r>
        <w:rPr>
          <w:spacing w:val="-4"/>
        </w:rPr>
        <w:t> </w:t>
      </w:r>
      <w:r>
        <w:rPr/>
        <w:t>«</w:t>
      </w:r>
      <w:r>
        <w:rPr>
          <w:spacing w:val="-6"/>
        </w:rPr>
        <w:t> </w:t>
      </w:r>
      <w:r>
        <w:rPr/>
        <w:t>Greater</w:t>
      </w:r>
      <w:r>
        <w:rPr>
          <w:spacing w:val="-8"/>
        </w:rPr>
        <w:t> </w:t>
      </w:r>
      <w:r>
        <w:rPr/>
        <w:t>Cell</w:t>
      </w:r>
      <w:r>
        <w:rPr>
          <w:spacing w:val="-8"/>
        </w:rPr>
        <w:t> </w:t>
      </w:r>
      <w:r>
        <w:rPr/>
        <w:t>Cycle</w:t>
      </w:r>
      <w:r>
        <w:rPr>
          <w:spacing w:val="-5"/>
        </w:rPr>
        <w:t> </w:t>
      </w:r>
      <w:r>
        <w:rPr/>
        <w:t>Inhibition</w:t>
      </w:r>
      <w:r>
        <w:rPr>
          <w:spacing w:val="-9"/>
        </w:rPr>
        <w:t> </w:t>
      </w:r>
      <w:r>
        <w:rPr/>
        <w:t>and</w:t>
      </w:r>
      <w:r>
        <w:rPr>
          <w:spacing w:val="-9"/>
        </w:rPr>
        <w:t> </w:t>
      </w:r>
      <w:r>
        <w:rPr/>
        <w:t>Cytotoxicity Induced by 2-Deoxy-D-Glucose in Tumor Cells Treated under Hypoxic vs Aerobic Conditions </w:t>
      </w:r>
      <w:r>
        <w:rPr>
          <w:spacing w:val="-4"/>
        </w:rPr>
        <w:t>». </w:t>
      </w:r>
      <w:r>
        <w:rPr>
          <w:i/>
        </w:rPr>
        <w:t>Cancer Chemotherapy and Pharmacology </w:t>
      </w:r>
      <w:r>
        <w:rPr/>
        <w:t>53 (2):</w:t>
      </w:r>
      <w:r>
        <w:rPr>
          <w:spacing w:val="0"/>
        </w:rPr>
        <w:t> </w:t>
      </w:r>
      <w:r>
        <w:rPr/>
        <w:t>116</w:t>
      </w:r>
      <w:r>
        <w:rPr>
          <w:rFonts w:ascii="Cambria Math" w:hAnsi="Cambria Math"/>
        </w:rPr>
        <w:t>‑</w:t>
      </w:r>
      <w:r>
        <w:rPr/>
        <w:t>22.</w:t>
      </w:r>
    </w:p>
    <w:p>
      <w:pPr>
        <w:spacing w:after="0" w:line="242" w:lineRule="auto"/>
        <w:jc w:val="both"/>
        <w:sectPr>
          <w:pgSz w:w="11910" w:h="16840"/>
          <w:pgMar w:header="0" w:footer="1055" w:top="1320" w:bottom="1240" w:left="1300" w:right="1300"/>
        </w:sectPr>
      </w:pPr>
    </w:p>
    <w:p>
      <w:pPr>
        <w:pStyle w:val="BodyText"/>
        <w:spacing w:before="70"/>
        <w:ind w:left="836" w:right="115" w:hanging="720"/>
        <w:jc w:val="both"/>
      </w:pPr>
      <w:r>
        <w:rPr/>
        <w:t>Maisenbacher, H W, A L Shroads, G Z, A D Daigle, M M Abdelmalak, I S Samper, B D Mincey, M O James, et P W Stacpoole. 2013. « Pharmacokinetics of Oral Dichloroacetate in Dogs ». </w:t>
      </w:r>
      <w:r>
        <w:rPr>
          <w:i/>
        </w:rPr>
        <w:t>Journal of Biochemical and Molecular Toxicology </w:t>
      </w:r>
      <w:r>
        <w:rPr/>
        <w:t>27 (12): 522</w:t>
      </w:r>
      <w:r>
        <w:rPr>
          <w:rFonts w:ascii="Cambria Math" w:hAnsi="Cambria Math"/>
        </w:rPr>
        <w:t>‑</w:t>
      </w:r>
      <w:r>
        <w:rPr/>
        <w:t>25.</w:t>
      </w:r>
    </w:p>
    <w:p>
      <w:pPr>
        <w:pStyle w:val="BodyText"/>
        <w:spacing w:line="242" w:lineRule="auto"/>
        <w:ind w:left="836" w:right="116" w:hanging="720"/>
        <w:jc w:val="both"/>
      </w:pPr>
      <w:r>
        <w:rPr/>
        <w:t>Mann, M L, M Ezzati, E D Tarnawa, et B R Carr. 2015. « Fumarate Hydratase Mutation in a Young</w:t>
      </w:r>
      <w:r>
        <w:rPr>
          <w:spacing w:val="-16"/>
        </w:rPr>
        <w:t> </w:t>
      </w:r>
      <w:r>
        <w:rPr/>
        <w:t>Woman</w:t>
      </w:r>
      <w:r>
        <w:rPr>
          <w:spacing w:val="-16"/>
        </w:rPr>
        <w:t> </w:t>
      </w:r>
      <w:r>
        <w:rPr/>
        <w:t>With</w:t>
      </w:r>
      <w:r>
        <w:rPr>
          <w:spacing w:val="-16"/>
        </w:rPr>
        <w:t> </w:t>
      </w:r>
      <w:r>
        <w:rPr/>
        <w:t>Uterine</w:t>
      </w:r>
      <w:r>
        <w:rPr>
          <w:spacing w:val="-15"/>
        </w:rPr>
        <w:t> </w:t>
      </w:r>
      <w:r>
        <w:rPr/>
        <w:t>Leiomyomas</w:t>
      </w:r>
      <w:r>
        <w:rPr>
          <w:spacing w:val="-14"/>
        </w:rPr>
        <w:t> </w:t>
      </w:r>
      <w:r>
        <w:rPr/>
        <w:t>and</w:t>
      </w:r>
      <w:r>
        <w:rPr>
          <w:spacing w:val="-16"/>
        </w:rPr>
        <w:t> </w:t>
      </w:r>
      <w:r>
        <w:rPr/>
        <w:t>a</w:t>
      </w:r>
      <w:r>
        <w:rPr>
          <w:spacing w:val="-15"/>
        </w:rPr>
        <w:t> </w:t>
      </w:r>
      <w:r>
        <w:rPr/>
        <w:t>Family</w:t>
      </w:r>
      <w:r>
        <w:rPr>
          <w:spacing w:val="-21"/>
        </w:rPr>
        <w:t> </w:t>
      </w:r>
      <w:r>
        <w:rPr/>
        <w:t>History</w:t>
      </w:r>
      <w:r>
        <w:rPr>
          <w:spacing w:val="-21"/>
        </w:rPr>
        <w:t> </w:t>
      </w:r>
      <w:r>
        <w:rPr/>
        <w:t>of</w:t>
      </w:r>
      <w:r>
        <w:rPr>
          <w:spacing w:val="-17"/>
        </w:rPr>
        <w:t> </w:t>
      </w:r>
      <w:r>
        <w:rPr/>
        <w:t>Renal</w:t>
      </w:r>
      <w:r>
        <w:rPr>
          <w:spacing w:val="-15"/>
        </w:rPr>
        <w:t> </w:t>
      </w:r>
      <w:r>
        <w:rPr/>
        <w:t>Cell</w:t>
      </w:r>
      <w:r>
        <w:rPr>
          <w:spacing w:val="-15"/>
        </w:rPr>
        <w:t> </w:t>
      </w:r>
      <w:r>
        <w:rPr/>
        <w:t>Cancer</w:t>
      </w:r>
      <w:r>
        <w:rPr>
          <w:spacing w:val="8"/>
        </w:rPr>
        <w:t> </w:t>
      </w:r>
      <w:r>
        <w:rPr>
          <w:spacing w:val="-4"/>
        </w:rPr>
        <w:t>». </w:t>
      </w:r>
      <w:r>
        <w:rPr>
          <w:i/>
        </w:rPr>
        <w:t>Obstetrics and Gynecology </w:t>
      </w:r>
      <w:r>
        <w:rPr/>
        <w:t>126 (1):</w:t>
      </w:r>
      <w:r>
        <w:rPr>
          <w:spacing w:val="-8"/>
        </w:rPr>
        <w:t> </w:t>
      </w:r>
      <w:r>
        <w:rPr/>
        <w:t>90</w:t>
      </w:r>
      <w:r>
        <w:rPr>
          <w:rFonts w:ascii="Cambria Math" w:hAnsi="Cambria Math"/>
        </w:rPr>
        <w:t>‑</w:t>
      </w:r>
      <w:r>
        <w:rPr/>
        <w:t>92.</w:t>
      </w:r>
    </w:p>
    <w:p>
      <w:pPr>
        <w:pStyle w:val="BodyText"/>
        <w:spacing w:line="242" w:lineRule="auto"/>
        <w:ind w:left="836" w:right="114" w:hanging="720"/>
        <w:jc w:val="both"/>
      </w:pPr>
      <w:r>
        <w:rPr/>
        <w:t>Marconato,</w:t>
      </w:r>
      <w:r>
        <w:rPr>
          <w:spacing w:val="-2"/>
        </w:rPr>
        <w:t> </w:t>
      </w:r>
      <w:r>
        <w:rPr/>
        <w:t>L,</w:t>
      </w:r>
      <w:r>
        <w:rPr>
          <w:spacing w:val="-2"/>
        </w:rPr>
        <w:t> </w:t>
      </w:r>
      <w:r>
        <w:rPr/>
        <w:t>G</w:t>
      </w:r>
      <w:r>
        <w:rPr>
          <w:spacing w:val="-5"/>
        </w:rPr>
        <w:t> </w:t>
      </w:r>
      <w:r>
        <w:rPr/>
        <w:t>Crispino,</w:t>
      </w:r>
      <w:r>
        <w:rPr>
          <w:spacing w:val="-4"/>
        </w:rPr>
        <w:t> </w:t>
      </w:r>
      <w:r>
        <w:rPr/>
        <w:t>R</w:t>
      </w:r>
      <w:r>
        <w:rPr>
          <w:spacing w:val="-4"/>
        </w:rPr>
        <w:t> </w:t>
      </w:r>
      <w:r>
        <w:rPr/>
        <w:t>Finotello,</w:t>
      </w:r>
      <w:r>
        <w:rPr>
          <w:spacing w:val="-5"/>
        </w:rPr>
        <w:t> </w:t>
      </w:r>
      <w:r>
        <w:rPr/>
        <w:t>S</w:t>
      </w:r>
      <w:r>
        <w:rPr>
          <w:spacing w:val="-4"/>
        </w:rPr>
        <w:t> </w:t>
      </w:r>
      <w:r>
        <w:rPr/>
        <w:t>Mazzotti,</w:t>
      </w:r>
      <w:r>
        <w:rPr>
          <w:spacing w:val="-4"/>
        </w:rPr>
        <w:t> </w:t>
      </w:r>
      <w:r>
        <w:rPr/>
        <w:t>F</w:t>
      </w:r>
      <w:r>
        <w:rPr>
          <w:spacing w:val="-3"/>
        </w:rPr>
        <w:t> </w:t>
      </w:r>
      <w:r>
        <w:rPr/>
        <w:t>Salerni,</w:t>
      </w:r>
      <w:r>
        <w:rPr>
          <w:spacing w:val="-4"/>
        </w:rPr>
        <w:t> </w:t>
      </w:r>
      <w:r>
        <w:rPr/>
        <w:t>et</w:t>
      </w:r>
      <w:r>
        <w:rPr>
          <w:spacing w:val="-4"/>
        </w:rPr>
        <w:t> </w:t>
      </w:r>
      <w:r>
        <w:rPr/>
        <w:t>E</w:t>
      </w:r>
      <w:r>
        <w:rPr>
          <w:spacing w:val="-2"/>
        </w:rPr>
        <w:t> </w:t>
      </w:r>
      <w:r>
        <w:rPr/>
        <w:t>Zini.</w:t>
      </w:r>
      <w:r>
        <w:rPr>
          <w:spacing w:val="-5"/>
        </w:rPr>
        <w:t> </w:t>
      </w:r>
      <w:r>
        <w:rPr/>
        <w:t>2009. «</w:t>
      </w:r>
      <w:r>
        <w:rPr>
          <w:spacing w:val="-9"/>
        </w:rPr>
        <w:t> </w:t>
      </w:r>
      <w:r>
        <w:rPr/>
        <w:t>Serum</w:t>
      </w:r>
      <w:r>
        <w:rPr>
          <w:spacing w:val="-2"/>
        </w:rPr>
        <w:t> </w:t>
      </w:r>
      <w:r>
        <w:rPr/>
        <w:t>Lactate Dehydrogenase Activity in Canine Malignancies </w:t>
      </w:r>
      <w:r>
        <w:rPr>
          <w:spacing w:val="-4"/>
        </w:rPr>
        <w:t>».</w:t>
      </w:r>
      <w:r>
        <w:rPr>
          <w:spacing w:val="51"/>
        </w:rPr>
        <w:t> </w:t>
      </w:r>
      <w:r>
        <w:rPr>
          <w:i/>
        </w:rPr>
        <w:t>Veterinary and Comparative </w:t>
      </w:r>
      <w:r>
        <w:rPr>
          <w:i/>
        </w:rPr>
        <w:t>Oncology </w:t>
      </w:r>
      <w:r>
        <w:rPr/>
        <w:t>7 (4):</w:t>
      </w:r>
      <w:r>
        <w:rPr>
          <w:spacing w:val="-6"/>
        </w:rPr>
        <w:t> </w:t>
      </w:r>
      <w:r>
        <w:rPr/>
        <w:t>236</w:t>
      </w:r>
      <w:r>
        <w:rPr>
          <w:rFonts w:ascii="Cambria Math" w:hAnsi="Cambria Math"/>
        </w:rPr>
        <w:t>‑</w:t>
      </w:r>
      <w:r>
        <w:rPr/>
        <w:t>43.</w:t>
      </w:r>
    </w:p>
    <w:p>
      <w:pPr>
        <w:pStyle w:val="BodyText"/>
        <w:ind w:left="836" w:right="114" w:hanging="720"/>
        <w:jc w:val="both"/>
      </w:pPr>
      <w:r>
        <w:rPr/>
        <w:t>Marino,</w:t>
      </w:r>
      <w:r>
        <w:rPr>
          <w:spacing w:val="-5"/>
        </w:rPr>
        <w:t> </w:t>
      </w:r>
      <w:r>
        <w:rPr/>
        <w:t>M</w:t>
      </w:r>
      <w:r>
        <w:rPr>
          <w:spacing w:val="-2"/>
        </w:rPr>
        <w:t> </w:t>
      </w:r>
      <w:r>
        <w:rPr>
          <w:spacing w:val="-3"/>
        </w:rPr>
        <w:t>L,</w:t>
      </w:r>
      <w:r>
        <w:rPr>
          <w:spacing w:val="-5"/>
        </w:rPr>
        <w:t> </w:t>
      </w:r>
      <w:r>
        <w:rPr/>
        <w:t>S</w:t>
      </w:r>
      <w:r>
        <w:rPr>
          <w:spacing w:val="-4"/>
        </w:rPr>
        <w:t> </w:t>
      </w:r>
      <w:r>
        <w:rPr/>
        <w:t>Fais,</w:t>
      </w:r>
      <w:r>
        <w:rPr>
          <w:spacing w:val="-4"/>
        </w:rPr>
        <w:t> </w:t>
      </w:r>
      <w:r>
        <w:rPr/>
        <w:t>M</w:t>
      </w:r>
      <w:r>
        <w:rPr>
          <w:spacing w:val="-5"/>
        </w:rPr>
        <w:t> </w:t>
      </w:r>
      <w:r>
        <w:rPr/>
        <w:t>Djavaheri-Mergny,</w:t>
      </w:r>
      <w:r>
        <w:rPr>
          <w:spacing w:val="-5"/>
        </w:rPr>
        <w:t> </w:t>
      </w:r>
      <w:r>
        <w:rPr/>
        <w:t>A</w:t>
      </w:r>
      <w:r>
        <w:rPr>
          <w:spacing w:val="-5"/>
        </w:rPr>
        <w:t> </w:t>
      </w:r>
      <w:r>
        <w:rPr/>
        <w:t>Villa,</w:t>
      </w:r>
      <w:r>
        <w:rPr>
          <w:spacing w:val="-5"/>
        </w:rPr>
        <w:t> </w:t>
      </w:r>
      <w:r>
        <w:rPr/>
        <w:t>S</w:t>
      </w:r>
      <w:r>
        <w:rPr>
          <w:spacing w:val="-4"/>
        </w:rPr>
        <w:t> </w:t>
      </w:r>
      <w:r>
        <w:rPr/>
        <w:t>Meschini,</w:t>
      </w:r>
      <w:r>
        <w:rPr>
          <w:spacing w:val="-5"/>
        </w:rPr>
        <w:t> </w:t>
      </w:r>
      <w:r>
        <w:rPr/>
        <w:t>F</w:t>
      </w:r>
      <w:r>
        <w:rPr>
          <w:spacing w:val="-6"/>
        </w:rPr>
        <w:t> </w:t>
      </w:r>
      <w:r>
        <w:rPr/>
        <w:t>Lozupone,</w:t>
      </w:r>
      <w:r>
        <w:rPr>
          <w:spacing w:val="-5"/>
        </w:rPr>
        <w:t> </w:t>
      </w:r>
      <w:r>
        <w:rPr/>
        <w:t>G</w:t>
      </w:r>
      <w:r>
        <w:rPr>
          <w:spacing w:val="-5"/>
        </w:rPr>
        <w:t> </w:t>
      </w:r>
      <w:r>
        <w:rPr/>
        <w:t>Venturi,</w:t>
      </w:r>
      <w:r>
        <w:rPr>
          <w:spacing w:val="-5"/>
        </w:rPr>
        <w:t> </w:t>
      </w:r>
      <w:r>
        <w:rPr/>
        <w:t>et</w:t>
      </w:r>
      <w:r>
        <w:rPr>
          <w:spacing w:val="-4"/>
        </w:rPr>
        <w:t> </w:t>
      </w:r>
      <w:r>
        <w:rPr/>
        <w:t>al. 2010. « Proton pump inhibition induces autophagy as a survival mechanism following oxidative stress in human melanoma cells </w:t>
      </w:r>
      <w:r>
        <w:rPr>
          <w:spacing w:val="-4"/>
        </w:rPr>
        <w:t>». </w:t>
      </w:r>
      <w:r>
        <w:rPr>
          <w:i/>
        </w:rPr>
        <w:t>Cell Death &amp; Disease </w:t>
      </w:r>
      <w:r>
        <w:rPr/>
        <w:t>1 (10): 87-96.</w:t>
      </w:r>
    </w:p>
    <w:p>
      <w:pPr>
        <w:pStyle w:val="BodyText"/>
        <w:spacing w:before="1"/>
        <w:ind w:left="836" w:right="116" w:hanging="720"/>
        <w:jc w:val="both"/>
      </w:pPr>
      <w:r>
        <w:rPr/>
        <w:t>Marsh, J, P Mukherjee, et T N Seyfried. 2008. « Drug/Diet Synergy for Managing Malignant Astrocytoma in Mice: 2-Deoxy-D-Glucose and the Restricted Ketogenic Diet ». </w:t>
      </w:r>
      <w:r>
        <w:rPr>
          <w:i/>
        </w:rPr>
        <w:t>Nutrition &amp; Metabolism </w:t>
      </w:r>
      <w:r>
        <w:rPr/>
        <w:t>5 (33): 70-82.</w:t>
      </w:r>
    </w:p>
    <w:p>
      <w:pPr>
        <w:spacing w:line="242" w:lineRule="auto" w:before="0"/>
        <w:ind w:left="836" w:right="115" w:hanging="720"/>
        <w:jc w:val="both"/>
        <w:rPr>
          <w:sz w:val="24"/>
        </w:rPr>
      </w:pPr>
      <w:r>
        <w:rPr>
          <w:sz w:val="24"/>
        </w:rPr>
        <w:t>Martel, F, M Guedes, et E Keating. 2016. « Effect of Polyphenols on Glucose and Lactate Transport by Breast Cancer Cells ». </w:t>
      </w:r>
      <w:r>
        <w:rPr>
          <w:i/>
          <w:sz w:val="24"/>
        </w:rPr>
        <w:t>Breast Cancer Research and Treatment </w:t>
      </w:r>
      <w:r>
        <w:rPr>
          <w:sz w:val="24"/>
        </w:rPr>
        <w:t>157 (1): 1</w:t>
      </w:r>
      <w:r>
        <w:rPr>
          <w:rFonts w:ascii="Cambria Math" w:hAnsi="Cambria Math"/>
          <w:sz w:val="24"/>
        </w:rPr>
        <w:t>‑</w:t>
      </w:r>
      <w:r>
        <w:rPr>
          <w:sz w:val="24"/>
        </w:rPr>
        <w:t>11.</w:t>
      </w:r>
    </w:p>
    <w:p>
      <w:pPr>
        <w:pStyle w:val="BodyText"/>
        <w:ind w:left="836" w:right="111" w:hanging="720"/>
        <w:jc w:val="both"/>
      </w:pPr>
      <w:r>
        <w:rPr/>
        <w:t>Martin-Castillo, B, J Dorca, A Vazquez-Martin, C Oliveras-Ferraros, E Lopez-Bonet, M Garcia, S del Barco, et J A Menendez. 2010. « Incorporating the Antidiabetic Drug Metformin</w:t>
      </w:r>
      <w:r>
        <w:rPr>
          <w:spacing w:val="-7"/>
        </w:rPr>
        <w:t> </w:t>
      </w:r>
      <w:r>
        <w:rPr/>
        <w:t>in</w:t>
      </w:r>
      <w:r>
        <w:rPr>
          <w:spacing w:val="-7"/>
        </w:rPr>
        <w:t> </w:t>
      </w:r>
      <w:r>
        <w:rPr/>
        <w:t>HER2-Positive</w:t>
      </w:r>
      <w:r>
        <w:rPr>
          <w:spacing w:val="-8"/>
        </w:rPr>
        <w:t> </w:t>
      </w:r>
      <w:r>
        <w:rPr/>
        <w:t>Breast</w:t>
      </w:r>
      <w:r>
        <w:rPr>
          <w:spacing w:val="-7"/>
        </w:rPr>
        <w:t> </w:t>
      </w:r>
      <w:r>
        <w:rPr/>
        <w:t>Cancer</w:t>
      </w:r>
      <w:r>
        <w:rPr>
          <w:spacing w:val="-8"/>
        </w:rPr>
        <w:t> </w:t>
      </w:r>
      <w:r>
        <w:rPr/>
        <w:t>Treated</w:t>
      </w:r>
      <w:r>
        <w:rPr>
          <w:spacing w:val="-7"/>
        </w:rPr>
        <w:t> </w:t>
      </w:r>
      <w:r>
        <w:rPr/>
        <w:t>with</w:t>
      </w:r>
      <w:r>
        <w:rPr>
          <w:spacing w:val="-7"/>
        </w:rPr>
        <w:t> </w:t>
      </w:r>
      <w:r>
        <w:rPr/>
        <w:t>Neo-Adjuvant</w:t>
      </w:r>
      <w:r>
        <w:rPr>
          <w:spacing w:val="-7"/>
        </w:rPr>
        <w:t> </w:t>
      </w:r>
      <w:r>
        <w:rPr/>
        <w:t>Chemotherapy and Trastuzumab: An Ongoing Clinical–translational Research Experience at the Catalan Institute of Oncology </w:t>
      </w:r>
      <w:r>
        <w:rPr>
          <w:spacing w:val="-4"/>
        </w:rPr>
        <w:t>». </w:t>
      </w:r>
      <w:r>
        <w:rPr>
          <w:i/>
        </w:rPr>
        <w:t>Annals of Oncology </w:t>
      </w:r>
      <w:r>
        <w:rPr/>
        <w:t>21 (1):</w:t>
      </w:r>
      <w:r>
        <w:rPr>
          <w:spacing w:val="-1"/>
        </w:rPr>
        <w:t> </w:t>
      </w:r>
      <w:r>
        <w:rPr/>
        <w:t>187</w:t>
      </w:r>
      <w:r>
        <w:rPr>
          <w:rFonts w:ascii="Cambria Math" w:hAnsi="Cambria Math"/>
        </w:rPr>
        <w:t>‑</w:t>
      </w:r>
      <w:r>
        <w:rPr/>
        <w:t>89.</w:t>
      </w:r>
    </w:p>
    <w:p>
      <w:pPr>
        <w:pStyle w:val="BodyText"/>
        <w:spacing w:before="2"/>
        <w:ind w:left="836" w:right="114" w:hanging="720"/>
        <w:jc w:val="both"/>
      </w:pPr>
      <w:r>
        <w:rPr/>
        <w:t>Maschek,</w:t>
      </w:r>
      <w:r>
        <w:rPr>
          <w:spacing w:val="-5"/>
        </w:rPr>
        <w:t> </w:t>
      </w:r>
      <w:r>
        <w:rPr/>
        <w:t>G,</w:t>
      </w:r>
      <w:r>
        <w:rPr>
          <w:spacing w:val="-5"/>
        </w:rPr>
        <w:t> </w:t>
      </w:r>
      <w:r>
        <w:rPr/>
        <w:t>N</w:t>
      </w:r>
      <w:r>
        <w:rPr>
          <w:spacing w:val="-5"/>
        </w:rPr>
        <w:t> </w:t>
      </w:r>
      <w:r>
        <w:rPr/>
        <w:t>Savaraj,</w:t>
      </w:r>
      <w:r>
        <w:rPr>
          <w:spacing w:val="-2"/>
        </w:rPr>
        <w:t> </w:t>
      </w:r>
      <w:r>
        <w:rPr/>
        <w:t>W</w:t>
      </w:r>
      <w:r>
        <w:rPr>
          <w:spacing w:val="-2"/>
        </w:rPr>
        <w:t> </w:t>
      </w:r>
      <w:r>
        <w:rPr/>
        <w:t>Priebe,</w:t>
      </w:r>
      <w:r>
        <w:rPr>
          <w:spacing w:val="-5"/>
        </w:rPr>
        <w:t> </w:t>
      </w:r>
      <w:r>
        <w:rPr/>
        <w:t>P</w:t>
      </w:r>
      <w:r>
        <w:rPr>
          <w:spacing w:val="-4"/>
        </w:rPr>
        <w:t> </w:t>
      </w:r>
      <w:r>
        <w:rPr/>
        <w:t>Braunschweiger,</w:t>
      </w:r>
      <w:r>
        <w:rPr>
          <w:spacing w:val="-2"/>
        </w:rPr>
        <w:t> </w:t>
      </w:r>
      <w:r>
        <w:rPr/>
        <w:t>K</w:t>
      </w:r>
      <w:r>
        <w:rPr>
          <w:spacing w:val="-6"/>
        </w:rPr>
        <w:t> </w:t>
      </w:r>
      <w:r>
        <w:rPr/>
        <w:t>Hamilton,</w:t>
      </w:r>
      <w:r>
        <w:rPr>
          <w:spacing w:val="-5"/>
        </w:rPr>
        <w:t> </w:t>
      </w:r>
      <w:r>
        <w:rPr/>
        <w:t>G</w:t>
      </w:r>
      <w:r>
        <w:rPr>
          <w:spacing w:val="-5"/>
        </w:rPr>
        <w:t> </w:t>
      </w:r>
      <w:r>
        <w:rPr/>
        <w:t>F</w:t>
      </w:r>
      <w:r>
        <w:rPr>
          <w:spacing w:val="-6"/>
        </w:rPr>
        <w:t> </w:t>
      </w:r>
      <w:r>
        <w:rPr/>
        <w:t>Tidmarsh,</w:t>
      </w:r>
      <w:r>
        <w:rPr>
          <w:spacing w:val="-2"/>
        </w:rPr>
        <w:t> </w:t>
      </w:r>
      <w:r>
        <w:rPr/>
        <w:t>L</w:t>
      </w:r>
      <w:r>
        <w:rPr>
          <w:spacing w:val="-9"/>
        </w:rPr>
        <w:t> </w:t>
      </w:r>
      <w:r>
        <w:rPr/>
        <w:t>R</w:t>
      </w:r>
      <w:r>
        <w:rPr>
          <w:spacing w:val="-3"/>
        </w:rPr>
        <w:t> </w:t>
      </w:r>
      <w:r>
        <w:rPr/>
        <w:t>Young, et</w:t>
      </w:r>
      <w:r>
        <w:rPr>
          <w:spacing w:val="-7"/>
        </w:rPr>
        <w:t> </w:t>
      </w:r>
      <w:r>
        <w:rPr/>
        <w:t>T</w:t>
      </w:r>
      <w:r>
        <w:rPr>
          <w:spacing w:val="-7"/>
        </w:rPr>
        <w:t> </w:t>
      </w:r>
      <w:r>
        <w:rPr/>
        <w:t>J</w:t>
      </w:r>
      <w:r>
        <w:rPr>
          <w:spacing w:val="-5"/>
        </w:rPr>
        <w:t> </w:t>
      </w:r>
      <w:r>
        <w:rPr/>
        <w:t>Lampidis.</w:t>
      </w:r>
      <w:r>
        <w:rPr>
          <w:spacing w:val="-7"/>
        </w:rPr>
        <w:t> </w:t>
      </w:r>
      <w:r>
        <w:rPr/>
        <w:t>2004.</w:t>
      </w:r>
      <w:r>
        <w:rPr>
          <w:spacing w:val="-3"/>
        </w:rPr>
        <w:t> </w:t>
      </w:r>
      <w:r>
        <w:rPr/>
        <w:t>«</w:t>
      </w:r>
      <w:r>
        <w:rPr>
          <w:spacing w:val="-6"/>
        </w:rPr>
        <w:t> </w:t>
      </w:r>
      <w:r>
        <w:rPr/>
        <w:t>2-Deoxy-D-Glucose</w:t>
      </w:r>
      <w:r>
        <w:rPr>
          <w:spacing w:val="-3"/>
        </w:rPr>
        <w:t> </w:t>
      </w:r>
      <w:r>
        <w:rPr/>
        <w:t>Increases</w:t>
      </w:r>
      <w:r>
        <w:rPr>
          <w:spacing w:val="-7"/>
        </w:rPr>
        <w:t> </w:t>
      </w:r>
      <w:r>
        <w:rPr/>
        <w:t>the</w:t>
      </w:r>
      <w:r>
        <w:rPr>
          <w:spacing w:val="-8"/>
        </w:rPr>
        <w:t> </w:t>
      </w:r>
      <w:r>
        <w:rPr/>
        <w:t>Efficacy</w:t>
      </w:r>
      <w:r>
        <w:rPr>
          <w:spacing w:val="-12"/>
        </w:rPr>
        <w:t> </w:t>
      </w:r>
      <w:r>
        <w:rPr/>
        <w:t>of</w:t>
      </w:r>
      <w:r>
        <w:rPr>
          <w:spacing w:val="-8"/>
        </w:rPr>
        <w:t> </w:t>
      </w:r>
      <w:r>
        <w:rPr/>
        <w:t>Adriamycin</w:t>
      </w:r>
      <w:r>
        <w:rPr>
          <w:spacing w:val="-7"/>
        </w:rPr>
        <w:t> </w:t>
      </w:r>
      <w:r>
        <w:rPr/>
        <w:t>and Paclitaxel in Human Osteosarcoma and Non-Small Cell Lung Cancers in Vivo </w:t>
      </w:r>
      <w:r>
        <w:rPr>
          <w:spacing w:val="-4"/>
        </w:rPr>
        <w:t>».</w:t>
      </w:r>
      <w:r>
        <w:rPr>
          <w:spacing w:val="51"/>
        </w:rPr>
        <w:t> </w:t>
      </w:r>
      <w:r>
        <w:rPr>
          <w:i/>
        </w:rPr>
        <w:t>Cancer Research </w:t>
      </w:r>
      <w:r>
        <w:rPr/>
        <w:t>64 (1):</w:t>
      </w:r>
      <w:r>
        <w:rPr>
          <w:spacing w:val="-5"/>
        </w:rPr>
        <w:t> </w:t>
      </w:r>
      <w:r>
        <w:rPr/>
        <w:t>31</w:t>
      </w:r>
      <w:r>
        <w:rPr>
          <w:rFonts w:ascii="Cambria Math" w:hAnsi="Cambria Math"/>
        </w:rPr>
        <w:t>‑</w:t>
      </w:r>
      <w:r>
        <w:rPr/>
        <w:t>34.</w:t>
      </w:r>
    </w:p>
    <w:p>
      <w:pPr>
        <w:spacing w:line="242" w:lineRule="auto" w:before="0"/>
        <w:ind w:left="836" w:right="116" w:hanging="720"/>
        <w:jc w:val="both"/>
        <w:rPr>
          <w:sz w:val="24"/>
        </w:rPr>
      </w:pPr>
      <w:r>
        <w:rPr>
          <w:sz w:val="24"/>
        </w:rPr>
        <w:t>Masereel, B, L Pochet, et D Laeckmann. 2003. « An overview of inhibitors of Na+/H+ exchanger ». </w:t>
      </w:r>
      <w:r>
        <w:rPr>
          <w:i/>
          <w:sz w:val="24"/>
        </w:rPr>
        <w:t>European Journal of Medicinal Chemistry </w:t>
      </w:r>
      <w:r>
        <w:rPr>
          <w:sz w:val="24"/>
        </w:rPr>
        <w:t>38 (6): 547</w:t>
      </w:r>
      <w:r>
        <w:rPr>
          <w:rFonts w:ascii="Cambria Math" w:hAnsi="Cambria Math"/>
          <w:sz w:val="24"/>
        </w:rPr>
        <w:t>‑</w:t>
      </w:r>
      <w:r>
        <w:rPr>
          <w:sz w:val="24"/>
        </w:rPr>
        <w:t>54.</w:t>
      </w:r>
    </w:p>
    <w:p>
      <w:pPr>
        <w:pStyle w:val="BodyText"/>
        <w:spacing w:line="242" w:lineRule="auto"/>
        <w:ind w:left="836" w:right="120" w:hanging="720"/>
        <w:jc w:val="both"/>
      </w:pPr>
      <w:r>
        <w:rPr/>
        <w:t>Masoud, G N, et Wei Li. 2015. « HIF-1α pathway: role, regulation and intervention for cancer therapy ». </w:t>
      </w:r>
      <w:r>
        <w:rPr>
          <w:i/>
        </w:rPr>
        <w:t>Acta Pharmaceutica Sinica. B </w:t>
      </w:r>
      <w:r>
        <w:rPr/>
        <w:t>5 (5): 378</w:t>
      </w:r>
      <w:r>
        <w:rPr>
          <w:rFonts w:ascii="Cambria Math" w:hAnsi="Cambria Math"/>
        </w:rPr>
        <w:t>‑</w:t>
      </w:r>
      <w:r>
        <w:rPr/>
        <w:t>89.</w:t>
      </w:r>
    </w:p>
    <w:p>
      <w:pPr>
        <w:spacing w:line="240" w:lineRule="auto" w:before="0"/>
        <w:ind w:left="836" w:right="112" w:hanging="720"/>
        <w:jc w:val="both"/>
        <w:rPr>
          <w:sz w:val="24"/>
        </w:rPr>
      </w:pPr>
      <w:r>
        <w:rPr>
          <w:sz w:val="24"/>
        </w:rPr>
        <w:t>Maurya, D K, R Ayuzawa, C Doi, D Troyer, et M Tamura. 2011. « Topoisomerase I inhibitor SN-38 effectively attenuates growth of human non-small cell lung cancer cell lines in vitro and in vivo </w:t>
      </w:r>
      <w:r>
        <w:rPr>
          <w:spacing w:val="-4"/>
          <w:sz w:val="24"/>
        </w:rPr>
        <w:t>». </w:t>
      </w:r>
      <w:r>
        <w:rPr>
          <w:i/>
          <w:sz w:val="24"/>
        </w:rPr>
        <w:t>Journal of environmental pathology, toxicology and oncology : </w:t>
      </w:r>
      <w:r>
        <w:rPr>
          <w:i/>
          <w:sz w:val="24"/>
        </w:rPr>
        <w:t>official</w:t>
      </w:r>
      <w:r>
        <w:rPr>
          <w:i/>
          <w:spacing w:val="-8"/>
          <w:sz w:val="24"/>
        </w:rPr>
        <w:t> </w:t>
      </w:r>
      <w:r>
        <w:rPr>
          <w:i/>
          <w:sz w:val="24"/>
        </w:rPr>
        <w:t>organ</w:t>
      </w:r>
      <w:r>
        <w:rPr>
          <w:i/>
          <w:spacing w:val="-8"/>
          <w:sz w:val="24"/>
        </w:rPr>
        <w:t> </w:t>
      </w:r>
      <w:r>
        <w:rPr>
          <w:i/>
          <w:sz w:val="24"/>
        </w:rPr>
        <w:t>of</w:t>
      </w:r>
      <w:r>
        <w:rPr>
          <w:i/>
          <w:spacing w:val="-8"/>
          <w:sz w:val="24"/>
        </w:rPr>
        <w:t> </w:t>
      </w:r>
      <w:r>
        <w:rPr>
          <w:i/>
          <w:sz w:val="24"/>
        </w:rPr>
        <w:t>the</w:t>
      </w:r>
      <w:r>
        <w:rPr>
          <w:i/>
          <w:spacing w:val="-9"/>
          <w:sz w:val="24"/>
        </w:rPr>
        <w:t> </w:t>
      </w:r>
      <w:r>
        <w:rPr>
          <w:i/>
          <w:sz w:val="24"/>
        </w:rPr>
        <w:t>International</w:t>
      </w:r>
      <w:r>
        <w:rPr>
          <w:i/>
          <w:spacing w:val="-8"/>
          <w:sz w:val="24"/>
        </w:rPr>
        <w:t> </w:t>
      </w:r>
      <w:r>
        <w:rPr>
          <w:i/>
          <w:sz w:val="24"/>
        </w:rPr>
        <w:t>Society</w:t>
      </w:r>
      <w:r>
        <w:rPr>
          <w:i/>
          <w:spacing w:val="-10"/>
          <w:sz w:val="24"/>
        </w:rPr>
        <w:t> </w:t>
      </w:r>
      <w:r>
        <w:rPr>
          <w:i/>
          <w:sz w:val="24"/>
        </w:rPr>
        <w:t>for</w:t>
      </w:r>
      <w:r>
        <w:rPr>
          <w:i/>
          <w:spacing w:val="-8"/>
          <w:sz w:val="24"/>
        </w:rPr>
        <w:t> </w:t>
      </w:r>
      <w:r>
        <w:rPr>
          <w:i/>
          <w:sz w:val="24"/>
        </w:rPr>
        <w:t>Environmental</w:t>
      </w:r>
      <w:r>
        <w:rPr>
          <w:i/>
          <w:spacing w:val="-8"/>
          <w:sz w:val="24"/>
        </w:rPr>
        <w:t> </w:t>
      </w:r>
      <w:r>
        <w:rPr>
          <w:i/>
          <w:sz w:val="24"/>
        </w:rPr>
        <w:t>Toxicology</w:t>
      </w:r>
      <w:r>
        <w:rPr>
          <w:i/>
          <w:spacing w:val="-10"/>
          <w:sz w:val="24"/>
        </w:rPr>
        <w:t> </w:t>
      </w:r>
      <w:r>
        <w:rPr>
          <w:i/>
          <w:sz w:val="24"/>
        </w:rPr>
        <w:t>and</w:t>
      </w:r>
      <w:r>
        <w:rPr>
          <w:i/>
          <w:spacing w:val="-9"/>
          <w:sz w:val="24"/>
        </w:rPr>
        <w:t> </w:t>
      </w:r>
      <w:r>
        <w:rPr>
          <w:i/>
          <w:sz w:val="24"/>
        </w:rPr>
        <w:t>Cancer</w:t>
      </w:r>
      <w:r>
        <w:rPr>
          <w:i/>
          <w:spacing w:val="-7"/>
          <w:sz w:val="24"/>
        </w:rPr>
        <w:t> </w:t>
      </w:r>
      <w:r>
        <w:rPr>
          <w:sz w:val="24"/>
        </w:rPr>
        <w:t>30 (1):</w:t>
      </w:r>
      <w:r>
        <w:rPr>
          <w:spacing w:val="-3"/>
          <w:sz w:val="24"/>
        </w:rPr>
        <w:t> </w:t>
      </w:r>
      <w:r>
        <w:rPr>
          <w:sz w:val="24"/>
        </w:rPr>
        <w:t>1</w:t>
      </w:r>
      <w:r>
        <w:rPr>
          <w:rFonts w:ascii="Cambria Math" w:hAnsi="Cambria Math"/>
          <w:sz w:val="24"/>
        </w:rPr>
        <w:t>‑</w:t>
      </w:r>
      <w:r>
        <w:rPr>
          <w:sz w:val="24"/>
        </w:rPr>
        <w:t>10.</w:t>
      </w:r>
    </w:p>
    <w:p>
      <w:pPr>
        <w:pStyle w:val="BodyText"/>
        <w:ind w:left="836" w:right="113" w:hanging="720"/>
        <w:jc w:val="both"/>
      </w:pPr>
      <w:r>
        <w:rPr/>
        <w:t>Michelakis, E D, G Sutendra, P Dromparis, L Webster, A Haromy, E Niven, C Maguire, et al. 2010. « Metabolic Modulation of Glioblastoma with Dichloroacetate </w:t>
      </w:r>
      <w:r>
        <w:rPr>
          <w:spacing w:val="-4"/>
        </w:rPr>
        <w:t>».</w:t>
      </w:r>
      <w:r>
        <w:rPr>
          <w:spacing w:val="51"/>
        </w:rPr>
        <w:t> </w:t>
      </w:r>
      <w:r>
        <w:rPr>
          <w:i/>
        </w:rPr>
        <w:t>Science </w:t>
      </w:r>
      <w:r>
        <w:rPr>
          <w:i/>
        </w:rPr>
        <w:t>Translational Medicine </w:t>
      </w:r>
      <w:r>
        <w:rPr/>
        <w:t>2 (31): 31-34.</w:t>
      </w:r>
    </w:p>
    <w:p>
      <w:pPr>
        <w:pStyle w:val="BodyText"/>
        <w:spacing w:before="1"/>
        <w:ind w:left="116"/>
      </w:pPr>
      <w:r>
        <w:rPr/>
        <w:t>Migita, T, T Narita, K Nomura, E Miyagi, F Inazuka, M Matsuura, M Ushijima, et al. 2008.</w:t>
      </w:r>
    </w:p>
    <w:p>
      <w:pPr>
        <w:pStyle w:val="BodyText"/>
        <w:spacing w:line="242" w:lineRule="auto"/>
        <w:ind w:left="836"/>
      </w:pPr>
      <w:r>
        <w:rPr/>
        <w:t>« ATP Citrate Lyase: Activation and Therapeutic Implications in Non-Small Cell Lung Cancer ». </w:t>
      </w:r>
      <w:r>
        <w:rPr>
          <w:i/>
        </w:rPr>
        <w:t>Cancer Research </w:t>
      </w:r>
      <w:r>
        <w:rPr/>
        <w:t>68 (20): 8547</w:t>
      </w:r>
      <w:r>
        <w:rPr>
          <w:rFonts w:ascii="Cambria Math" w:hAnsi="Cambria Math"/>
        </w:rPr>
        <w:t>‑</w:t>
      </w:r>
      <w:r>
        <w:rPr/>
        <w:t>54.</w:t>
      </w:r>
    </w:p>
    <w:p>
      <w:pPr>
        <w:pStyle w:val="BodyText"/>
        <w:spacing w:line="270" w:lineRule="exact"/>
        <w:ind w:left="116"/>
      </w:pPr>
      <w:r>
        <w:rPr/>
        <w:t>Milrot,  E,  A  Jackman,  E  Flescher,  P  Gonen,  I  Kelson,  Y  Keisari,  et  L  Sherman. 2013.</w:t>
      </w:r>
    </w:p>
    <w:p>
      <w:pPr>
        <w:pStyle w:val="BodyText"/>
        <w:spacing w:line="242" w:lineRule="auto"/>
        <w:ind w:left="836"/>
      </w:pPr>
      <w:r>
        <w:rPr/>
        <w:t>« Enhanced Killing of Cervical Cancer Cells by Combinations of Methyl Jasmonate with Cisplatin, X or Alpha Radiation ». </w:t>
      </w:r>
      <w:r>
        <w:rPr>
          <w:i/>
        </w:rPr>
        <w:t>Investigational New Drugs </w:t>
      </w:r>
      <w:r>
        <w:rPr/>
        <w:t>31 (2): 333</w:t>
      </w:r>
      <w:r>
        <w:rPr>
          <w:rFonts w:ascii="Cambria Math" w:hAnsi="Cambria Math"/>
        </w:rPr>
        <w:t>‑</w:t>
      </w:r>
      <w:r>
        <w:rPr/>
        <w:t>44.</w:t>
      </w:r>
    </w:p>
    <w:p>
      <w:pPr>
        <w:pStyle w:val="BodyText"/>
        <w:spacing w:line="242" w:lineRule="auto"/>
        <w:ind w:left="836" w:right="116" w:hanging="720"/>
        <w:jc w:val="both"/>
      </w:pPr>
      <w:r>
        <w:rPr/>
        <w:t>Min, J, K Huang, H Tang, X Ding, C Qi, X Qin, et Z Xu. 2015. « Phloretin Induces Apoptosis of Non-Small Cell Lung Carcinoma A549 Cells via JNK1/2 and P38  MAPK  Pathways </w:t>
      </w:r>
      <w:r>
        <w:rPr>
          <w:spacing w:val="-4"/>
        </w:rPr>
        <w:t>». </w:t>
      </w:r>
      <w:r>
        <w:rPr>
          <w:i/>
        </w:rPr>
        <w:t>Oncology Reports </w:t>
      </w:r>
      <w:r>
        <w:rPr/>
        <w:t>34 (6):</w:t>
      </w:r>
      <w:r>
        <w:rPr>
          <w:spacing w:val="2"/>
        </w:rPr>
        <w:t> </w:t>
      </w:r>
      <w:r>
        <w:rPr/>
        <w:t>2871</w:t>
      </w:r>
      <w:r>
        <w:rPr>
          <w:rFonts w:ascii="Cambria Math" w:hAnsi="Cambria Math"/>
        </w:rPr>
        <w:t>‑</w:t>
      </w:r>
      <w:r>
        <w:rPr/>
        <w:t>79.</w:t>
      </w:r>
    </w:p>
    <w:p>
      <w:pPr>
        <w:spacing w:after="0" w:line="242" w:lineRule="auto"/>
        <w:jc w:val="both"/>
        <w:sectPr>
          <w:pgSz w:w="11910" w:h="16840"/>
          <w:pgMar w:header="0" w:footer="995" w:top="1320" w:bottom="1240" w:left="1300" w:right="1300"/>
        </w:sectPr>
      </w:pPr>
    </w:p>
    <w:p>
      <w:pPr>
        <w:pStyle w:val="BodyText"/>
        <w:spacing w:before="70"/>
        <w:ind w:left="836" w:right="115" w:hanging="720"/>
        <w:jc w:val="both"/>
      </w:pPr>
      <w:r>
        <w:rPr/>
        <w:t>Minchenko, O H, A Ochiai, I L Opentanova, T Ogura, D O Minchenko, J Caro, S V Komisarenko, et H Esumi. 2005. « Overexpression of 6-phosphofructo-2- kinase/fructose-2,6-bisphosphatase-4 in the human breast and  colon  malignant  tumors </w:t>
      </w:r>
      <w:r>
        <w:rPr>
          <w:spacing w:val="-4"/>
        </w:rPr>
        <w:t>». </w:t>
      </w:r>
      <w:r>
        <w:rPr>
          <w:i/>
        </w:rPr>
        <w:t>Biochimie </w:t>
      </w:r>
      <w:r>
        <w:rPr/>
        <w:t>87 (11):</w:t>
      </w:r>
      <w:r>
        <w:rPr>
          <w:spacing w:val="7"/>
        </w:rPr>
        <w:t> </w:t>
      </w:r>
      <w:r>
        <w:rPr/>
        <w:t>1005</w:t>
      </w:r>
      <w:r>
        <w:rPr>
          <w:rFonts w:ascii="Cambria Math" w:hAnsi="Cambria Math"/>
        </w:rPr>
        <w:t>‑</w:t>
      </w:r>
      <w:r>
        <w:rPr/>
        <w:t>10.</w:t>
      </w:r>
    </w:p>
    <w:p>
      <w:pPr>
        <w:pStyle w:val="BodyText"/>
        <w:spacing w:line="242" w:lineRule="auto"/>
        <w:ind w:left="836" w:right="114" w:hanging="720"/>
        <w:jc w:val="both"/>
      </w:pPr>
      <w:r>
        <w:rPr/>
        <w:t>Minchenko, O, I Opentanova, et J Caro. 2003. « Hypoxic regulation of the 6-phosphofructo-2- kinase/fructose-2,6-bisphosphatase gene family (PFKFB-1–4) expression in vivo ». </w:t>
      </w:r>
      <w:r>
        <w:rPr>
          <w:i/>
        </w:rPr>
        <w:t>FEBS Letters </w:t>
      </w:r>
      <w:r>
        <w:rPr/>
        <w:t>554 (3): 264</w:t>
      </w:r>
      <w:r>
        <w:rPr>
          <w:rFonts w:ascii="Cambria Math" w:hAnsi="Cambria Math"/>
        </w:rPr>
        <w:t>‑</w:t>
      </w:r>
      <w:r>
        <w:rPr/>
        <w:t>70.</w:t>
      </w:r>
    </w:p>
    <w:p>
      <w:pPr>
        <w:pStyle w:val="BodyText"/>
        <w:ind w:left="836" w:right="115" w:hanging="720"/>
        <w:jc w:val="both"/>
      </w:pPr>
      <w:r>
        <w:rPr/>
        <w:t>Mohammad, G H, S W M O Damink, M Malago, D K Dhar, et S P Pereira. 2016. « Pyruvate Kinase M2 and Lactate Dehydrogenase A Are Overexpressed in Pancreatic Cancer</w:t>
      </w:r>
      <w:r>
        <w:rPr>
          <w:spacing w:val="-37"/>
        </w:rPr>
        <w:t> </w:t>
      </w:r>
      <w:r>
        <w:rPr/>
        <w:t>and Correlate with Poor Outcome </w:t>
      </w:r>
      <w:r>
        <w:rPr>
          <w:spacing w:val="-4"/>
        </w:rPr>
        <w:t>». </w:t>
      </w:r>
      <w:r>
        <w:rPr>
          <w:i/>
        </w:rPr>
        <w:t>PloS One </w:t>
      </w:r>
      <w:r>
        <w:rPr/>
        <w:t>11 (3):</w:t>
      </w:r>
      <w:r>
        <w:rPr>
          <w:spacing w:val="3"/>
        </w:rPr>
        <w:t> </w:t>
      </w:r>
      <w:r>
        <w:rPr/>
        <w:t>35-44.</w:t>
      </w:r>
    </w:p>
    <w:p>
      <w:pPr>
        <w:pStyle w:val="BodyText"/>
        <w:spacing w:before="5"/>
        <w:ind w:left="836" w:right="115" w:hanging="720"/>
        <w:jc w:val="both"/>
      </w:pPr>
      <w:r>
        <w:rPr/>
        <w:t>Moore, A S, W S Dernell, G K Ogilvie, O Kristal, R Elmslie, B Kitchell, S Susaneck, et al. 2007.</w:t>
      </w:r>
      <w:r>
        <w:rPr>
          <w:spacing w:val="-1"/>
        </w:rPr>
        <w:t> </w:t>
      </w:r>
      <w:r>
        <w:rPr/>
        <w:t>«</w:t>
      </w:r>
      <w:r>
        <w:rPr>
          <w:spacing w:val="-6"/>
        </w:rPr>
        <w:t> </w:t>
      </w:r>
      <w:r>
        <w:rPr/>
        <w:t>Doxorubicin</w:t>
      </w:r>
      <w:r>
        <w:rPr>
          <w:spacing w:val="-6"/>
        </w:rPr>
        <w:t> </w:t>
      </w:r>
      <w:r>
        <w:rPr/>
        <w:t>and</w:t>
      </w:r>
      <w:r>
        <w:rPr>
          <w:spacing w:val="-4"/>
        </w:rPr>
        <w:t> </w:t>
      </w:r>
      <w:r>
        <w:rPr/>
        <w:t>BAY</w:t>
      </w:r>
      <w:r>
        <w:rPr>
          <w:spacing w:val="-5"/>
        </w:rPr>
        <w:t> </w:t>
      </w:r>
      <w:r>
        <w:rPr/>
        <w:t>12–9566</w:t>
      </w:r>
      <w:r>
        <w:rPr>
          <w:spacing w:val="-6"/>
        </w:rPr>
        <w:t> </w:t>
      </w:r>
      <w:r>
        <w:rPr/>
        <w:t>for</w:t>
      </w:r>
      <w:r>
        <w:rPr>
          <w:spacing w:val="-7"/>
        </w:rPr>
        <w:t> </w:t>
      </w:r>
      <w:r>
        <w:rPr/>
        <w:t>the</w:t>
      </w:r>
      <w:r>
        <w:rPr>
          <w:spacing w:val="-5"/>
        </w:rPr>
        <w:t> </w:t>
      </w:r>
      <w:r>
        <w:rPr/>
        <w:t>Treatment</w:t>
      </w:r>
      <w:r>
        <w:rPr>
          <w:spacing w:val="-6"/>
        </w:rPr>
        <w:t> </w:t>
      </w:r>
      <w:r>
        <w:rPr/>
        <w:t>of</w:t>
      </w:r>
      <w:r>
        <w:rPr>
          <w:spacing w:val="-5"/>
        </w:rPr>
        <w:t> </w:t>
      </w:r>
      <w:r>
        <w:rPr/>
        <w:t>Osteosarcoma</w:t>
      </w:r>
      <w:r>
        <w:rPr>
          <w:spacing w:val="-5"/>
        </w:rPr>
        <w:t> </w:t>
      </w:r>
      <w:r>
        <w:rPr/>
        <w:t>in</w:t>
      </w:r>
      <w:r>
        <w:rPr>
          <w:spacing w:val="-6"/>
        </w:rPr>
        <w:t> </w:t>
      </w:r>
      <w:r>
        <w:rPr/>
        <w:t>Dogs:</w:t>
      </w:r>
      <w:r>
        <w:rPr>
          <w:spacing w:val="-6"/>
        </w:rPr>
        <w:t> </w:t>
      </w:r>
      <w:r>
        <w:rPr/>
        <w:t>A Randomized, Double-Blind, Placebo-Controlled Study </w:t>
      </w:r>
      <w:r>
        <w:rPr>
          <w:spacing w:val="-4"/>
        </w:rPr>
        <w:t>».</w:t>
      </w:r>
      <w:r>
        <w:rPr>
          <w:spacing w:val="51"/>
        </w:rPr>
        <w:t> </w:t>
      </w:r>
      <w:r>
        <w:rPr>
          <w:i/>
        </w:rPr>
        <w:t>Journal of Veterinary </w:t>
      </w:r>
      <w:r>
        <w:rPr>
          <w:i/>
        </w:rPr>
        <w:t>Internal Medicine </w:t>
      </w:r>
      <w:r>
        <w:rPr/>
        <w:t>21 (4):</w:t>
      </w:r>
      <w:r>
        <w:rPr>
          <w:spacing w:val="-3"/>
        </w:rPr>
        <w:t> </w:t>
      </w:r>
      <w:r>
        <w:rPr/>
        <w:t>783</w:t>
      </w:r>
      <w:r>
        <w:rPr>
          <w:rFonts w:ascii="Cambria Math" w:hAnsi="Cambria Math"/>
        </w:rPr>
        <w:t>‑</w:t>
      </w:r>
      <w:r>
        <w:rPr/>
        <w:t>90.</w:t>
      </w:r>
    </w:p>
    <w:p>
      <w:pPr>
        <w:pStyle w:val="BodyText"/>
        <w:spacing w:line="272" w:lineRule="exact"/>
        <w:ind w:left="116"/>
      </w:pPr>
      <w:r>
        <w:rPr/>
        <w:t>Motzer, R J, B Escudier, S Oudard, T E Hutson, C Porta, S Bracarda, V Grünwald, et al. 2010.</w:t>
      </w:r>
    </w:p>
    <w:p>
      <w:pPr>
        <w:pStyle w:val="BodyText"/>
        <w:spacing w:line="242" w:lineRule="auto"/>
        <w:ind w:left="836"/>
      </w:pPr>
      <w:r>
        <w:rPr/>
        <w:t>« Phase 3 Trial of Everolimus for Metastatic Renal Cell Carcinoma : Final Results and Analysis of Prognostic Factors ». </w:t>
      </w:r>
      <w:r>
        <w:rPr>
          <w:i/>
        </w:rPr>
        <w:t>Cancer </w:t>
      </w:r>
      <w:r>
        <w:rPr/>
        <w:t>116 (18): 4256</w:t>
      </w:r>
      <w:r>
        <w:rPr>
          <w:rFonts w:ascii="Cambria Math" w:hAnsi="Cambria Math"/>
        </w:rPr>
        <w:t>‑</w:t>
      </w:r>
      <w:r>
        <w:rPr/>
        <w:t>65.</w:t>
      </w:r>
    </w:p>
    <w:p>
      <w:pPr>
        <w:pStyle w:val="BodyText"/>
        <w:spacing w:line="242" w:lineRule="auto"/>
        <w:ind w:left="836" w:right="112" w:hanging="720"/>
        <w:jc w:val="both"/>
      </w:pPr>
      <w:r>
        <w:rPr/>
        <w:t>Na, M H, E Y Seo, et W K Kim. 2009. « Effects of α-lipoic acid on cell proliferation and apoptosis in MDA-MB-231 human breast cells ». </w:t>
      </w:r>
      <w:r>
        <w:rPr>
          <w:i/>
        </w:rPr>
        <w:t>Nutrition Research and Practice </w:t>
      </w:r>
      <w:r>
        <w:rPr/>
        <w:t>3 (4): 265</w:t>
      </w:r>
      <w:r>
        <w:rPr>
          <w:rFonts w:ascii="Cambria Math" w:hAnsi="Cambria Math"/>
        </w:rPr>
        <w:t>‑</w:t>
      </w:r>
      <w:r>
        <w:rPr/>
        <w:t>71.</w:t>
      </w:r>
    </w:p>
    <w:p>
      <w:pPr>
        <w:pStyle w:val="BodyText"/>
        <w:spacing w:line="242" w:lineRule="auto"/>
        <w:ind w:left="836" w:right="115" w:hanging="720"/>
        <w:jc w:val="both"/>
      </w:pPr>
      <w:r>
        <w:rPr/>
        <w:t>Nambiar, D K, P Rajamani, G Deep, A K Jain, R Agarwal, et R P Singh. 2015. « Silibinin Preferentially Radiosensitizes Prostate Cancer by Inhibiting DNA Repair Signaling ». </w:t>
      </w:r>
      <w:r>
        <w:rPr>
          <w:i/>
        </w:rPr>
        <w:t>Molecular Cancer Therapeutics </w:t>
      </w:r>
      <w:r>
        <w:rPr/>
        <w:t>14 (12): 2722</w:t>
      </w:r>
      <w:r>
        <w:rPr>
          <w:rFonts w:ascii="Cambria Math" w:hAnsi="Cambria Math"/>
        </w:rPr>
        <w:t>‑</w:t>
      </w:r>
      <w:r>
        <w:rPr/>
        <w:t>34.</w:t>
      </w:r>
    </w:p>
    <w:p>
      <w:pPr>
        <w:pStyle w:val="BodyText"/>
        <w:ind w:left="836" w:right="112" w:hanging="720"/>
        <w:jc w:val="both"/>
      </w:pPr>
      <w:r>
        <w:rPr/>
        <w:t>Nath, K, D S Nelson, D F Heitjan, D B Leeper, R Zhou, et J D Glickson. 2015. « Lonidamine Induces Intracellular Tumor Acidification and ATP Depletion in Breast, Prostate and Ovarian Cancer Xenografts and Potentiates Response to Doxorubicin ». </w:t>
      </w:r>
      <w:r>
        <w:rPr>
          <w:i/>
        </w:rPr>
        <w:t>NMR in </w:t>
      </w:r>
      <w:r>
        <w:rPr>
          <w:i/>
        </w:rPr>
        <w:t>Biomedicine </w:t>
      </w:r>
      <w:r>
        <w:rPr/>
        <w:t>28 (3): 281</w:t>
      </w:r>
      <w:r>
        <w:rPr>
          <w:rFonts w:ascii="Cambria Math" w:hAnsi="Cambria Math"/>
        </w:rPr>
        <w:t>‑</w:t>
      </w:r>
      <w:r>
        <w:rPr/>
        <w:t>90.</w:t>
      </w:r>
    </w:p>
    <w:p>
      <w:pPr>
        <w:pStyle w:val="BodyText"/>
        <w:spacing w:line="242" w:lineRule="auto"/>
        <w:ind w:left="836" w:right="113" w:hanging="720"/>
        <w:jc w:val="both"/>
      </w:pPr>
      <w:r>
        <w:rPr/>
        <w:t>Nelson, R, D Spann, D Elliott, A Brondos, et R Vulliet. 2004. « Evaluation of the Oral Antihyperglycemic Drug Metformin in Normal and Diabetic Cats </w:t>
      </w:r>
      <w:r>
        <w:rPr>
          <w:spacing w:val="-4"/>
        </w:rPr>
        <w:t>».</w:t>
      </w:r>
      <w:r>
        <w:rPr>
          <w:spacing w:val="51"/>
        </w:rPr>
        <w:t> </w:t>
      </w:r>
      <w:r>
        <w:rPr>
          <w:i/>
        </w:rPr>
        <w:t>Journal of </w:t>
      </w:r>
      <w:r>
        <w:rPr>
          <w:i/>
        </w:rPr>
        <w:t>Veterinary Internal Medicine </w:t>
      </w:r>
      <w:r>
        <w:rPr/>
        <w:t>18 (1): 18</w:t>
      </w:r>
      <w:r>
        <w:rPr>
          <w:rFonts w:ascii="Cambria Math" w:hAnsi="Cambria Math"/>
        </w:rPr>
        <w:t>‑</w:t>
      </w:r>
      <w:r>
        <w:rPr/>
        <w:t>24.</w:t>
      </w:r>
    </w:p>
    <w:p>
      <w:pPr>
        <w:pStyle w:val="BodyText"/>
        <w:spacing w:line="242" w:lineRule="auto"/>
        <w:ind w:left="836" w:right="114" w:hanging="720"/>
        <w:jc w:val="both"/>
      </w:pPr>
      <w:r>
        <w:rPr/>
        <w:t>Niemann, S, et U Müller. 2000. « Mutations in SDHC Cause Autosomal Dominant Paraganglioma, Type 3 ». </w:t>
      </w:r>
      <w:r>
        <w:rPr>
          <w:i/>
        </w:rPr>
        <w:t>Nature Genetics </w:t>
      </w:r>
      <w:r>
        <w:rPr/>
        <w:t>26 (3): 268</w:t>
      </w:r>
      <w:r>
        <w:rPr>
          <w:rFonts w:ascii="Cambria Math" w:hAnsi="Cambria Math"/>
        </w:rPr>
        <w:t>‑</w:t>
      </w:r>
      <w:r>
        <w:rPr/>
        <w:t>70.</w:t>
      </w:r>
    </w:p>
    <w:p>
      <w:pPr>
        <w:pStyle w:val="BodyText"/>
        <w:ind w:left="836" w:right="114" w:hanging="720"/>
        <w:jc w:val="both"/>
      </w:pPr>
      <w:r>
        <w:rPr/>
        <w:t>Norris,</w:t>
      </w:r>
      <w:r>
        <w:rPr>
          <w:spacing w:val="-14"/>
        </w:rPr>
        <w:t> </w:t>
      </w:r>
      <w:r>
        <w:rPr/>
        <w:t>R</w:t>
      </w:r>
      <w:r>
        <w:rPr>
          <w:spacing w:val="-14"/>
        </w:rPr>
        <w:t> </w:t>
      </w:r>
      <w:r>
        <w:rPr/>
        <w:t>E,</w:t>
      </w:r>
      <w:r>
        <w:rPr>
          <w:spacing w:val="-14"/>
        </w:rPr>
        <w:t> </w:t>
      </w:r>
      <w:r>
        <w:rPr/>
        <w:t>S</w:t>
      </w:r>
      <w:r>
        <w:rPr>
          <w:spacing w:val="-14"/>
        </w:rPr>
        <w:t> </w:t>
      </w:r>
      <w:r>
        <w:rPr/>
        <w:t>Shusterman,</w:t>
      </w:r>
      <w:r>
        <w:rPr>
          <w:spacing w:val="-13"/>
        </w:rPr>
        <w:t> </w:t>
      </w:r>
      <w:r>
        <w:rPr/>
        <w:t>L</w:t>
      </w:r>
      <w:r>
        <w:rPr>
          <w:spacing w:val="-19"/>
        </w:rPr>
        <w:t> </w:t>
      </w:r>
      <w:r>
        <w:rPr/>
        <w:t>Gore,</w:t>
      </w:r>
      <w:r>
        <w:rPr>
          <w:spacing w:val="-14"/>
        </w:rPr>
        <w:t> </w:t>
      </w:r>
      <w:r>
        <w:rPr/>
        <w:t>J</w:t>
      </w:r>
      <w:r>
        <w:rPr>
          <w:spacing w:val="-11"/>
        </w:rPr>
        <w:t> </w:t>
      </w:r>
      <w:r>
        <w:rPr/>
        <w:t>A</w:t>
      </w:r>
      <w:r>
        <w:rPr>
          <w:spacing w:val="-15"/>
        </w:rPr>
        <w:t> </w:t>
      </w:r>
      <w:r>
        <w:rPr/>
        <w:t>Muscal,</w:t>
      </w:r>
      <w:r>
        <w:rPr>
          <w:spacing w:val="-14"/>
        </w:rPr>
        <w:t> </w:t>
      </w:r>
      <w:r>
        <w:rPr/>
        <w:t>M</w:t>
      </w:r>
      <w:r>
        <w:rPr>
          <w:spacing w:val="-16"/>
        </w:rPr>
        <w:t> </w:t>
      </w:r>
      <w:r>
        <w:rPr/>
        <w:t>E</w:t>
      </w:r>
      <w:r>
        <w:rPr>
          <w:spacing w:val="-15"/>
        </w:rPr>
        <w:t> </w:t>
      </w:r>
      <w:r>
        <w:rPr/>
        <w:t>Macy,</w:t>
      </w:r>
      <w:r>
        <w:rPr>
          <w:spacing w:val="-14"/>
        </w:rPr>
        <w:t> </w:t>
      </w:r>
      <w:r>
        <w:rPr/>
        <w:t>E</w:t>
      </w:r>
      <w:r>
        <w:rPr>
          <w:spacing w:val="-15"/>
        </w:rPr>
        <w:t> </w:t>
      </w:r>
      <w:r>
        <w:rPr/>
        <w:t>Fox,</w:t>
      </w:r>
      <w:r>
        <w:rPr>
          <w:spacing w:val="-14"/>
        </w:rPr>
        <w:t> </w:t>
      </w:r>
      <w:r>
        <w:rPr/>
        <w:t>N</w:t>
      </w:r>
      <w:r>
        <w:rPr>
          <w:spacing w:val="-14"/>
        </w:rPr>
        <w:t> </w:t>
      </w:r>
      <w:r>
        <w:rPr/>
        <w:t>Berkowitz,</w:t>
      </w:r>
      <w:r>
        <w:rPr>
          <w:spacing w:val="-14"/>
        </w:rPr>
        <w:t> </w:t>
      </w:r>
      <w:r>
        <w:rPr/>
        <w:t>A</w:t>
      </w:r>
      <w:r>
        <w:rPr>
          <w:spacing w:val="-14"/>
        </w:rPr>
        <w:t> </w:t>
      </w:r>
      <w:r>
        <w:rPr/>
        <w:t>Buchbinder, et R Bagatell. 2014. « Phase 1 Evaluation of EZN-2208, a Polyethylene Glycol Conjugate of SN38, in Children Adolescents and Young Adults with Relapsed or Refractory Solid Tumors </w:t>
      </w:r>
      <w:r>
        <w:rPr>
          <w:spacing w:val="-4"/>
        </w:rPr>
        <w:t>». </w:t>
      </w:r>
      <w:r>
        <w:rPr>
          <w:i/>
        </w:rPr>
        <w:t>Pediatric Blood &amp; Cancer </w:t>
      </w:r>
      <w:r>
        <w:rPr/>
        <w:t>61 (10):</w:t>
      </w:r>
      <w:r>
        <w:rPr>
          <w:spacing w:val="-1"/>
        </w:rPr>
        <w:t> </w:t>
      </w:r>
      <w:r>
        <w:rPr/>
        <w:t>1792</w:t>
      </w:r>
      <w:r>
        <w:rPr>
          <w:rFonts w:ascii="Cambria Math" w:hAnsi="Cambria Math"/>
        </w:rPr>
        <w:t>‑</w:t>
      </w:r>
      <w:r>
        <w:rPr/>
        <w:t>97.</w:t>
      </w:r>
    </w:p>
    <w:p>
      <w:pPr>
        <w:pStyle w:val="BodyText"/>
        <w:tabs>
          <w:tab w:pos="4127" w:val="left" w:leader="none"/>
          <w:tab w:pos="5631" w:val="left" w:leader="none"/>
          <w:tab w:pos="7447" w:val="left" w:leader="none"/>
          <w:tab w:pos="9122" w:val="left" w:leader="none"/>
        </w:tabs>
        <w:ind w:left="824" w:right="111" w:hanging="708"/>
        <w:jc w:val="both"/>
      </w:pPr>
      <w:r>
        <w:rPr/>
        <w:t>Organization for Economic Co-operation and Development « </w:t>
      </w:r>
      <w:r>
        <w:rPr>
          <w:i/>
        </w:rPr>
        <w:t>eChemPortal -  Substance </w:t>
      </w:r>
      <w:r>
        <w:rPr>
          <w:i/>
        </w:rPr>
        <w:t>Search</w:t>
      </w:r>
      <w:r>
        <w:rPr>
          <w:i/>
          <w:spacing w:val="2"/>
        </w:rPr>
        <w:t> </w:t>
      </w:r>
      <w:r>
        <w:rPr>
          <w:spacing w:val="-4"/>
        </w:rPr>
        <w:t>».</w:t>
        <w:tab/>
      </w:r>
      <w:r>
        <w:rPr/>
        <w:t>[en</w:t>
        <w:tab/>
        <w:t>ligne],</w:t>
        <w:tab/>
        <w:t>URL</w:t>
        <w:tab/>
        <w:t>: </w:t>
      </w:r>
      <w:hyperlink r:id="rId76">
        <w:r>
          <w:rPr/>
          <w:t>http://www.echemportal.org/echemportal/page.action?pageID=9.</w:t>
        </w:r>
      </w:hyperlink>
      <w:r>
        <w:rPr/>
        <w:t> [consulté le 20 avril 2017]</w:t>
      </w:r>
    </w:p>
    <w:p>
      <w:pPr>
        <w:spacing w:before="2"/>
        <w:ind w:left="824" w:right="113" w:hanging="708"/>
        <w:jc w:val="both"/>
        <w:rPr>
          <w:sz w:val="24"/>
        </w:rPr>
      </w:pPr>
      <w:r>
        <w:rPr>
          <w:sz w:val="24"/>
        </w:rPr>
        <w:t>Organization, World Health. </w:t>
      </w:r>
      <w:r>
        <w:rPr>
          <w:i/>
          <w:sz w:val="24"/>
        </w:rPr>
        <w:t>WHO Handbook for Reporting Results of Cancer Treatment</w:t>
      </w:r>
      <w:r>
        <w:rPr>
          <w:sz w:val="24"/>
        </w:rPr>
        <w:t>, 1979. [en ligne], URL : </w:t>
      </w:r>
      <w:hyperlink r:id="rId77">
        <w:r>
          <w:rPr>
            <w:sz w:val="24"/>
          </w:rPr>
          <w:t>http://www.who.int/iris/handle/10665/37200.</w:t>
        </w:r>
      </w:hyperlink>
      <w:r>
        <w:rPr>
          <w:sz w:val="24"/>
        </w:rPr>
        <w:t> [consulté le 15 mai 2017]</w:t>
      </w:r>
    </w:p>
    <w:p>
      <w:pPr>
        <w:pStyle w:val="BodyText"/>
        <w:ind w:left="824" w:right="112" w:hanging="708"/>
        <w:jc w:val="both"/>
      </w:pPr>
      <w:r>
        <w:rPr/>
        <w:t>Ozawa,</w:t>
      </w:r>
      <w:r>
        <w:rPr>
          <w:spacing w:val="-16"/>
        </w:rPr>
        <w:t> </w:t>
      </w:r>
      <w:r>
        <w:rPr/>
        <w:t>Y,</w:t>
      </w:r>
      <w:r>
        <w:rPr>
          <w:spacing w:val="-16"/>
        </w:rPr>
        <w:t> </w:t>
      </w:r>
      <w:r>
        <w:rPr/>
        <w:t>T</w:t>
      </w:r>
      <w:r>
        <w:rPr>
          <w:spacing w:val="-16"/>
        </w:rPr>
        <w:t> </w:t>
      </w:r>
      <w:r>
        <w:rPr/>
        <w:t>Owa,</w:t>
      </w:r>
      <w:r>
        <w:rPr>
          <w:spacing w:val="-16"/>
        </w:rPr>
        <w:t> </w:t>
      </w:r>
      <w:r>
        <w:rPr/>
        <w:t>A</w:t>
      </w:r>
      <w:r>
        <w:rPr>
          <w:spacing w:val="-14"/>
        </w:rPr>
        <w:t> </w:t>
      </w:r>
      <w:r>
        <w:rPr/>
        <w:t>Yokoi,</w:t>
      </w:r>
      <w:r>
        <w:rPr>
          <w:spacing w:val="-15"/>
        </w:rPr>
        <w:t> </w:t>
      </w:r>
      <w:r>
        <w:rPr/>
        <w:t>K</w:t>
      </w:r>
      <w:r>
        <w:rPr>
          <w:spacing w:val="-16"/>
        </w:rPr>
        <w:t> </w:t>
      </w:r>
      <w:r>
        <w:rPr/>
        <w:t>Yoshimatsu,</w:t>
      </w:r>
      <w:r>
        <w:rPr>
          <w:spacing w:val="-15"/>
        </w:rPr>
        <w:t> </w:t>
      </w:r>
      <w:r>
        <w:rPr/>
        <w:t>et</w:t>
      </w:r>
      <w:r>
        <w:rPr>
          <w:spacing w:val="-15"/>
        </w:rPr>
        <w:t> </w:t>
      </w:r>
      <w:r>
        <w:rPr/>
        <w:t>M</w:t>
      </w:r>
      <w:r>
        <w:rPr>
          <w:spacing w:val="-16"/>
        </w:rPr>
        <w:t> </w:t>
      </w:r>
      <w:r>
        <w:rPr/>
        <w:t>Asada.</w:t>
      </w:r>
      <w:r>
        <w:rPr>
          <w:spacing w:val="-16"/>
        </w:rPr>
        <w:t> </w:t>
      </w:r>
      <w:r>
        <w:rPr/>
        <w:t>2004.</w:t>
      </w:r>
      <w:r>
        <w:rPr>
          <w:spacing w:val="-11"/>
        </w:rPr>
        <w:t> </w:t>
      </w:r>
      <w:r>
        <w:rPr/>
        <w:t>«</w:t>
      </w:r>
      <w:r>
        <w:rPr>
          <w:spacing w:val="-4"/>
        </w:rPr>
        <w:t> </w:t>
      </w:r>
      <w:r>
        <w:rPr/>
        <w:t>The</w:t>
      </w:r>
      <w:r>
        <w:rPr>
          <w:spacing w:val="-15"/>
        </w:rPr>
        <w:t> </w:t>
      </w:r>
      <w:r>
        <w:rPr/>
        <w:t>Combination</w:t>
      </w:r>
      <w:r>
        <w:rPr>
          <w:spacing w:val="-14"/>
        </w:rPr>
        <w:t> </w:t>
      </w:r>
      <w:r>
        <w:rPr/>
        <w:t>of</w:t>
      </w:r>
      <w:r>
        <w:rPr>
          <w:spacing w:val="-14"/>
        </w:rPr>
        <w:t> </w:t>
      </w:r>
      <w:r>
        <w:rPr/>
        <w:t>Indisulam (E7070) with Cisplatin, Oxaliplatin and 5-Fluorouracil Are Synergistic in Vitro and in Vivo </w:t>
      </w:r>
      <w:r>
        <w:rPr>
          <w:spacing w:val="-4"/>
        </w:rPr>
        <w:t>». </w:t>
      </w:r>
      <w:r>
        <w:rPr>
          <w:i/>
        </w:rPr>
        <w:t>European Journal of Cancer Supplements </w:t>
      </w:r>
      <w:r>
        <w:rPr/>
        <w:t>2 (8):</w:t>
      </w:r>
      <w:r>
        <w:rPr>
          <w:spacing w:val="5"/>
        </w:rPr>
        <w:t> </w:t>
      </w:r>
      <w:r>
        <w:rPr/>
        <w:t>126-32.</w:t>
      </w:r>
    </w:p>
    <w:p>
      <w:pPr>
        <w:pStyle w:val="BodyText"/>
        <w:ind w:left="116"/>
      </w:pPr>
      <w:r>
        <w:rPr/>
        <w:t>Packer, L, E H Witt, et H J Tritschler. 1995. «  Alpha-lipoic acid as a biological antioxidant ».</w:t>
      </w:r>
    </w:p>
    <w:p>
      <w:pPr>
        <w:spacing w:before="3"/>
        <w:ind w:left="824" w:right="0" w:firstLine="0"/>
        <w:jc w:val="left"/>
        <w:rPr>
          <w:sz w:val="24"/>
        </w:rPr>
      </w:pPr>
      <w:r>
        <w:rPr>
          <w:i/>
          <w:sz w:val="24"/>
        </w:rPr>
        <w:t>Free Radical Biology and Medicine </w:t>
      </w:r>
      <w:r>
        <w:rPr>
          <w:sz w:val="24"/>
        </w:rPr>
        <w:t>19 (2): 227</w:t>
      </w:r>
      <w:r>
        <w:rPr>
          <w:rFonts w:ascii="Cambria Math" w:hAnsi="Cambria Math"/>
          <w:sz w:val="24"/>
        </w:rPr>
        <w:t>‑</w:t>
      </w:r>
      <w:r>
        <w:rPr>
          <w:sz w:val="24"/>
        </w:rPr>
        <w:t>50.</w:t>
      </w:r>
    </w:p>
    <w:p>
      <w:pPr>
        <w:spacing w:after="0"/>
        <w:jc w:val="left"/>
        <w:rPr>
          <w:sz w:val="24"/>
        </w:rPr>
        <w:sectPr>
          <w:pgSz w:w="11910" w:h="16840"/>
          <w:pgMar w:header="0" w:footer="1055" w:top="1320" w:bottom="1240" w:left="1300" w:right="1300"/>
        </w:sectPr>
      </w:pPr>
    </w:p>
    <w:p>
      <w:pPr>
        <w:spacing w:before="70"/>
        <w:ind w:left="824" w:right="113" w:hanging="708"/>
        <w:jc w:val="both"/>
        <w:rPr>
          <w:sz w:val="24"/>
        </w:rPr>
      </w:pPr>
      <w:r>
        <w:rPr>
          <w:sz w:val="24"/>
        </w:rPr>
        <w:t>Paetau-Robinson, I, J J Brejda, et S C Zicker. 2013. « Long-Term Feeding of DL-alpha Lipoic Acid</w:t>
      </w:r>
      <w:r>
        <w:rPr>
          <w:spacing w:val="-11"/>
          <w:sz w:val="24"/>
        </w:rPr>
        <w:t> </w:t>
      </w:r>
      <w:r>
        <w:rPr>
          <w:sz w:val="24"/>
        </w:rPr>
        <w:t>to</w:t>
      </w:r>
      <w:r>
        <w:rPr>
          <w:spacing w:val="-11"/>
          <w:sz w:val="24"/>
        </w:rPr>
        <w:t> </w:t>
      </w:r>
      <w:r>
        <w:rPr>
          <w:sz w:val="24"/>
        </w:rPr>
        <w:t>Dogs</w:t>
      </w:r>
      <w:r>
        <w:rPr>
          <w:spacing w:val="-6"/>
          <w:sz w:val="24"/>
        </w:rPr>
        <w:t> </w:t>
      </w:r>
      <w:r>
        <w:rPr>
          <w:sz w:val="24"/>
        </w:rPr>
        <w:t>Is</w:t>
      </w:r>
      <w:r>
        <w:rPr>
          <w:spacing w:val="-11"/>
          <w:sz w:val="24"/>
        </w:rPr>
        <w:t> </w:t>
      </w:r>
      <w:r>
        <w:rPr>
          <w:sz w:val="24"/>
        </w:rPr>
        <w:t>Safe.</w:t>
      </w:r>
      <w:r>
        <w:rPr>
          <w:spacing w:val="-5"/>
          <w:sz w:val="24"/>
        </w:rPr>
        <w:t> </w:t>
      </w:r>
      <w:r>
        <w:rPr>
          <w:sz w:val="24"/>
        </w:rPr>
        <w:t>»</w:t>
      </w:r>
      <w:r>
        <w:rPr>
          <w:spacing w:val="-16"/>
          <w:sz w:val="24"/>
        </w:rPr>
        <w:t> </w:t>
      </w:r>
      <w:r>
        <w:rPr>
          <w:i/>
          <w:sz w:val="24"/>
        </w:rPr>
        <w:t>International</w:t>
      </w:r>
      <w:r>
        <w:rPr>
          <w:i/>
          <w:spacing w:val="-11"/>
          <w:sz w:val="24"/>
        </w:rPr>
        <w:t> </w:t>
      </w:r>
      <w:r>
        <w:rPr>
          <w:i/>
          <w:sz w:val="24"/>
        </w:rPr>
        <w:t>journal</w:t>
      </w:r>
      <w:r>
        <w:rPr>
          <w:i/>
          <w:spacing w:val="-11"/>
          <w:sz w:val="24"/>
        </w:rPr>
        <w:t> </w:t>
      </w:r>
      <w:r>
        <w:rPr>
          <w:i/>
          <w:sz w:val="24"/>
        </w:rPr>
        <w:t>of</w:t>
      </w:r>
      <w:r>
        <w:rPr>
          <w:i/>
          <w:spacing w:val="-11"/>
          <w:sz w:val="24"/>
        </w:rPr>
        <w:t> </w:t>
      </w:r>
      <w:r>
        <w:rPr>
          <w:i/>
          <w:sz w:val="24"/>
        </w:rPr>
        <w:t>applied</w:t>
      </w:r>
      <w:r>
        <w:rPr>
          <w:i/>
          <w:spacing w:val="-11"/>
          <w:sz w:val="24"/>
        </w:rPr>
        <w:t> </w:t>
      </w:r>
      <w:r>
        <w:rPr>
          <w:i/>
          <w:sz w:val="24"/>
        </w:rPr>
        <w:t>research</w:t>
      </w:r>
      <w:r>
        <w:rPr>
          <w:i/>
          <w:spacing w:val="-9"/>
          <w:sz w:val="24"/>
        </w:rPr>
        <w:t> </w:t>
      </w:r>
      <w:r>
        <w:rPr>
          <w:i/>
          <w:sz w:val="24"/>
        </w:rPr>
        <w:t>in</w:t>
      </w:r>
      <w:r>
        <w:rPr>
          <w:i/>
          <w:spacing w:val="-11"/>
          <w:sz w:val="24"/>
        </w:rPr>
        <w:t> </w:t>
      </w:r>
      <w:r>
        <w:rPr>
          <w:i/>
          <w:sz w:val="24"/>
        </w:rPr>
        <w:t>veterinary</w:t>
      </w:r>
      <w:r>
        <w:rPr>
          <w:i/>
          <w:spacing w:val="-12"/>
          <w:sz w:val="24"/>
        </w:rPr>
        <w:t> </w:t>
      </w:r>
      <w:r>
        <w:rPr>
          <w:i/>
          <w:sz w:val="24"/>
        </w:rPr>
        <w:t>medicine </w:t>
      </w:r>
      <w:r>
        <w:rPr>
          <w:sz w:val="24"/>
        </w:rPr>
        <w:t>11 (2):</w:t>
      </w:r>
      <w:r>
        <w:rPr>
          <w:spacing w:val="-3"/>
          <w:sz w:val="24"/>
        </w:rPr>
        <w:t> </w:t>
      </w:r>
      <w:r>
        <w:rPr>
          <w:sz w:val="24"/>
        </w:rPr>
        <w:t>100-109.</w:t>
      </w:r>
    </w:p>
    <w:p>
      <w:pPr>
        <w:spacing w:line="242" w:lineRule="auto" w:before="0"/>
        <w:ind w:left="824" w:right="114" w:hanging="708"/>
        <w:jc w:val="both"/>
        <w:rPr>
          <w:sz w:val="24"/>
        </w:rPr>
      </w:pPr>
      <w:r>
        <w:rPr>
          <w:sz w:val="24"/>
        </w:rPr>
        <w:t>Paoloni,</w:t>
      </w:r>
      <w:r>
        <w:rPr>
          <w:spacing w:val="-9"/>
          <w:sz w:val="24"/>
        </w:rPr>
        <w:t> </w:t>
      </w:r>
      <w:r>
        <w:rPr>
          <w:sz w:val="24"/>
        </w:rPr>
        <w:t>M</w:t>
      </w:r>
      <w:r>
        <w:rPr>
          <w:spacing w:val="-8"/>
          <w:sz w:val="24"/>
        </w:rPr>
        <w:t> </w:t>
      </w:r>
      <w:r>
        <w:rPr>
          <w:sz w:val="24"/>
        </w:rPr>
        <w:t>C,</w:t>
      </w:r>
      <w:r>
        <w:rPr>
          <w:spacing w:val="-9"/>
          <w:sz w:val="24"/>
        </w:rPr>
        <w:t> </w:t>
      </w:r>
      <w:r>
        <w:rPr>
          <w:sz w:val="24"/>
        </w:rPr>
        <w:t>et</w:t>
      </w:r>
      <w:r>
        <w:rPr>
          <w:spacing w:val="-8"/>
          <w:sz w:val="24"/>
        </w:rPr>
        <w:t> </w:t>
      </w:r>
      <w:r>
        <w:rPr>
          <w:sz w:val="24"/>
        </w:rPr>
        <w:t>C</w:t>
      </w:r>
      <w:r>
        <w:rPr>
          <w:spacing w:val="-8"/>
          <w:sz w:val="24"/>
        </w:rPr>
        <w:t> </w:t>
      </w:r>
      <w:r>
        <w:rPr>
          <w:sz w:val="24"/>
        </w:rPr>
        <w:t>Khanna.</w:t>
      </w:r>
      <w:r>
        <w:rPr>
          <w:spacing w:val="-7"/>
          <w:sz w:val="24"/>
        </w:rPr>
        <w:t> </w:t>
      </w:r>
      <w:r>
        <w:rPr>
          <w:sz w:val="24"/>
        </w:rPr>
        <w:t>2007.</w:t>
      </w:r>
      <w:r>
        <w:rPr>
          <w:spacing w:val="-4"/>
          <w:sz w:val="24"/>
        </w:rPr>
        <w:t> </w:t>
      </w:r>
      <w:r>
        <w:rPr>
          <w:sz w:val="24"/>
        </w:rPr>
        <w:t>«</w:t>
      </w:r>
      <w:r>
        <w:rPr>
          <w:spacing w:val="-6"/>
          <w:sz w:val="24"/>
        </w:rPr>
        <w:t> </w:t>
      </w:r>
      <w:r>
        <w:rPr>
          <w:sz w:val="24"/>
        </w:rPr>
        <w:t>Comparative</w:t>
      </w:r>
      <w:r>
        <w:rPr>
          <w:spacing w:val="-7"/>
          <w:sz w:val="24"/>
        </w:rPr>
        <w:t> </w:t>
      </w:r>
      <w:r>
        <w:rPr>
          <w:sz w:val="24"/>
        </w:rPr>
        <w:t>Oncology</w:t>
      </w:r>
      <w:r>
        <w:rPr>
          <w:spacing w:val="-11"/>
          <w:sz w:val="24"/>
        </w:rPr>
        <w:t> </w:t>
      </w:r>
      <w:r>
        <w:rPr>
          <w:sz w:val="24"/>
        </w:rPr>
        <w:t>Today </w:t>
      </w:r>
      <w:r>
        <w:rPr>
          <w:spacing w:val="-4"/>
          <w:sz w:val="24"/>
        </w:rPr>
        <w:t>».</w:t>
      </w:r>
      <w:r>
        <w:rPr>
          <w:spacing w:val="-6"/>
          <w:sz w:val="24"/>
        </w:rPr>
        <w:t> </w:t>
      </w:r>
      <w:r>
        <w:rPr>
          <w:i/>
          <w:sz w:val="24"/>
        </w:rPr>
        <w:t>The</w:t>
      </w:r>
      <w:r>
        <w:rPr>
          <w:i/>
          <w:spacing w:val="-5"/>
          <w:sz w:val="24"/>
        </w:rPr>
        <w:t> </w:t>
      </w:r>
      <w:r>
        <w:rPr>
          <w:i/>
          <w:sz w:val="24"/>
        </w:rPr>
        <w:t>Veterinary</w:t>
      </w:r>
      <w:r>
        <w:rPr>
          <w:i/>
          <w:spacing w:val="-9"/>
          <w:sz w:val="24"/>
        </w:rPr>
        <w:t> </w:t>
      </w:r>
      <w:r>
        <w:rPr>
          <w:i/>
          <w:sz w:val="24"/>
        </w:rPr>
        <w:t>Clinics</w:t>
      </w:r>
      <w:r>
        <w:rPr>
          <w:i/>
          <w:spacing w:val="-9"/>
          <w:sz w:val="24"/>
        </w:rPr>
        <w:t> </w:t>
      </w:r>
      <w:r>
        <w:rPr>
          <w:i/>
          <w:sz w:val="24"/>
        </w:rPr>
        <w:t>of </w:t>
      </w:r>
      <w:r>
        <w:rPr>
          <w:i/>
          <w:sz w:val="24"/>
        </w:rPr>
        <w:t>North America. Small Animal Practice </w:t>
      </w:r>
      <w:r>
        <w:rPr>
          <w:sz w:val="24"/>
        </w:rPr>
        <w:t>37 (6):</w:t>
      </w:r>
      <w:r>
        <w:rPr>
          <w:spacing w:val="-6"/>
          <w:sz w:val="24"/>
        </w:rPr>
        <w:t> </w:t>
      </w:r>
      <w:r>
        <w:rPr>
          <w:sz w:val="24"/>
        </w:rPr>
        <w:t>1023</w:t>
      </w:r>
      <w:r>
        <w:rPr>
          <w:rFonts w:ascii="Cambria Math" w:hAnsi="Cambria Math"/>
          <w:sz w:val="24"/>
        </w:rPr>
        <w:t>‑</w:t>
      </w:r>
      <w:r>
        <w:rPr>
          <w:sz w:val="24"/>
        </w:rPr>
        <w:t>32.</w:t>
      </w:r>
    </w:p>
    <w:p>
      <w:pPr>
        <w:pStyle w:val="BodyText"/>
        <w:spacing w:line="242" w:lineRule="auto"/>
        <w:ind w:left="836" w:right="115" w:hanging="720"/>
        <w:jc w:val="both"/>
      </w:pPr>
      <w:r>
        <w:rPr/>
        <w:t>Papandreou,</w:t>
      </w:r>
      <w:r>
        <w:rPr>
          <w:spacing w:val="-5"/>
        </w:rPr>
        <w:t> </w:t>
      </w:r>
      <w:r>
        <w:rPr/>
        <w:t>I,</w:t>
      </w:r>
      <w:r>
        <w:rPr>
          <w:spacing w:val="-7"/>
        </w:rPr>
        <w:t> </w:t>
      </w:r>
      <w:r>
        <w:rPr/>
        <w:t>T</w:t>
      </w:r>
      <w:r>
        <w:rPr>
          <w:spacing w:val="-5"/>
        </w:rPr>
        <w:t> </w:t>
      </w:r>
      <w:r>
        <w:rPr/>
        <w:t>Goliasova,</w:t>
      </w:r>
      <w:r>
        <w:rPr>
          <w:spacing w:val="-7"/>
        </w:rPr>
        <w:t> </w:t>
      </w:r>
      <w:r>
        <w:rPr/>
        <w:t>et</w:t>
      </w:r>
      <w:r>
        <w:rPr>
          <w:spacing w:val="-7"/>
        </w:rPr>
        <w:t> </w:t>
      </w:r>
      <w:r>
        <w:rPr/>
        <w:t>N</w:t>
      </w:r>
      <w:r>
        <w:rPr>
          <w:spacing w:val="-7"/>
        </w:rPr>
        <w:t> </w:t>
      </w:r>
      <w:r>
        <w:rPr/>
        <w:t>C</w:t>
      </w:r>
      <w:r>
        <w:rPr>
          <w:spacing w:val="-7"/>
        </w:rPr>
        <w:t> </w:t>
      </w:r>
      <w:r>
        <w:rPr/>
        <w:t>Denko.</w:t>
      </w:r>
      <w:r>
        <w:rPr>
          <w:spacing w:val="-7"/>
        </w:rPr>
        <w:t> </w:t>
      </w:r>
      <w:r>
        <w:rPr/>
        <w:t>2011.</w:t>
      </w:r>
      <w:r>
        <w:rPr>
          <w:spacing w:val="-5"/>
        </w:rPr>
        <w:t> </w:t>
      </w:r>
      <w:r>
        <w:rPr/>
        <w:t>«</w:t>
      </w:r>
      <w:r>
        <w:rPr>
          <w:spacing w:val="-5"/>
        </w:rPr>
        <w:t> </w:t>
      </w:r>
      <w:r>
        <w:rPr/>
        <w:t>Anticancer</w:t>
      </w:r>
      <w:r>
        <w:rPr>
          <w:spacing w:val="-8"/>
        </w:rPr>
        <w:t> </w:t>
      </w:r>
      <w:r>
        <w:rPr/>
        <w:t>Drugs</w:t>
      </w:r>
      <w:r>
        <w:rPr>
          <w:spacing w:val="-7"/>
        </w:rPr>
        <w:t> </w:t>
      </w:r>
      <w:r>
        <w:rPr/>
        <w:t>That</w:t>
      </w:r>
      <w:r>
        <w:rPr>
          <w:spacing w:val="-4"/>
        </w:rPr>
        <w:t> </w:t>
      </w:r>
      <w:r>
        <w:rPr/>
        <w:t>Target</w:t>
      </w:r>
      <w:r>
        <w:rPr>
          <w:spacing w:val="-7"/>
        </w:rPr>
        <w:t> </w:t>
      </w:r>
      <w:r>
        <w:rPr/>
        <w:t>Metabolism: Is Dichloroacetate the New Paradigm? » </w:t>
      </w:r>
      <w:r>
        <w:rPr>
          <w:i/>
        </w:rPr>
        <w:t>International Journal of Cancer </w:t>
      </w:r>
      <w:r>
        <w:rPr/>
        <w:t>128 (5): 1001</w:t>
      </w:r>
      <w:r>
        <w:rPr>
          <w:rFonts w:ascii="Cambria Math" w:hAnsi="Cambria Math"/>
        </w:rPr>
        <w:t>‑</w:t>
      </w:r>
      <w:r>
        <w:rPr/>
        <w:t>8.</w:t>
      </w:r>
    </w:p>
    <w:p>
      <w:pPr>
        <w:pStyle w:val="BodyText"/>
        <w:spacing w:line="242" w:lineRule="auto"/>
        <w:ind w:left="836" w:right="120" w:hanging="720"/>
        <w:jc w:val="both"/>
      </w:pPr>
      <w:r>
        <w:rPr/>
        <w:t>Pastorino, J G, et J B Hoek. 2003. « Hexokinase II: The Integration of Energy Metabolism</w:t>
      </w:r>
      <w:r>
        <w:rPr>
          <w:spacing w:val="-39"/>
        </w:rPr>
        <w:t> </w:t>
      </w:r>
      <w:r>
        <w:rPr/>
        <w:t>and Control of Apoptosis </w:t>
      </w:r>
      <w:r>
        <w:rPr>
          <w:spacing w:val="-4"/>
        </w:rPr>
        <w:t>». </w:t>
      </w:r>
      <w:r>
        <w:rPr>
          <w:i/>
        </w:rPr>
        <w:t>Current Medicinal Chemistry </w:t>
      </w:r>
      <w:r>
        <w:rPr/>
        <w:t>10 (16):</w:t>
      </w:r>
      <w:r>
        <w:rPr>
          <w:spacing w:val="3"/>
        </w:rPr>
        <w:t> </w:t>
      </w:r>
      <w:r>
        <w:rPr/>
        <w:t>1535</w:t>
      </w:r>
      <w:r>
        <w:rPr>
          <w:rFonts w:ascii="Cambria Math" w:hAnsi="Cambria Math"/>
        </w:rPr>
        <w:t>‑</w:t>
      </w:r>
      <w:r>
        <w:rPr/>
        <w:t>51.</w:t>
      </w:r>
    </w:p>
    <w:p>
      <w:pPr>
        <w:pStyle w:val="BodyText"/>
        <w:spacing w:line="242" w:lineRule="auto"/>
        <w:ind w:left="836" w:right="117" w:hanging="720"/>
        <w:jc w:val="both"/>
      </w:pPr>
      <w:r>
        <w:rPr/>
        <w:t>Pathania, D, M Millard, et N Neamati. 2009. « Opportunities in discovery and delivery of anticancer drugs targeting mitochondria and cancer cell metabolism ». </w:t>
      </w:r>
      <w:r>
        <w:rPr>
          <w:i/>
        </w:rPr>
        <w:t>Advanced Drug </w:t>
      </w:r>
      <w:r>
        <w:rPr>
          <w:i/>
        </w:rPr>
        <w:t>Delivery Reviews </w:t>
      </w:r>
      <w:r>
        <w:rPr/>
        <w:t>61 (14): 1250</w:t>
      </w:r>
      <w:r>
        <w:rPr>
          <w:rFonts w:ascii="Cambria Math" w:hAnsi="Cambria Math"/>
        </w:rPr>
        <w:t>‑</w:t>
      </w:r>
      <w:r>
        <w:rPr/>
        <w:t>75.</w:t>
      </w:r>
    </w:p>
    <w:p>
      <w:pPr>
        <w:pStyle w:val="BodyText"/>
        <w:ind w:left="836" w:right="113" w:hanging="720"/>
        <w:jc w:val="both"/>
      </w:pPr>
      <w:r>
        <w:rPr/>
        <w:t>Peal, A, M D’altilio, C Simms, M Alvey, R C Gupta, J T Goad, T D Canerdy, M Bagchi, et D Bagchi. 2007. « Therapeutic Efficacy and Safety of Undenatured Type-II Collagen (UC-II) Alone or in Combination with (−)-Hydroxycitric Acid and Chromemate in Arthritic Dogs1 ». </w:t>
      </w:r>
      <w:r>
        <w:rPr>
          <w:i/>
        </w:rPr>
        <w:t>Journal of Veterinary Pharmacology and Therapeutics </w:t>
      </w:r>
      <w:r>
        <w:rPr/>
        <w:t>30 (3): 275</w:t>
      </w:r>
      <w:r>
        <w:rPr>
          <w:rFonts w:ascii="Cambria Math" w:hAnsi="Cambria Math"/>
        </w:rPr>
        <w:t>‑</w:t>
      </w:r>
      <w:r>
        <w:rPr/>
        <w:t>78.</w:t>
      </w:r>
    </w:p>
    <w:p>
      <w:pPr>
        <w:pStyle w:val="BodyText"/>
        <w:ind w:left="836" w:right="116" w:hanging="720"/>
        <w:jc w:val="both"/>
      </w:pPr>
      <w:r>
        <w:rPr/>
        <w:t>Pedersen,</w:t>
      </w:r>
      <w:r>
        <w:rPr>
          <w:spacing w:val="-12"/>
        </w:rPr>
        <w:t> </w:t>
      </w:r>
      <w:r>
        <w:rPr/>
        <w:t>P</w:t>
      </w:r>
      <w:r>
        <w:rPr>
          <w:spacing w:val="-9"/>
        </w:rPr>
        <w:t> </w:t>
      </w:r>
      <w:r>
        <w:rPr>
          <w:spacing w:val="-3"/>
        </w:rPr>
        <w:t>L.</w:t>
      </w:r>
      <w:r>
        <w:rPr>
          <w:spacing w:val="-12"/>
        </w:rPr>
        <w:t> </w:t>
      </w:r>
      <w:r>
        <w:rPr/>
        <w:t>2007.</w:t>
      </w:r>
      <w:r>
        <w:rPr>
          <w:spacing w:val="-7"/>
        </w:rPr>
        <w:t> </w:t>
      </w:r>
      <w:r>
        <w:rPr/>
        <w:t>«</w:t>
      </w:r>
      <w:r>
        <w:rPr>
          <w:spacing w:val="-10"/>
        </w:rPr>
        <w:t> </w:t>
      </w:r>
      <w:r>
        <w:rPr/>
        <w:t>Warburg,</w:t>
      </w:r>
      <w:r>
        <w:rPr>
          <w:spacing w:val="-12"/>
        </w:rPr>
        <w:t> </w:t>
      </w:r>
      <w:r>
        <w:rPr/>
        <w:t>Me</w:t>
      </w:r>
      <w:r>
        <w:rPr>
          <w:spacing w:val="-13"/>
        </w:rPr>
        <w:t> </w:t>
      </w:r>
      <w:r>
        <w:rPr/>
        <w:t>and</w:t>
      </w:r>
      <w:r>
        <w:rPr>
          <w:spacing w:val="-12"/>
        </w:rPr>
        <w:t> </w:t>
      </w:r>
      <w:r>
        <w:rPr/>
        <w:t>Hexokinase</w:t>
      </w:r>
      <w:r>
        <w:rPr>
          <w:spacing w:val="-13"/>
        </w:rPr>
        <w:t> </w:t>
      </w:r>
      <w:r>
        <w:rPr/>
        <w:t>2:</w:t>
      </w:r>
      <w:r>
        <w:rPr>
          <w:spacing w:val="-12"/>
        </w:rPr>
        <w:t> </w:t>
      </w:r>
      <w:r>
        <w:rPr/>
        <w:t>Multiple</w:t>
      </w:r>
      <w:r>
        <w:rPr>
          <w:spacing w:val="-13"/>
        </w:rPr>
        <w:t> </w:t>
      </w:r>
      <w:r>
        <w:rPr/>
        <w:t>Discoveries</w:t>
      </w:r>
      <w:r>
        <w:rPr>
          <w:spacing w:val="-12"/>
        </w:rPr>
        <w:t> </w:t>
      </w:r>
      <w:r>
        <w:rPr/>
        <w:t>of</w:t>
      </w:r>
      <w:r>
        <w:rPr>
          <w:spacing w:val="-13"/>
        </w:rPr>
        <w:t> </w:t>
      </w:r>
      <w:r>
        <w:rPr/>
        <w:t>Key</w:t>
      </w:r>
      <w:r>
        <w:rPr>
          <w:spacing w:val="-16"/>
        </w:rPr>
        <w:t> </w:t>
      </w:r>
      <w:r>
        <w:rPr/>
        <w:t>Molecular Events Underlying One of Cancers’ Most Common Phenotypes, the “Warburg</w:t>
      </w:r>
      <w:r>
        <w:rPr>
          <w:spacing w:val="-32"/>
        </w:rPr>
        <w:t> </w:t>
      </w:r>
      <w:r>
        <w:rPr/>
        <w:t>Effect”, i.e., Elevated Glycolysis in the Presence of Oxygen </w:t>
      </w:r>
      <w:r>
        <w:rPr>
          <w:spacing w:val="-4"/>
        </w:rPr>
        <w:t>». </w:t>
      </w:r>
      <w:r>
        <w:rPr>
          <w:i/>
        </w:rPr>
        <w:t>Journal of Bioenergetics and </w:t>
      </w:r>
      <w:r>
        <w:rPr>
          <w:i/>
        </w:rPr>
        <w:t>Biomembranes </w:t>
      </w:r>
      <w:r>
        <w:rPr/>
        <w:t>39 (3):</w:t>
      </w:r>
      <w:r>
        <w:rPr>
          <w:spacing w:val="-5"/>
        </w:rPr>
        <w:t> </w:t>
      </w:r>
      <w:r>
        <w:rPr/>
        <w:t>211</w:t>
      </w:r>
      <w:r>
        <w:rPr>
          <w:rFonts w:ascii="Cambria Math" w:hAnsi="Cambria Math"/>
        </w:rPr>
        <w:t>‑</w:t>
      </w:r>
      <w:r>
        <w:rPr/>
        <w:t>22.</w:t>
      </w:r>
    </w:p>
    <w:p>
      <w:pPr>
        <w:pStyle w:val="BodyText"/>
        <w:spacing w:line="242" w:lineRule="auto"/>
        <w:ind w:left="836" w:right="114" w:hanging="720"/>
        <w:jc w:val="both"/>
      </w:pPr>
      <w:r>
        <w:rPr/>
        <w:t>Pelicano, H, D S Martin, R H Xu, et P Huang. 2006. « Glycolysis Inhibition for Anticancer Treatment ». </w:t>
      </w:r>
      <w:r>
        <w:rPr>
          <w:i/>
        </w:rPr>
        <w:t>Oncogene </w:t>
      </w:r>
      <w:r>
        <w:rPr/>
        <w:t>25 (34): 4633</w:t>
      </w:r>
      <w:r>
        <w:rPr>
          <w:rFonts w:ascii="Cambria Math" w:hAnsi="Cambria Math"/>
        </w:rPr>
        <w:t>‑</w:t>
      </w:r>
      <w:r>
        <w:rPr/>
        <w:t>46.</w:t>
      </w:r>
    </w:p>
    <w:p>
      <w:pPr>
        <w:pStyle w:val="BodyText"/>
        <w:ind w:left="836" w:right="115" w:hanging="720"/>
        <w:jc w:val="both"/>
      </w:pPr>
      <w:r>
        <w:rPr/>
        <w:t>Peña,</w:t>
      </w:r>
      <w:r>
        <w:rPr>
          <w:spacing w:val="-9"/>
        </w:rPr>
        <w:t> </w:t>
      </w:r>
      <w:r>
        <w:rPr/>
        <w:t>L,</w:t>
      </w:r>
      <w:r>
        <w:rPr>
          <w:spacing w:val="-11"/>
        </w:rPr>
        <w:t> </w:t>
      </w:r>
      <w:r>
        <w:rPr/>
        <w:t>P</w:t>
      </w:r>
      <w:r>
        <w:rPr>
          <w:spacing w:val="-10"/>
        </w:rPr>
        <w:t> </w:t>
      </w:r>
      <w:r>
        <w:rPr/>
        <w:t>J</w:t>
      </w:r>
      <w:r>
        <w:rPr>
          <w:spacing w:val="-8"/>
        </w:rPr>
        <w:t> </w:t>
      </w:r>
      <w:r>
        <w:rPr/>
        <w:t>De</w:t>
      </w:r>
      <w:r>
        <w:rPr>
          <w:spacing w:val="-13"/>
        </w:rPr>
        <w:t> </w:t>
      </w:r>
      <w:r>
        <w:rPr/>
        <w:t>Andrés,</w:t>
      </w:r>
      <w:r>
        <w:rPr>
          <w:spacing w:val="-8"/>
        </w:rPr>
        <w:t> </w:t>
      </w:r>
      <w:r>
        <w:rPr/>
        <w:t>M</w:t>
      </w:r>
      <w:r>
        <w:rPr>
          <w:spacing w:val="-11"/>
        </w:rPr>
        <w:t> </w:t>
      </w:r>
      <w:r>
        <w:rPr/>
        <w:t>Clemente,</w:t>
      </w:r>
      <w:r>
        <w:rPr>
          <w:spacing w:val="-12"/>
        </w:rPr>
        <w:t> </w:t>
      </w:r>
      <w:r>
        <w:rPr/>
        <w:t>P</w:t>
      </w:r>
      <w:r>
        <w:rPr>
          <w:spacing w:val="-10"/>
        </w:rPr>
        <w:t> </w:t>
      </w:r>
      <w:r>
        <w:rPr/>
        <w:t>Cuesta,</w:t>
      </w:r>
      <w:r>
        <w:rPr>
          <w:spacing w:val="-11"/>
        </w:rPr>
        <w:t> </w:t>
      </w:r>
      <w:r>
        <w:rPr/>
        <w:t>et</w:t>
      </w:r>
      <w:r>
        <w:rPr>
          <w:spacing w:val="-11"/>
        </w:rPr>
        <w:t> </w:t>
      </w:r>
      <w:r>
        <w:rPr/>
        <w:t>M</w:t>
      </w:r>
      <w:r>
        <w:rPr>
          <w:spacing w:val="-11"/>
        </w:rPr>
        <w:t> </w:t>
      </w:r>
      <w:r>
        <w:rPr/>
        <w:t>D</w:t>
      </w:r>
      <w:r>
        <w:rPr>
          <w:spacing w:val="-12"/>
        </w:rPr>
        <w:t> </w:t>
      </w:r>
      <w:r>
        <w:rPr/>
        <w:t>Pérez-Alenza.</w:t>
      </w:r>
      <w:r>
        <w:rPr>
          <w:spacing w:val="-11"/>
        </w:rPr>
        <w:t> </w:t>
      </w:r>
      <w:r>
        <w:rPr/>
        <w:t>2013.</w:t>
      </w:r>
      <w:r>
        <w:rPr>
          <w:spacing w:val="-6"/>
        </w:rPr>
        <w:t> </w:t>
      </w:r>
      <w:r>
        <w:rPr/>
        <w:t>«</w:t>
      </w:r>
      <w:r>
        <w:rPr>
          <w:spacing w:val="-8"/>
        </w:rPr>
        <w:t> </w:t>
      </w:r>
      <w:r>
        <w:rPr/>
        <w:t>Prognostic</w:t>
      </w:r>
      <w:r>
        <w:rPr>
          <w:spacing w:val="-12"/>
        </w:rPr>
        <w:t> </w:t>
      </w:r>
      <w:r>
        <w:rPr/>
        <w:t>Value of Histological Grading in Noninflammatory Canine Mammary Carcinomas in a Prospective Study With Two-Year Follow-Up: Relationship With Clinical and Histological Characteristics </w:t>
      </w:r>
      <w:r>
        <w:rPr>
          <w:spacing w:val="-4"/>
        </w:rPr>
        <w:t>». </w:t>
      </w:r>
      <w:r>
        <w:rPr>
          <w:i/>
        </w:rPr>
        <w:t>Veterinary Pathology </w:t>
      </w:r>
      <w:r>
        <w:rPr/>
        <w:t>50 (1): 94</w:t>
      </w:r>
      <w:r>
        <w:rPr>
          <w:rFonts w:ascii="Cambria Math" w:hAnsi="Cambria Math"/>
        </w:rPr>
        <w:t>‑</w:t>
      </w:r>
      <w:r>
        <w:rPr/>
        <w:t>105.</w:t>
      </w:r>
    </w:p>
    <w:p>
      <w:pPr>
        <w:pStyle w:val="BodyText"/>
        <w:spacing w:line="272" w:lineRule="exact" w:before="6"/>
        <w:ind w:left="116"/>
      </w:pPr>
      <w:r>
        <w:rPr/>
        <w:t>Penkowa,   M,   A  Quintana,   J   Carrasco,   M   Giralt,   A  Molinero,  et  J   Hidalgo.   2004.</w:t>
      </w:r>
    </w:p>
    <w:p>
      <w:pPr>
        <w:pStyle w:val="BodyText"/>
        <w:spacing w:line="242" w:lineRule="auto"/>
        <w:ind w:left="836" w:right="118"/>
        <w:jc w:val="both"/>
      </w:pPr>
      <w:r>
        <w:rPr/>
        <w:t>«</w:t>
      </w:r>
      <w:r>
        <w:rPr>
          <w:spacing w:val="-5"/>
        </w:rPr>
        <w:t> </w:t>
      </w:r>
      <w:r>
        <w:rPr/>
        <w:t>Metallothionein</w:t>
      </w:r>
      <w:r>
        <w:rPr>
          <w:spacing w:val="-10"/>
        </w:rPr>
        <w:t> </w:t>
      </w:r>
      <w:r>
        <w:rPr/>
        <w:t>Prevents</w:t>
      </w:r>
      <w:r>
        <w:rPr>
          <w:spacing w:val="-9"/>
        </w:rPr>
        <w:t> </w:t>
      </w:r>
      <w:r>
        <w:rPr/>
        <w:t>Neurodegeneration</w:t>
      </w:r>
      <w:r>
        <w:rPr>
          <w:spacing w:val="-10"/>
        </w:rPr>
        <w:t> </w:t>
      </w:r>
      <w:r>
        <w:rPr/>
        <w:t>and</w:t>
      </w:r>
      <w:r>
        <w:rPr>
          <w:spacing w:val="-8"/>
        </w:rPr>
        <w:t> </w:t>
      </w:r>
      <w:r>
        <w:rPr/>
        <w:t>Central</w:t>
      </w:r>
      <w:r>
        <w:rPr>
          <w:spacing w:val="-9"/>
        </w:rPr>
        <w:t> </w:t>
      </w:r>
      <w:r>
        <w:rPr/>
        <w:t>Nervous</w:t>
      </w:r>
      <w:r>
        <w:rPr>
          <w:spacing w:val="-10"/>
        </w:rPr>
        <w:t> </w:t>
      </w:r>
      <w:r>
        <w:rPr/>
        <w:t>System</w:t>
      </w:r>
      <w:r>
        <w:rPr>
          <w:spacing w:val="-7"/>
        </w:rPr>
        <w:t> </w:t>
      </w:r>
      <w:r>
        <w:rPr/>
        <w:t>Cell</w:t>
      </w:r>
      <w:r>
        <w:rPr>
          <w:spacing w:val="-9"/>
        </w:rPr>
        <w:t> </w:t>
      </w:r>
      <w:r>
        <w:rPr/>
        <w:t>Death after Treatment with Gliotoxin 6-Aminonicotinamide </w:t>
      </w:r>
      <w:r>
        <w:rPr>
          <w:spacing w:val="-4"/>
        </w:rPr>
        <w:t>».</w:t>
      </w:r>
      <w:r>
        <w:rPr>
          <w:spacing w:val="51"/>
        </w:rPr>
        <w:t> </w:t>
      </w:r>
      <w:r>
        <w:rPr>
          <w:i/>
        </w:rPr>
        <w:t>Journal of Neuroscience </w:t>
      </w:r>
      <w:r>
        <w:rPr>
          <w:i/>
        </w:rPr>
        <w:t>Research </w:t>
      </w:r>
      <w:r>
        <w:rPr/>
        <w:t>77 (1):</w:t>
      </w:r>
      <w:r>
        <w:rPr>
          <w:spacing w:val="-5"/>
        </w:rPr>
        <w:t> </w:t>
      </w:r>
      <w:r>
        <w:rPr/>
        <w:t>35</w:t>
      </w:r>
      <w:r>
        <w:rPr>
          <w:rFonts w:ascii="Cambria Math" w:hAnsi="Cambria Math"/>
        </w:rPr>
        <w:t>‑</w:t>
      </w:r>
      <w:r>
        <w:rPr/>
        <w:t>53.</w:t>
      </w:r>
    </w:p>
    <w:p>
      <w:pPr>
        <w:pStyle w:val="BodyText"/>
        <w:ind w:left="824" w:right="115" w:hanging="708"/>
        <w:jc w:val="both"/>
      </w:pPr>
      <w:r>
        <w:rPr/>
        <w:t>PetDCA. </w:t>
      </w:r>
      <w:r>
        <w:rPr>
          <w:i/>
        </w:rPr>
        <w:t>Calculating Dosage. </w:t>
      </w:r>
      <w:r>
        <w:rPr/>
        <w:t>[en ligne], URL : </w:t>
      </w:r>
      <w:hyperlink r:id="rId78">
        <w:r>
          <w:rPr/>
          <w:t>http://petdca.com/calculating-dosage/</w:t>
        </w:r>
      </w:hyperlink>
      <w:r>
        <w:rPr/>
        <w:t> [consulté le 08 mai 2017]</w:t>
      </w:r>
    </w:p>
    <w:p>
      <w:pPr>
        <w:pStyle w:val="BodyText"/>
        <w:spacing w:before="6"/>
        <w:ind w:left="836" w:right="114" w:hanging="720"/>
        <w:jc w:val="both"/>
      </w:pPr>
      <w:r>
        <w:rPr/>
        <w:t>Platz, E A, S Yegnasubramanian, J O Liu, C R Chong, J S Shim, S A Kenfield, M J Stampfer, W C Willett, E Giovannucci, et W G Nelson. 2011. « A Novel Two-Stage, Transdisciplinary Study Identifies Digoxin as a Possible Drug for Prostate Cancer Treatment ». </w:t>
      </w:r>
      <w:r>
        <w:rPr>
          <w:i/>
        </w:rPr>
        <w:t>Cancer discovery </w:t>
      </w:r>
      <w:r>
        <w:rPr/>
        <w:t>11 (1): 68</w:t>
      </w:r>
      <w:r>
        <w:rPr>
          <w:rFonts w:ascii="Cambria Math" w:hAnsi="Cambria Math"/>
        </w:rPr>
        <w:t>‑</w:t>
      </w:r>
      <w:r>
        <w:rPr/>
        <w:t>77.</w:t>
      </w:r>
    </w:p>
    <w:p>
      <w:pPr>
        <w:pStyle w:val="BodyText"/>
        <w:spacing w:line="273" w:lineRule="exact"/>
        <w:ind w:left="116"/>
      </w:pPr>
      <w:r>
        <w:rPr/>
        <w:t>Polański, R, C L Hodgkinson, A Fusi, D Nonaka, L Priest, P Kelly, F Trapani, et al. 2014.</w:t>
      </w:r>
    </w:p>
    <w:p>
      <w:pPr>
        <w:spacing w:line="242" w:lineRule="auto" w:before="0"/>
        <w:ind w:left="836" w:right="119" w:firstLine="0"/>
        <w:jc w:val="both"/>
        <w:rPr>
          <w:sz w:val="24"/>
        </w:rPr>
      </w:pPr>
      <w:r>
        <w:rPr>
          <w:sz w:val="24"/>
        </w:rPr>
        <w:t>« Activity of the Monocarboxylate Transporter 1 Inhibitor AZD3965 in Small Cell Lung Cancer </w:t>
      </w:r>
      <w:r>
        <w:rPr>
          <w:spacing w:val="-4"/>
          <w:sz w:val="24"/>
        </w:rPr>
        <w:t>».</w:t>
      </w:r>
      <w:r>
        <w:rPr>
          <w:spacing w:val="51"/>
          <w:sz w:val="24"/>
        </w:rPr>
        <w:t> </w:t>
      </w:r>
      <w:r>
        <w:rPr>
          <w:i/>
          <w:sz w:val="24"/>
        </w:rPr>
        <w:t>Clinical Cancer Research: An Official Journal of the American </w:t>
      </w:r>
      <w:r>
        <w:rPr>
          <w:i/>
          <w:sz w:val="24"/>
        </w:rPr>
        <w:t>Association for Cancer Research </w:t>
      </w:r>
      <w:r>
        <w:rPr>
          <w:sz w:val="24"/>
        </w:rPr>
        <w:t>20 (4): 926</w:t>
      </w:r>
      <w:r>
        <w:rPr>
          <w:rFonts w:ascii="Cambria Math" w:hAnsi="Cambria Math"/>
          <w:sz w:val="24"/>
        </w:rPr>
        <w:t>‑</w:t>
      </w:r>
      <w:r>
        <w:rPr>
          <w:sz w:val="24"/>
        </w:rPr>
        <w:t>37.</w:t>
      </w:r>
    </w:p>
    <w:p>
      <w:pPr>
        <w:pStyle w:val="BodyText"/>
        <w:ind w:left="836" w:right="116" w:hanging="720"/>
        <w:jc w:val="both"/>
      </w:pPr>
      <w:r>
        <w:rPr/>
        <w:t>Poli,</w:t>
      </w:r>
      <w:r>
        <w:rPr>
          <w:spacing w:val="-11"/>
        </w:rPr>
        <w:t> </w:t>
      </w:r>
      <w:r>
        <w:rPr/>
        <w:t>G,</w:t>
      </w:r>
      <w:r>
        <w:rPr>
          <w:spacing w:val="-11"/>
        </w:rPr>
        <w:t> </w:t>
      </w:r>
      <w:r>
        <w:rPr/>
        <w:t>G</w:t>
      </w:r>
      <w:r>
        <w:rPr>
          <w:spacing w:val="-12"/>
        </w:rPr>
        <w:t> </w:t>
      </w:r>
      <w:r>
        <w:rPr/>
        <w:t>Cantini,</w:t>
      </w:r>
      <w:r>
        <w:rPr>
          <w:spacing w:val="-11"/>
        </w:rPr>
        <w:t> </w:t>
      </w:r>
      <w:r>
        <w:rPr/>
        <w:t>R</w:t>
      </w:r>
      <w:r>
        <w:rPr>
          <w:spacing w:val="-10"/>
        </w:rPr>
        <w:t> </w:t>
      </w:r>
      <w:r>
        <w:rPr/>
        <w:t>Armignacco,</w:t>
      </w:r>
      <w:r>
        <w:rPr>
          <w:spacing w:val="-11"/>
        </w:rPr>
        <w:t> </w:t>
      </w:r>
      <w:r>
        <w:rPr/>
        <w:t>R</w:t>
      </w:r>
      <w:r>
        <w:rPr>
          <w:spacing w:val="-8"/>
        </w:rPr>
        <w:t> </w:t>
      </w:r>
      <w:r>
        <w:rPr/>
        <w:t>Fucci,</w:t>
      </w:r>
      <w:r>
        <w:rPr>
          <w:spacing w:val="-11"/>
        </w:rPr>
        <w:t> </w:t>
      </w:r>
      <w:r>
        <w:rPr/>
        <w:t>R</w:t>
      </w:r>
      <w:r>
        <w:rPr>
          <w:spacing w:val="-8"/>
        </w:rPr>
        <w:t> </w:t>
      </w:r>
      <w:r>
        <w:rPr/>
        <w:t>Santi,</w:t>
      </w:r>
      <w:r>
        <w:rPr>
          <w:spacing w:val="-9"/>
        </w:rPr>
        <w:t> </w:t>
      </w:r>
      <w:r>
        <w:rPr/>
        <w:t>L</w:t>
      </w:r>
      <w:r>
        <w:rPr>
          <w:spacing w:val="-12"/>
        </w:rPr>
        <w:t> </w:t>
      </w:r>
      <w:r>
        <w:rPr/>
        <w:t>Canu,</w:t>
      </w:r>
      <w:r>
        <w:rPr>
          <w:spacing w:val="-11"/>
        </w:rPr>
        <w:t> </w:t>
      </w:r>
      <w:r>
        <w:rPr/>
        <w:t>G</w:t>
      </w:r>
      <w:r>
        <w:rPr>
          <w:spacing w:val="-9"/>
        </w:rPr>
        <w:t> </w:t>
      </w:r>
      <w:r>
        <w:rPr/>
        <w:t>Nesi,</w:t>
      </w:r>
      <w:r>
        <w:rPr>
          <w:spacing w:val="-8"/>
        </w:rPr>
        <w:t> </w:t>
      </w:r>
      <w:r>
        <w:rPr/>
        <w:t>M</w:t>
      </w:r>
      <w:r>
        <w:rPr>
          <w:spacing w:val="-10"/>
        </w:rPr>
        <w:t> </w:t>
      </w:r>
      <w:r>
        <w:rPr/>
        <w:t>Mannelli,</w:t>
      </w:r>
      <w:r>
        <w:rPr>
          <w:spacing w:val="-11"/>
        </w:rPr>
        <w:t> </w:t>
      </w:r>
      <w:r>
        <w:rPr/>
        <w:t>et</w:t>
      </w:r>
      <w:r>
        <w:rPr>
          <w:spacing w:val="-11"/>
        </w:rPr>
        <w:t> </w:t>
      </w:r>
      <w:r>
        <w:rPr/>
        <w:t>M</w:t>
      </w:r>
      <w:r>
        <w:rPr>
          <w:spacing w:val="-6"/>
        </w:rPr>
        <w:t> </w:t>
      </w:r>
      <w:r>
        <w:rPr/>
        <w:t>Luconi. 2016. « Metformin as a New Anti-Cancer Drug in Adrenocortical Carcinoma </w:t>
      </w:r>
      <w:r>
        <w:rPr>
          <w:spacing w:val="-4"/>
        </w:rPr>
        <w:t>». </w:t>
      </w:r>
      <w:r>
        <w:rPr>
          <w:i/>
        </w:rPr>
        <w:t>Oncotarget </w:t>
      </w:r>
      <w:r>
        <w:rPr/>
        <w:t>1 (7)</w:t>
      </w:r>
      <w:r>
        <w:rPr>
          <w:spacing w:val="-7"/>
        </w:rPr>
        <w:t> </w:t>
      </w:r>
      <w:r>
        <w:rPr/>
        <w:t>632-45.</w:t>
      </w:r>
    </w:p>
    <w:p>
      <w:pPr>
        <w:pStyle w:val="BodyText"/>
        <w:spacing w:before="3"/>
        <w:ind w:left="116"/>
      </w:pPr>
      <w:r>
        <w:rPr/>
        <w:t>Pollard, P J, J J Brière, N A Alam, J Barwell, E Barclay, N C Wortham, T.Hunt, et al. 2005.</w:t>
      </w:r>
    </w:p>
    <w:p>
      <w:pPr>
        <w:pStyle w:val="BodyText"/>
        <w:spacing w:line="242" w:lineRule="auto"/>
        <w:ind w:left="836" w:right="116"/>
        <w:jc w:val="both"/>
      </w:pPr>
      <w:r>
        <w:rPr/>
        <w:t>« Accumulation of Krebs Cycle Intermediates and Over-Expression of HIF1alpha in Tumours Which Result from Germline FH and SDH Mutations ». </w:t>
      </w:r>
      <w:r>
        <w:rPr>
          <w:i/>
        </w:rPr>
        <w:t>Human Molecular </w:t>
      </w:r>
      <w:r>
        <w:rPr>
          <w:i/>
        </w:rPr>
        <w:t>Genetics </w:t>
      </w:r>
      <w:r>
        <w:rPr/>
        <w:t>14 (15): 2231</w:t>
      </w:r>
      <w:r>
        <w:rPr>
          <w:rFonts w:ascii="Cambria Math" w:hAnsi="Cambria Math"/>
        </w:rPr>
        <w:t>‑</w:t>
      </w:r>
      <w:r>
        <w:rPr/>
        <w:t>39.</w:t>
      </w:r>
    </w:p>
    <w:p>
      <w:pPr>
        <w:spacing w:after="0" w:line="242" w:lineRule="auto"/>
        <w:jc w:val="both"/>
        <w:sectPr>
          <w:pgSz w:w="11910" w:h="16840"/>
          <w:pgMar w:header="0" w:footer="995" w:top="1320" w:bottom="1240" w:left="1300" w:right="1300"/>
        </w:sectPr>
      </w:pPr>
    </w:p>
    <w:p>
      <w:pPr>
        <w:pStyle w:val="BodyText"/>
        <w:spacing w:before="70"/>
        <w:ind w:left="836" w:right="109" w:hanging="720"/>
        <w:jc w:val="both"/>
      </w:pPr>
      <w:r>
        <w:rPr/>
        <w:t>Ponce, F, T Marchal, J P Magnol, V Turinelli, D Ledieu, C Bonnefont, M Pastor, M L Delignette,</w:t>
      </w:r>
      <w:r>
        <w:rPr>
          <w:spacing w:val="-14"/>
        </w:rPr>
        <w:t> </w:t>
      </w:r>
      <w:r>
        <w:rPr/>
        <w:t>et</w:t>
      </w:r>
      <w:r>
        <w:rPr>
          <w:spacing w:val="-14"/>
        </w:rPr>
        <w:t> </w:t>
      </w:r>
      <w:r>
        <w:rPr/>
        <w:t>C</w:t>
      </w:r>
      <w:r>
        <w:rPr>
          <w:spacing w:val="-14"/>
        </w:rPr>
        <w:t> </w:t>
      </w:r>
      <w:r>
        <w:rPr/>
        <w:t>Fournel-Fleury.</w:t>
      </w:r>
      <w:r>
        <w:rPr>
          <w:spacing w:val="-14"/>
        </w:rPr>
        <w:t> </w:t>
      </w:r>
      <w:r>
        <w:rPr/>
        <w:t>2010.</w:t>
      </w:r>
      <w:r>
        <w:rPr>
          <w:spacing w:val="-10"/>
        </w:rPr>
        <w:t> </w:t>
      </w:r>
      <w:r>
        <w:rPr/>
        <w:t>«</w:t>
      </w:r>
      <w:r>
        <w:rPr>
          <w:spacing w:val="-7"/>
        </w:rPr>
        <w:t> </w:t>
      </w:r>
      <w:r>
        <w:rPr/>
        <w:t>A</w:t>
      </w:r>
      <w:r>
        <w:rPr>
          <w:spacing w:val="-15"/>
        </w:rPr>
        <w:t> </w:t>
      </w:r>
      <w:r>
        <w:rPr/>
        <w:t>Morphological</w:t>
      </w:r>
      <w:r>
        <w:rPr>
          <w:spacing w:val="-14"/>
        </w:rPr>
        <w:t> </w:t>
      </w:r>
      <w:r>
        <w:rPr/>
        <w:t>Study</w:t>
      </w:r>
      <w:r>
        <w:rPr>
          <w:spacing w:val="-18"/>
        </w:rPr>
        <w:t> </w:t>
      </w:r>
      <w:r>
        <w:rPr/>
        <w:t>of</w:t>
      </w:r>
      <w:r>
        <w:rPr>
          <w:spacing w:val="-15"/>
        </w:rPr>
        <w:t> </w:t>
      </w:r>
      <w:r>
        <w:rPr/>
        <w:t>608</w:t>
      </w:r>
      <w:r>
        <w:rPr>
          <w:spacing w:val="-14"/>
        </w:rPr>
        <w:t> </w:t>
      </w:r>
      <w:r>
        <w:rPr/>
        <w:t>Cases</w:t>
      </w:r>
      <w:r>
        <w:rPr>
          <w:spacing w:val="-14"/>
        </w:rPr>
        <w:t> </w:t>
      </w:r>
      <w:r>
        <w:rPr/>
        <w:t>of</w:t>
      </w:r>
      <w:r>
        <w:rPr>
          <w:spacing w:val="-15"/>
        </w:rPr>
        <w:t> </w:t>
      </w:r>
      <w:r>
        <w:rPr/>
        <w:t>Canine Malignant Lymphoma in France With a Focus on Comparative Similarities Between Canine and Human Lymphoma Morphology </w:t>
      </w:r>
      <w:r>
        <w:rPr>
          <w:spacing w:val="-4"/>
        </w:rPr>
        <w:t>». </w:t>
      </w:r>
      <w:r>
        <w:rPr>
          <w:i/>
        </w:rPr>
        <w:t>Veterinary Pathology </w:t>
      </w:r>
      <w:r>
        <w:rPr/>
        <w:t>47 (3):</w:t>
      </w:r>
      <w:r>
        <w:rPr>
          <w:spacing w:val="5"/>
        </w:rPr>
        <w:t> </w:t>
      </w:r>
      <w:r>
        <w:rPr/>
        <w:t>414</w:t>
      </w:r>
      <w:r>
        <w:rPr>
          <w:rFonts w:ascii="Cambria Math" w:hAnsi="Cambria Math"/>
        </w:rPr>
        <w:t>‑</w:t>
      </w:r>
      <w:r>
        <w:rPr/>
        <w:t>33.</w:t>
      </w:r>
    </w:p>
    <w:p>
      <w:pPr>
        <w:pStyle w:val="BodyText"/>
        <w:ind w:left="836" w:right="112" w:hanging="720"/>
        <w:jc w:val="both"/>
      </w:pPr>
      <w:r>
        <w:rPr/>
        <w:t>Porporato, P E, S Dhup, R K Dadhich, T C, et P Sonveaux. 2011. « Anticancer Targets in the Glycolytic Metabolism of Tumors: A Comprehensive Review </w:t>
      </w:r>
      <w:r>
        <w:rPr>
          <w:spacing w:val="-4"/>
        </w:rPr>
        <w:t>».</w:t>
      </w:r>
      <w:r>
        <w:rPr>
          <w:spacing w:val="51"/>
        </w:rPr>
        <w:t> </w:t>
      </w:r>
      <w:r>
        <w:rPr>
          <w:i/>
        </w:rPr>
        <w:t>Frontiers in </w:t>
      </w:r>
      <w:r>
        <w:rPr>
          <w:i/>
        </w:rPr>
        <w:t>Pharmacology  </w:t>
      </w:r>
      <w:r>
        <w:rPr/>
        <w:t>7 (2): 49-58.</w:t>
      </w:r>
    </w:p>
    <w:p>
      <w:pPr>
        <w:pStyle w:val="BodyText"/>
        <w:spacing w:before="1"/>
        <w:ind w:left="836" w:right="114" w:hanging="720"/>
        <w:jc w:val="both"/>
      </w:pPr>
      <w:r>
        <w:rPr/>
        <w:t>Powell, S F, W C Spanos, L J Black, C Ellison, W K Miskimins, S E Puumala, J H Lee, et M M Gitau. 2015. « Phase II study of dichloroacetate (DCA) in combination with chemoradiation</w:t>
      </w:r>
      <w:r>
        <w:rPr>
          <w:spacing w:val="-8"/>
        </w:rPr>
        <w:t> </w:t>
      </w:r>
      <w:r>
        <w:rPr/>
        <w:t>(CRT)</w:t>
      </w:r>
      <w:r>
        <w:rPr>
          <w:spacing w:val="-12"/>
        </w:rPr>
        <w:t> </w:t>
      </w:r>
      <w:r>
        <w:rPr/>
        <w:t>for</w:t>
      </w:r>
      <w:r>
        <w:rPr>
          <w:spacing w:val="-12"/>
        </w:rPr>
        <w:t> </w:t>
      </w:r>
      <w:r>
        <w:rPr/>
        <w:t>unresected,</w:t>
      </w:r>
      <w:r>
        <w:rPr>
          <w:spacing w:val="-12"/>
        </w:rPr>
        <w:t> </w:t>
      </w:r>
      <w:r>
        <w:rPr/>
        <w:t>locally</w:t>
      </w:r>
      <w:r>
        <w:rPr>
          <w:spacing w:val="-13"/>
        </w:rPr>
        <w:t> </w:t>
      </w:r>
      <w:r>
        <w:rPr/>
        <w:t>advanced</w:t>
      </w:r>
      <w:r>
        <w:rPr>
          <w:spacing w:val="-11"/>
        </w:rPr>
        <w:t> </w:t>
      </w:r>
      <w:r>
        <w:rPr/>
        <w:t>squamous</w:t>
      </w:r>
      <w:r>
        <w:rPr>
          <w:spacing w:val="-8"/>
        </w:rPr>
        <w:t> </w:t>
      </w:r>
      <w:r>
        <w:rPr/>
        <w:t>cell</w:t>
      </w:r>
      <w:r>
        <w:rPr>
          <w:spacing w:val="-10"/>
        </w:rPr>
        <w:t> </w:t>
      </w:r>
      <w:r>
        <w:rPr/>
        <w:t>carcinoma</w:t>
      </w:r>
      <w:r>
        <w:rPr>
          <w:spacing w:val="-12"/>
        </w:rPr>
        <w:t> </w:t>
      </w:r>
      <w:r>
        <w:rPr/>
        <w:t>of</w:t>
      </w:r>
      <w:r>
        <w:rPr>
          <w:spacing w:val="-12"/>
        </w:rPr>
        <w:t> </w:t>
      </w:r>
      <w:r>
        <w:rPr/>
        <w:t>the head and neck (LA-SCCHN). » </w:t>
      </w:r>
      <w:r>
        <w:rPr>
          <w:i/>
        </w:rPr>
        <w:t>Journal of Clinical Oncology </w:t>
      </w:r>
      <w:r>
        <w:rPr/>
        <w:t>33 (15):</w:t>
      </w:r>
      <w:r>
        <w:rPr>
          <w:spacing w:val="-8"/>
        </w:rPr>
        <w:t> </w:t>
      </w:r>
      <w:r>
        <w:rPr/>
        <w:t>170-89.</w:t>
      </w:r>
    </w:p>
    <w:p>
      <w:pPr>
        <w:pStyle w:val="BodyText"/>
        <w:spacing w:line="242" w:lineRule="auto"/>
        <w:ind w:left="836" w:right="116" w:hanging="720"/>
        <w:jc w:val="both"/>
      </w:pPr>
      <w:r>
        <w:rPr/>
        <w:t>Puchsaka, P, C Chaotham, et P Chanvorachote. 2016. « α-Lipoic Acid Sensitizes Lung Cancer Cells to Chemotherapeutic Agents and Anoikis via Integrin Β1/Β3 Downregulation ». </w:t>
      </w:r>
      <w:r>
        <w:rPr>
          <w:i/>
        </w:rPr>
        <w:t>International Journal of Oncology </w:t>
      </w:r>
      <w:r>
        <w:rPr/>
        <w:t>49 (4): 1445</w:t>
      </w:r>
      <w:r>
        <w:rPr>
          <w:rFonts w:ascii="Cambria Math" w:hAnsi="Cambria Math"/>
        </w:rPr>
        <w:t>‑</w:t>
      </w:r>
      <w:r>
        <w:rPr/>
        <w:t>56.</w:t>
      </w:r>
    </w:p>
    <w:p>
      <w:pPr>
        <w:pStyle w:val="BodyText"/>
        <w:ind w:left="836" w:right="115" w:hanging="720"/>
        <w:jc w:val="both"/>
      </w:pPr>
      <w:r>
        <w:rPr/>
        <w:t>Raez, L E, K Papadopoulos, A D Ricart, E G Chiorean, R S Dipaola, M N Stein, C M Rocha Lima, et al. 2013. « A Phase I Dose-Escalation Trial of 2-Deoxy-D-Glucose Alone or Combined with Docetaxel in Patients with Advanced Solid Tumors </w:t>
      </w:r>
      <w:r>
        <w:rPr>
          <w:spacing w:val="-4"/>
        </w:rPr>
        <w:t>».</w:t>
      </w:r>
      <w:r>
        <w:rPr>
          <w:spacing w:val="51"/>
        </w:rPr>
        <w:t> </w:t>
      </w:r>
      <w:r>
        <w:rPr>
          <w:i/>
        </w:rPr>
        <w:t>Cancer </w:t>
      </w:r>
      <w:r>
        <w:rPr>
          <w:i/>
        </w:rPr>
        <w:t>Chemotherapy and Pharmacology </w:t>
      </w:r>
      <w:r>
        <w:rPr/>
        <w:t>71 (2): 523</w:t>
      </w:r>
      <w:r>
        <w:rPr>
          <w:rFonts w:ascii="Cambria Math" w:hAnsi="Cambria Math"/>
        </w:rPr>
        <w:t>‑</w:t>
      </w:r>
      <w:r>
        <w:rPr/>
        <w:t>30.</w:t>
      </w:r>
    </w:p>
    <w:p>
      <w:pPr>
        <w:pStyle w:val="BodyText"/>
        <w:spacing w:before="2"/>
        <w:ind w:left="836" w:right="112" w:hanging="720"/>
        <w:jc w:val="both"/>
      </w:pPr>
      <w:r>
        <w:rPr/>
        <w:t>Raïs, B, B Comin, J Puigjaner, J L Brandes, E Creppy, D Saboureau, R Ennamany, W N Lee, L G Boros, et M Cascante. 1999. « Oxythiamine and Dehydroepiandrosterone Induce</w:t>
      </w:r>
      <w:r>
        <w:rPr>
          <w:spacing w:val="-42"/>
        </w:rPr>
        <w:t> </w:t>
      </w:r>
      <w:r>
        <w:rPr/>
        <w:t>a G1 Phase Cycle Arrest in Ehrlich’s Tumor Cells through Inhibition of the Pentose Cycle </w:t>
      </w:r>
      <w:r>
        <w:rPr>
          <w:spacing w:val="-4"/>
        </w:rPr>
        <w:t>». </w:t>
      </w:r>
      <w:r>
        <w:rPr>
          <w:i/>
        </w:rPr>
        <w:t>FEBS Letters </w:t>
      </w:r>
      <w:r>
        <w:rPr/>
        <w:t>456 (1):</w:t>
      </w:r>
      <w:r>
        <w:rPr>
          <w:spacing w:val="1"/>
        </w:rPr>
        <w:t> </w:t>
      </w:r>
      <w:r>
        <w:rPr/>
        <w:t>113</w:t>
      </w:r>
      <w:r>
        <w:rPr>
          <w:rFonts w:ascii="Cambria Math" w:hAnsi="Cambria Math"/>
        </w:rPr>
        <w:t>‑</w:t>
      </w:r>
      <w:r>
        <w:rPr/>
        <w:t>18.</w:t>
      </w:r>
    </w:p>
    <w:p>
      <w:pPr>
        <w:pStyle w:val="BodyText"/>
        <w:spacing w:line="242" w:lineRule="auto"/>
        <w:ind w:left="836" w:right="114" w:hanging="720"/>
        <w:jc w:val="both"/>
      </w:pPr>
      <w:r>
        <w:rPr/>
        <w:t>Ramjaun, A R, et J Downward. 2007. « Ras and Phosphoinositide 3-Kinase: Partners in Development and Tumorigenesis ». </w:t>
      </w:r>
      <w:r>
        <w:rPr>
          <w:i/>
        </w:rPr>
        <w:t>Cell Cycle (Georgetown, Tex.) </w:t>
      </w:r>
      <w:r>
        <w:rPr/>
        <w:t>6 (23): 2902</w:t>
      </w:r>
      <w:r>
        <w:rPr>
          <w:rFonts w:ascii="Cambria Math" w:hAnsi="Cambria Math"/>
        </w:rPr>
        <w:t>‑</w:t>
      </w:r>
      <w:r>
        <w:rPr/>
        <w:t>5.</w:t>
      </w:r>
    </w:p>
    <w:p>
      <w:pPr>
        <w:pStyle w:val="BodyText"/>
        <w:spacing w:line="242" w:lineRule="auto"/>
        <w:ind w:left="836" w:right="116" w:hanging="720"/>
        <w:jc w:val="both"/>
      </w:pPr>
      <w:r>
        <w:rPr/>
        <w:t>Ranjith, D, P Shiva, A C Karunakara, L Diwakar, et R Chandrasekara. 2011. « Issue of Testicular Toxicity of Hydroxycitric Acid Lactone ». </w:t>
      </w:r>
      <w:r>
        <w:rPr>
          <w:i/>
        </w:rPr>
        <w:t>Current Science </w:t>
      </w:r>
      <w:r>
        <w:rPr/>
        <w:t>100 (1): 24</w:t>
      </w:r>
      <w:r>
        <w:rPr>
          <w:rFonts w:ascii="Cambria Math" w:hAnsi="Cambria Math"/>
        </w:rPr>
        <w:t>‑</w:t>
      </w:r>
      <w:r>
        <w:rPr/>
        <w:t>27.</w:t>
      </w:r>
    </w:p>
    <w:p>
      <w:pPr>
        <w:pStyle w:val="BodyText"/>
        <w:spacing w:line="272" w:lineRule="exact" w:before="2"/>
        <w:ind w:left="116"/>
      </w:pPr>
      <w:r>
        <w:rPr/>
        <w:t>Rapisarda, A, B Uranchimeg, O Sordet, Y Pommier, R H Shoemaker, et G Melillo. 2004.</w:t>
      </w:r>
    </w:p>
    <w:p>
      <w:pPr>
        <w:pStyle w:val="BodyText"/>
        <w:spacing w:line="242" w:lineRule="auto"/>
        <w:ind w:left="836" w:right="36"/>
      </w:pPr>
      <w:r>
        <w:rPr/>
        <w:t>« Topoisomerase I-Mediated Inhibition of Hypoxia-Inducible Factor 1: Mechanism and Therapeutic Implications ». </w:t>
      </w:r>
      <w:r>
        <w:rPr>
          <w:i/>
        </w:rPr>
        <w:t>Cancer Research </w:t>
      </w:r>
      <w:r>
        <w:rPr/>
        <w:t>64 (4): 1475</w:t>
      </w:r>
      <w:r>
        <w:rPr>
          <w:rFonts w:ascii="Cambria Math" w:hAnsi="Cambria Math"/>
        </w:rPr>
        <w:t>‑</w:t>
      </w:r>
      <w:r>
        <w:rPr/>
        <w:t>82.</w:t>
      </w:r>
    </w:p>
    <w:p>
      <w:pPr>
        <w:pStyle w:val="BodyText"/>
        <w:spacing w:line="242" w:lineRule="auto"/>
        <w:ind w:left="836" w:right="112" w:hanging="720"/>
        <w:jc w:val="both"/>
      </w:pPr>
      <w:r>
        <w:rPr/>
        <w:t>Ravaud,</w:t>
      </w:r>
      <w:r>
        <w:rPr>
          <w:spacing w:val="-10"/>
        </w:rPr>
        <w:t> </w:t>
      </w:r>
      <w:r>
        <w:rPr/>
        <w:t>A,</w:t>
      </w:r>
      <w:r>
        <w:rPr>
          <w:spacing w:val="-10"/>
        </w:rPr>
        <w:t> </w:t>
      </w:r>
      <w:r>
        <w:rPr/>
        <w:t>J</w:t>
      </w:r>
      <w:r>
        <w:rPr>
          <w:spacing w:val="-7"/>
        </w:rPr>
        <w:t> </w:t>
      </w:r>
      <w:r>
        <w:rPr/>
        <w:t>C</w:t>
      </w:r>
      <w:r>
        <w:rPr>
          <w:spacing w:val="-9"/>
        </w:rPr>
        <w:t> </w:t>
      </w:r>
      <w:r>
        <w:rPr/>
        <w:t>Bernhard,</w:t>
      </w:r>
      <w:r>
        <w:rPr>
          <w:spacing w:val="-8"/>
        </w:rPr>
        <w:t> </w:t>
      </w:r>
      <w:r>
        <w:rPr/>
        <w:t>M</w:t>
      </w:r>
      <w:r>
        <w:rPr>
          <w:spacing w:val="-9"/>
        </w:rPr>
        <w:t> </w:t>
      </w:r>
      <w:r>
        <w:rPr/>
        <w:t>Gross-Goupil,</w:t>
      </w:r>
      <w:r>
        <w:rPr>
          <w:spacing w:val="-7"/>
        </w:rPr>
        <w:t> </w:t>
      </w:r>
      <w:r>
        <w:rPr/>
        <w:t>L</w:t>
      </w:r>
      <w:r>
        <w:rPr>
          <w:spacing w:val="-11"/>
        </w:rPr>
        <w:t> </w:t>
      </w:r>
      <w:r>
        <w:rPr/>
        <w:t>Digue,</w:t>
      </w:r>
      <w:r>
        <w:rPr>
          <w:spacing w:val="-10"/>
        </w:rPr>
        <w:t> </w:t>
      </w:r>
      <w:r>
        <w:rPr/>
        <w:t>et</w:t>
      </w:r>
      <w:r>
        <w:rPr>
          <w:spacing w:val="-9"/>
        </w:rPr>
        <w:t> </w:t>
      </w:r>
      <w:r>
        <w:rPr/>
        <w:t>J</w:t>
      </w:r>
      <w:r>
        <w:rPr>
          <w:spacing w:val="-6"/>
        </w:rPr>
        <w:t> </w:t>
      </w:r>
      <w:r>
        <w:rPr/>
        <w:t>M</w:t>
      </w:r>
      <w:r>
        <w:rPr>
          <w:spacing w:val="-9"/>
        </w:rPr>
        <w:t> </w:t>
      </w:r>
      <w:r>
        <w:rPr/>
        <w:t>Ferriere.</w:t>
      </w:r>
      <w:r>
        <w:rPr>
          <w:spacing w:val="-9"/>
        </w:rPr>
        <w:t> </w:t>
      </w:r>
      <w:r>
        <w:rPr/>
        <w:t>2010.</w:t>
      </w:r>
      <w:r>
        <w:rPr>
          <w:spacing w:val="-5"/>
        </w:rPr>
        <w:t> </w:t>
      </w:r>
      <w:r>
        <w:rPr/>
        <w:t>«</w:t>
      </w:r>
      <w:r>
        <w:rPr>
          <w:spacing w:val="-5"/>
        </w:rPr>
        <w:t> </w:t>
      </w:r>
      <w:r>
        <w:rPr/>
        <w:t>mTOR</w:t>
      </w:r>
      <w:r>
        <w:rPr>
          <w:spacing w:val="-9"/>
        </w:rPr>
        <w:t> </w:t>
      </w:r>
      <w:r>
        <w:rPr/>
        <w:t>inhibitors: temsirolimus and everolimus in the treatment of renal cell carcinoma </w:t>
      </w:r>
      <w:r>
        <w:rPr>
          <w:spacing w:val="-4"/>
        </w:rPr>
        <w:t>». </w:t>
      </w:r>
      <w:r>
        <w:rPr>
          <w:i/>
        </w:rPr>
        <w:t>Bulletin du </w:t>
      </w:r>
      <w:r>
        <w:rPr>
          <w:i/>
        </w:rPr>
        <w:t>cancer </w:t>
      </w:r>
      <w:r>
        <w:rPr/>
        <w:t>4 (97):</w:t>
      </w:r>
      <w:r>
        <w:rPr>
          <w:spacing w:val="-5"/>
        </w:rPr>
        <w:t> </w:t>
      </w:r>
      <w:r>
        <w:rPr/>
        <w:t>45</w:t>
      </w:r>
      <w:r>
        <w:rPr>
          <w:rFonts w:ascii="Cambria Math" w:hAnsi="Cambria Math"/>
        </w:rPr>
        <w:t>‑</w:t>
      </w:r>
      <w:r>
        <w:rPr/>
        <w:t>51.</w:t>
      </w:r>
    </w:p>
    <w:p>
      <w:pPr>
        <w:pStyle w:val="BodyText"/>
        <w:ind w:left="836" w:right="114" w:hanging="720"/>
        <w:jc w:val="both"/>
      </w:pPr>
      <w:r>
        <w:rPr/>
        <w:t>Ren,</w:t>
      </w:r>
      <w:r>
        <w:rPr>
          <w:spacing w:val="-5"/>
        </w:rPr>
        <w:t> </w:t>
      </w:r>
      <w:r>
        <w:rPr/>
        <w:t>F,</w:t>
      </w:r>
      <w:r>
        <w:rPr>
          <w:spacing w:val="-5"/>
        </w:rPr>
        <w:t> </w:t>
      </w:r>
      <w:r>
        <w:rPr/>
        <w:t>H</w:t>
      </w:r>
      <w:r>
        <w:rPr>
          <w:spacing w:val="-5"/>
        </w:rPr>
        <w:t> </w:t>
      </w:r>
      <w:r>
        <w:rPr/>
        <w:t>Wu,</w:t>
      </w:r>
      <w:r>
        <w:rPr>
          <w:spacing w:val="-5"/>
        </w:rPr>
        <w:t> </w:t>
      </w:r>
      <w:r>
        <w:rPr/>
        <w:t>Y</w:t>
      </w:r>
      <w:r>
        <w:rPr>
          <w:spacing w:val="-2"/>
        </w:rPr>
        <w:t> </w:t>
      </w:r>
      <w:r>
        <w:rPr/>
        <w:t>Lei,</w:t>
      </w:r>
      <w:r>
        <w:rPr>
          <w:spacing w:val="-2"/>
        </w:rPr>
        <w:t> </w:t>
      </w:r>
      <w:r>
        <w:rPr/>
        <w:t>H</w:t>
      </w:r>
      <w:r>
        <w:rPr>
          <w:spacing w:val="-2"/>
        </w:rPr>
        <w:t> </w:t>
      </w:r>
      <w:r>
        <w:rPr/>
        <w:t>Zhang,</w:t>
      </w:r>
      <w:r>
        <w:rPr>
          <w:spacing w:val="-3"/>
        </w:rPr>
        <w:t> </w:t>
      </w:r>
      <w:r>
        <w:rPr/>
        <w:t>R</w:t>
      </w:r>
      <w:r>
        <w:rPr>
          <w:spacing w:val="-2"/>
        </w:rPr>
        <w:t> </w:t>
      </w:r>
      <w:r>
        <w:rPr/>
        <w:t>Liu,</w:t>
      </w:r>
      <w:r>
        <w:rPr>
          <w:spacing w:val="-2"/>
        </w:rPr>
        <w:t> </w:t>
      </w:r>
      <w:r>
        <w:rPr/>
        <w:t>Y</w:t>
      </w:r>
      <w:r>
        <w:rPr>
          <w:spacing w:val="-2"/>
        </w:rPr>
        <w:t> </w:t>
      </w:r>
      <w:r>
        <w:rPr/>
        <w:t>Zhao,</w:t>
      </w:r>
      <w:r>
        <w:rPr>
          <w:spacing w:val="-2"/>
        </w:rPr>
        <w:t> </w:t>
      </w:r>
      <w:r>
        <w:rPr/>
        <w:t>X</w:t>
      </w:r>
      <w:r>
        <w:rPr>
          <w:spacing w:val="-3"/>
        </w:rPr>
        <w:t> </w:t>
      </w:r>
      <w:r>
        <w:rPr/>
        <w:t>Chen,</w:t>
      </w:r>
      <w:r>
        <w:rPr>
          <w:spacing w:val="-5"/>
        </w:rPr>
        <w:t> </w:t>
      </w:r>
      <w:r>
        <w:rPr/>
        <w:t>et</w:t>
      </w:r>
      <w:r>
        <w:rPr>
          <w:spacing w:val="-4"/>
        </w:rPr>
        <w:t> </w:t>
      </w:r>
      <w:r>
        <w:rPr/>
        <w:t>al.</w:t>
      </w:r>
      <w:r>
        <w:rPr>
          <w:spacing w:val="-4"/>
        </w:rPr>
        <w:t> </w:t>
      </w:r>
      <w:r>
        <w:rPr/>
        <w:t>2010.</w:t>
      </w:r>
      <w:r>
        <w:rPr>
          <w:spacing w:val="1"/>
        </w:rPr>
        <w:t> </w:t>
      </w:r>
      <w:r>
        <w:rPr/>
        <w:t>«</w:t>
      </w:r>
      <w:r>
        <w:rPr>
          <w:spacing w:val="-7"/>
        </w:rPr>
        <w:t> </w:t>
      </w:r>
      <w:r>
        <w:rPr/>
        <w:t>Quantitative</w:t>
      </w:r>
      <w:r>
        <w:rPr>
          <w:spacing w:val="-5"/>
        </w:rPr>
        <w:t> </w:t>
      </w:r>
      <w:r>
        <w:rPr/>
        <w:t>Proteomics Identification of Phosphoglycerate Mutase 1 as a Novel Therapeutic Target in Hepatocellular Carcinoma </w:t>
      </w:r>
      <w:r>
        <w:rPr>
          <w:spacing w:val="-4"/>
        </w:rPr>
        <w:t>». </w:t>
      </w:r>
      <w:r>
        <w:rPr>
          <w:i/>
        </w:rPr>
        <w:t>Molecular Cancer </w:t>
      </w:r>
      <w:r>
        <w:rPr/>
        <w:t>2 (9):</w:t>
      </w:r>
      <w:r>
        <w:rPr>
          <w:spacing w:val="0"/>
        </w:rPr>
        <w:t> </w:t>
      </w:r>
      <w:r>
        <w:rPr/>
        <w:t>81-89.</w:t>
      </w:r>
    </w:p>
    <w:p>
      <w:pPr>
        <w:pStyle w:val="BodyText"/>
        <w:ind w:left="836" w:right="114" w:hanging="720"/>
        <w:jc w:val="both"/>
      </w:pPr>
      <w:r>
        <w:rPr/>
        <w:t>Reshkin, S J, A Bellizzi, S Caldeira, V Albarani, I Malanchi, M Poignee, M Alunni-Fabbroni, V Casavola, et M Tommasino. 2000. « Na+/H+ Exchanger-Dependent Intracellular Alkalinization Is an Early Event in Malignant Transformation and Plays an Essential Role in the Development of Subsequent Transformation-Associated Phenotypes ». </w:t>
      </w:r>
      <w:r>
        <w:rPr>
          <w:i/>
        </w:rPr>
        <w:t>Official Publication of the Federation of American Societies for Experimental Biology </w:t>
      </w:r>
      <w:r>
        <w:rPr/>
        <w:t>14 (14): 2185</w:t>
      </w:r>
      <w:r>
        <w:rPr>
          <w:rFonts w:ascii="Cambria Math" w:hAnsi="Cambria Math"/>
        </w:rPr>
        <w:t>‑</w:t>
      </w:r>
      <w:r>
        <w:rPr/>
        <w:t>97.</w:t>
      </w:r>
    </w:p>
    <w:p>
      <w:pPr>
        <w:pStyle w:val="BodyText"/>
        <w:spacing w:line="242" w:lineRule="auto"/>
        <w:ind w:left="836" w:right="117" w:hanging="720"/>
        <w:jc w:val="both"/>
      </w:pPr>
      <w:r>
        <w:rPr/>
        <w:t>Ribes, G, G Valette, et M Loubatières-Mariani. 1979. « Metabolic Effects of Sodium Dichloroacetate in Normal and Diabetic Dogs ». </w:t>
      </w:r>
      <w:r>
        <w:rPr>
          <w:i/>
        </w:rPr>
        <w:t>Diabetes </w:t>
      </w:r>
      <w:r>
        <w:rPr/>
        <w:t>28 (9): 852</w:t>
      </w:r>
      <w:r>
        <w:rPr>
          <w:rFonts w:ascii="Cambria Math" w:hAnsi="Cambria Math"/>
        </w:rPr>
        <w:t>‑</w:t>
      </w:r>
      <w:r>
        <w:rPr/>
        <w:t>57.</w:t>
      </w:r>
    </w:p>
    <w:p>
      <w:pPr>
        <w:pStyle w:val="BodyText"/>
        <w:spacing w:line="242" w:lineRule="auto"/>
        <w:ind w:left="836" w:right="115" w:hanging="720"/>
        <w:jc w:val="both"/>
      </w:pPr>
      <w:r>
        <w:rPr/>
        <w:t>Robey, I F, B K Baggett, N D Kirkpatrick, D J Roe, J Dosescu, B F Sloane, A I Hashim, et al. 2009. « Bicarbonate Increases Tumor pH and Inhibits Spontaneous Metastases ». </w:t>
      </w:r>
      <w:r>
        <w:rPr>
          <w:i/>
        </w:rPr>
        <w:t>Cancer research </w:t>
      </w:r>
      <w:r>
        <w:rPr/>
        <w:t>69 (6): 2260</w:t>
      </w:r>
      <w:r>
        <w:rPr>
          <w:rFonts w:ascii="Cambria Math" w:hAnsi="Cambria Math"/>
        </w:rPr>
        <w:t>‑</w:t>
      </w:r>
      <w:r>
        <w:rPr/>
        <w:t>68.</w:t>
      </w:r>
    </w:p>
    <w:p>
      <w:pPr>
        <w:pStyle w:val="BodyText"/>
        <w:ind w:left="836" w:right="114" w:hanging="720"/>
        <w:jc w:val="both"/>
      </w:pPr>
      <w:r>
        <w:rPr/>
        <w:t>Robey, R B, et N Hay. 2009. « Is Akt the “Warburg kinase”?—Akt-energy metabolism interactions and oncogenesis ». </w:t>
      </w:r>
      <w:r>
        <w:rPr>
          <w:i/>
        </w:rPr>
        <w:t>Seminars in cancer biology </w:t>
      </w:r>
      <w:r>
        <w:rPr/>
        <w:t>19 (1): 25-32.</w:t>
      </w:r>
    </w:p>
    <w:p>
      <w:pPr>
        <w:spacing w:after="0"/>
        <w:jc w:val="both"/>
        <w:sectPr>
          <w:pgSz w:w="11910" w:h="16840"/>
          <w:pgMar w:header="0" w:footer="1055" w:top="1320" w:bottom="1240" w:left="1300" w:right="1300"/>
        </w:sectPr>
      </w:pPr>
    </w:p>
    <w:p>
      <w:pPr>
        <w:pStyle w:val="BodyText"/>
        <w:spacing w:before="70"/>
        <w:ind w:left="836" w:right="112" w:hanging="720"/>
        <w:jc w:val="both"/>
      </w:pPr>
      <w:r>
        <w:rPr/>
        <w:t>Robinson,</w:t>
      </w:r>
      <w:r>
        <w:rPr>
          <w:spacing w:val="-13"/>
        </w:rPr>
        <w:t> </w:t>
      </w:r>
      <w:r>
        <w:rPr/>
        <w:t>M</w:t>
      </w:r>
      <w:r>
        <w:rPr>
          <w:spacing w:val="-13"/>
        </w:rPr>
        <w:t> </w:t>
      </w:r>
      <w:r>
        <w:rPr/>
        <w:t>M,</w:t>
      </w:r>
      <w:r>
        <w:rPr>
          <w:spacing w:val="-13"/>
        </w:rPr>
        <w:t> </w:t>
      </w:r>
      <w:r>
        <w:rPr/>
        <w:t>S</w:t>
      </w:r>
      <w:r>
        <w:rPr>
          <w:spacing w:val="-13"/>
        </w:rPr>
        <w:t> </w:t>
      </w:r>
      <w:r>
        <w:rPr/>
        <w:t>J</w:t>
      </w:r>
      <w:r>
        <w:rPr>
          <w:spacing w:val="-11"/>
        </w:rPr>
        <w:t> </w:t>
      </w:r>
      <w:r>
        <w:rPr/>
        <w:t>Mcbryant,</w:t>
      </w:r>
      <w:r>
        <w:rPr>
          <w:spacing w:val="-13"/>
        </w:rPr>
        <w:t> </w:t>
      </w:r>
      <w:r>
        <w:rPr/>
        <w:t>T</w:t>
      </w:r>
      <w:r>
        <w:rPr>
          <w:spacing w:val="-13"/>
        </w:rPr>
        <w:t> </w:t>
      </w:r>
      <w:r>
        <w:rPr/>
        <w:t>Tsukamoto,</w:t>
      </w:r>
      <w:r>
        <w:rPr>
          <w:spacing w:val="-13"/>
        </w:rPr>
        <w:t> </w:t>
      </w:r>
      <w:r>
        <w:rPr/>
        <w:t>C</w:t>
      </w:r>
      <w:r>
        <w:rPr>
          <w:spacing w:val="-13"/>
        </w:rPr>
        <w:t> </w:t>
      </w:r>
      <w:r>
        <w:rPr/>
        <w:t>Rojas,</w:t>
      </w:r>
      <w:r>
        <w:rPr>
          <w:spacing w:val="-13"/>
        </w:rPr>
        <w:t> </w:t>
      </w:r>
      <w:r>
        <w:rPr/>
        <w:t>D</w:t>
      </w:r>
      <w:r>
        <w:rPr>
          <w:spacing w:val="-14"/>
        </w:rPr>
        <w:t> </w:t>
      </w:r>
      <w:r>
        <w:rPr/>
        <w:t>V</w:t>
      </w:r>
      <w:r>
        <w:rPr>
          <w:spacing w:val="-12"/>
        </w:rPr>
        <w:t> </w:t>
      </w:r>
      <w:r>
        <w:rPr/>
        <w:t>Ferraris,</w:t>
      </w:r>
      <w:r>
        <w:rPr>
          <w:spacing w:val="-13"/>
        </w:rPr>
        <w:t> </w:t>
      </w:r>
      <w:r>
        <w:rPr/>
        <w:t>S</w:t>
      </w:r>
      <w:r>
        <w:rPr>
          <w:spacing w:val="-13"/>
        </w:rPr>
        <w:t> </w:t>
      </w:r>
      <w:r>
        <w:rPr/>
        <w:t>K</w:t>
      </w:r>
      <w:r>
        <w:rPr>
          <w:spacing w:val="-11"/>
        </w:rPr>
        <w:t> </w:t>
      </w:r>
      <w:r>
        <w:rPr/>
        <w:t>Hamilton,</w:t>
      </w:r>
      <w:r>
        <w:rPr>
          <w:spacing w:val="-13"/>
        </w:rPr>
        <w:t> </w:t>
      </w:r>
      <w:r>
        <w:rPr/>
        <w:t>J</w:t>
      </w:r>
      <w:r>
        <w:rPr>
          <w:spacing w:val="-10"/>
        </w:rPr>
        <w:t> </w:t>
      </w:r>
      <w:r>
        <w:rPr/>
        <w:t>C</w:t>
      </w:r>
      <w:r>
        <w:rPr>
          <w:spacing w:val="-13"/>
        </w:rPr>
        <w:t> </w:t>
      </w:r>
      <w:r>
        <w:rPr/>
        <w:t>Hansen, et N P Curthoys. 2007. « Novel Mechanism of Inhibition of Rat Kidney-Type Glutaminase by Bis-2-(5-Phenylacetamido-1,2,4-Thiadiazol-2-Yl)Ethyl Sulfide (BPTES) </w:t>
      </w:r>
      <w:r>
        <w:rPr>
          <w:spacing w:val="-4"/>
        </w:rPr>
        <w:t>». </w:t>
      </w:r>
      <w:r>
        <w:rPr>
          <w:i/>
        </w:rPr>
        <w:t>Biochemical Journal </w:t>
      </w:r>
      <w:r>
        <w:rPr/>
        <w:t>406 (3):</w:t>
      </w:r>
      <w:r>
        <w:rPr>
          <w:spacing w:val="5"/>
        </w:rPr>
        <w:t> </w:t>
      </w:r>
      <w:r>
        <w:rPr/>
        <w:t>407</w:t>
      </w:r>
      <w:r>
        <w:rPr>
          <w:rFonts w:ascii="Cambria Math" w:hAnsi="Cambria Math"/>
        </w:rPr>
        <w:t>‑</w:t>
      </w:r>
      <w:r>
        <w:rPr/>
        <w:t>14.</w:t>
      </w:r>
    </w:p>
    <w:p>
      <w:pPr>
        <w:pStyle w:val="BodyText"/>
        <w:ind w:left="836" w:right="113" w:hanging="720"/>
        <w:jc w:val="both"/>
      </w:pPr>
      <w:r>
        <w:rPr/>
        <w:t>Ruhnau, K J, H P Meissner, J R Finn, M Reljanovic, M Lobisch, K Schütte, D Nehrdich, H J Tritschler,</w:t>
      </w:r>
      <w:r>
        <w:rPr>
          <w:spacing w:val="-6"/>
        </w:rPr>
        <w:t> </w:t>
      </w:r>
      <w:r>
        <w:rPr/>
        <w:t>H</w:t>
      </w:r>
      <w:r>
        <w:rPr>
          <w:spacing w:val="-7"/>
        </w:rPr>
        <w:t> </w:t>
      </w:r>
      <w:r>
        <w:rPr/>
        <w:t>Mehnert,</w:t>
      </w:r>
      <w:r>
        <w:rPr>
          <w:spacing w:val="-4"/>
        </w:rPr>
        <w:t> </w:t>
      </w:r>
      <w:r>
        <w:rPr/>
        <w:t>et</w:t>
      </w:r>
      <w:r>
        <w:rPr>
          <w:spacing w:val="-3"/>
        </w:rPr>
        <w:t> </w:t>
      </w:r>
      <w:r>
        <w:rPr/>
        <w:t>D</w:t>
      </w:r>
      <w:r>
        <w:rPr>
          <w:spacing w:val="-7"/>
        </w:rPr>
        <w:t> </w:t>
      </w:r>
      <w:r>
        <w:rPr/>
        <w:t>Ziegler.</w:t>
      </w:r>
      <w:r>
        <w:rPr>
          <w:spacing w:val="-4"/>
        </w:rPr>
        <w:t> </w:t>
      </w:r>
      <w:r>
        <w:rPr/>
        <w:t>1999.</w:t>
      </w:r>
      <w:r>
        <w:rPr>
          <w:spacing w:val="-1"/>
        </w:rPr>
        <w:t> </w:t>
      </w:r>
      <w:r>
        <w:rPr/>
        <w:t>«</w:t>
      </w:r>
      <w:r>
        <w:rPr>
          <w:spacing w:val="-6"/>
        </w:rPr>
        <w:t> </w:t>
      </w:r>
      <w:r>
        <w:rPr/>
        <w:t>Effects</w:t>
      </w:r>
      <w:r>
        <w:rPr>
          <w:spacing w:val="-6"/>
        </w:rPr>
        <w:t> </w:t>
      </w:r>
      <w:r>
        <w:rPr/>
        <w:t>of</w:t>
      </w:r>
      <w:r>
        <w:rPr>
          <w:spacing w:val="-7"/>
        </w:rPr>
        <w:t> </w:t>
      </w:r>
      <w:r>
        <w:rPr/>
        <w:t>3-Week</w:t>
      </w:r>
      <w:r>
        <w:rPr>
          <w:spacing w:val="-6"/>
        </w:rPr>
        <w:t> </w:t>
      </w:r>
      <w:r>
        <w:rPr/>
        <w:t>Oral</w:t>
      </w:r>
      <w:r>
        <w:rPr>
          <w:spacing w:val="-6"/>
        </w:rPr>
        <w:t> </w:t>
      </w:r>
      <w:r>
        <w:rPr/>
        <w:t>Treatment</w:t>
      </w:r>
      <w:r>
        <w:rPr>
          <w:spacing w:val="-6"/>
        </w:rPr>
        <w:t> </w:t>
      </w:r>
      <w:r>
        <w:rPr/>
        <w:t>with</w:t>
      </w:r>
      <w:r>
        <w:rPr>
          <w:spacing w:val="-6"/>
        </w:rPr>
        <w:t> </w:t>
      </w:r>
      <w:r>
        <w:rPr/>
        <w:t>the Antioxidant Thioctic Acid (Alpha-Lipoic Acid) in Symptomatic Diabetic Polyneuropathy </w:t>
      </w:r>
      <w:r>
        <w:rPr>
          <w:spacing w:val="-4"/>
        </w:rPr>
        <w:t>». </w:t>
      </w:r>
      <w:r>
        <w:rPr>
          <w:i/>
        </w:rPr>
        <w:t>Diabetic Medicine: A Journal of the British Diabetic Association</w:t>
      </w:r>
      <w:r>
        <w:rPr>
          <w:i/>
          <w:spacing w:val="-20"/>
        </w:rPr>
        <w:t> </w:t>
      </w:r>
      <w:r>
        <w:rPr/>
        <w:t>16 (12):</w:t>
      </w:r>
      <w:r>
        <w:rPr>
          <w:spacing w:val="-3"/>
        </w:rPr>
        <w:t> </w:t>
      </w:r>
      <w:r>
        <w:rPr/>
        <w:t>1040</w:t>
      </w:r>
      <w:r>
        <w:rPr>
          <w:rFonts w:ascii="Cambria Math" w:hAnsi="Cambria Math"/>
        </w:rPr>
        <w:t>‑</w:t>
      </w:r>
      <w:r>
        <w:rPr/>
        <w:t>43.</w:t>
      </w:r>
    </w:p>
    <w:p>
      <w:pPr>
        <w:pStyle w:val="BodyText"/>
        <w:spacing w:line="242" w:lineRule="auto"/>
        <w:ind w:left="836" w:right="117" w:hanging="720"/>
        <w:jc w:val="both"/>
      </w:pPr>
      <w:r>
        <w:rPr/>
        <w:t>Russell, R R, J M Mrus, J I Mommessin, et H Taegtmeyer. 1992. « Compartmentation of Hexokinase in Rat Heart. A Critical Factor for Tracer Kinetic Analysis of Myocardial Glucose Metabolism ». </w:t>
      </w:r>
      <w:r>
        <w:rPr>
          <w:i/>
        </w:rPr>
        <w:t>The Journal of Clinical Investigation </w:t>
      </w:r>
      <w:r>
        <w:rPr/>
        <w:t>90 (5): 1972</w:t>
      </w:r>
      <w:r>
        <w:rPr>
          <w:rFonts w:ascii="Cambria Math" w:hAnsi="Cambria Math"/>
        </w:rPr>
        <w:t>‑</w:t>
      </w:r>
      <w:r>
        <w:rPr/>
        <w:t>77.</w:t>
      </w:r>
    </w:p>
    <w:p>
      <w:pPr>
        <w:pStyle w:val="BodyText"/>
        <w:ind w:left="836" w:right="113" w:hanging="720"/>
        <w:jc w:val="both"/>
      </w:pPr>
      <w:r>
        <w:rPr/>
        <w:t>Sacco,</w:t>
      </w:r>
      <w:r>
        <w:rPr>
          <w:spacing w:val="-5"/>
        </w:rPr>
        <w:t> </w:t>
      </w:r>
      <w:r>
        <w:rPr/>
        <w:t>A,</w:t>
      </w:r>
      <w:r>
        <w:rPr>
          <w:spacing w:val="-5"/>
        </w:rPr>
        <w:t> </w:t>
      </w:r>
      <w:r>
        <w:rPr/>
        <w:t>J</w:t>
      </w:r>
      <w:r>
        <w:rPr>
          <w:spacing w:val="-2"/>
        </w:rPr>
        <w:t> </w:t>
      </w:r>
      <w:r>
        <w:rPr/>
        <w:t>Nor,</w:t>
      </w:r>
      <w:r>
        <w:rPr>
          <w:spacing w:val="-5"/>
        </w:rPr>
        <w:t> </w:t>
      </w:r>
      <w:r>
        <w:rPr/>
        <w:t>E</w:t>
      </w:r>
      <w:r>
        <w:rPr>
          <w:spacing w:val="-5"/>
        </w:rPr>
        <w:t> </w:t>
      </w:r>
      <w:r>
        <w:rPr/>
        <w:t>Belile,</w:t>
      </w:r>
      <w:r>
        <w:rPr>
          <w:spacing w:val="-5"/>
        </w:rPr>
        <w:t> </w:t>
      </w:r>
      <w:r>
        <w:rPr/>
        <w:t>A</w:t>
      </w:r>
      <w:r>
        <w:rPr>
          <w:spacing w:val="-5"/>
        </w:rPr>
        <w:t> </w:t>
      </w:r>
      <w:r>
        <w:rPr/>
        <w:t>Sukari,</w:t>
      </w:r>
      <w:r>
        <w:rPr>
          <w:spacing w:val="-5"/>
        </w:rPr>
        <w:t> </w:t>
      </w:r>
      <w:r>
        <w:rPr/>
        <w:t>D</w:t>
      </w:r>
      <w:r>
        <w:rPr>
          <w:spacing w:val="-3"/>
        </w:rPr>
        <w:t> </w:t>
      </w:r>
      <w:r>
        <w:rPr/>
        <w:t>Chepeha,</w:t>
      </w:r>
      <w:r>
        <w:rPr>
          <w:spacing w:val="-5"/>
        </w:rPr>
        <w:t> </w:t>
      </w:r>
      <w:r>
        <w:rPr/>
        <w:t>C</w:t>
      </w:r>
      <w:r>
        <w:rPr>
          <w:spacing w:val="-4"/>
        </w:rPr>
        <w:t> </w:t>
      </w:r>
      <w:r>
        <w:rPr/>
        <w:t>Bradford,</w:t>
      </w:r>
      <w:r>
        <w:rPr>
          <w:spacing w:val="-5"/>
        </w:rPr>
        <w:t> </w:t>
      </w:r>
      <w:r>
        <w:rPr/>
        <w:t>A</w:t>
      </w:r>
      <w:r>
        <w:rPr>
          <w:spacing w:val="-5"/>
        </w:rPr>
        <w:t> </w:t>
      </w:r>
      <w:r>
        <w:rPr/>
        <w:t>Eisbruch,</w:t>
      </w:r>
      <w:r>
        <w:rPr>
          <w:spacing w:val="-5"/>
        </w:rPr>
        <w:t> </w:t>
      </w:r>
      <w:r>
        <w:rPr/>
        <w:t>G</w:t>
      </w:r>
      <w:r>
        <w:rPr>
          <w:spacing w:val="-2"/>
        </w:rPr>
        <w:t> </w:t>
      </w:r>
      <w:r>
        <w:rPr/>
        <w:t>Wolf,</w:t>
      </w:r>
      <w:r>
        <w:rPr>
          <w:spacing w:val="-5"/>
        </w:rPr>
        <w:t> </w:t>
      </w:r>
      <w:r>
        <w:rPr/>
        <w:t>S</w:t>
      </w:r>
      <w:r>
        <w:rPr>
          <w:spacing w:val="-3"/>
        </w:rPr>
        <w:t> </w:t>
      </w:r>
      <w:r>
        <w:rPr/>
        <w:t>Urba,</w:t>
      </w:r>
      <w:r>
        <w:rPr>
          <w:spacing w:val="-5"/>
        </w:rPr>
        <w:t> </w:t>
      </w:r>
      <w:r>
        <w:rPr/>
        <w:t>et</w:t>
      </w:r>
      <w:r>
        <w:rPr>
          <w:spacing w:val="-4"/>
        </w:rPr>
        <w:t> </w:t>
      </w:r>
      <w:r>
        <w:rPr/>
        <w:t>F Worden. 2014. « Phase 2 Trial of AT-101 in Combination With Docetaxel for Recurrent,</w:t>
      </w:r>
      <w:r>
        <w:rPr>
          <w:spacing w:val="-7"/>
        </w:rPr>
        <w:t> </w:t>
      </w:r>
      <w:r>
        <w:rPr/>
        <w:t>Locally</w:t>
      </w:r>
      <w:r>
        <w:rPr>
          <w:spacing w:val="-14"/>
        </w:rPr>
        <w:t> </w:t>
      </w:r>
      <w:r>
        <w:rPr/>
        <w:t>Advanced,</w:t>
      </w:r>
      <w:r>
        <w:rPr>
          <w:spacing w:val="-12"/>
        </w:rPr>
        <w:t> </w:t>
      </w:r>
      <w:r>
        <w:rPr/>
        <w:t>or</w:t>
      </w:r>
      <w:r>
        <w:rPr>
          <w:spacing w:val="-11"/>
        </w:rPr>
        <w:t> </w:t>
      </w:r>
      <w:r>
        <w:rPr/>
        <w:t>Metastatic</w:t>
      </w:r>
      <w:r>
        <w:rPr>
          <w:spacing w:val="-11"/>
        </w:rPr>
        <w:t> </w:t>
      </w:r>
      <w:r>
        <w:rPr/>
        <w:t>Head-and-Neck</w:t>
      </w:r>
      <w:r>
        <w:rPr>
          <w:spacing w:val="-12"/>
        </w:rPr>
        <w:t> </w:t>
      </w:r>
      <w:r>
        <w:rPr/>
        <w:t>Squamous</w:t>
      </w:r>
      <w:r>
        <w:rPr>
          <w:spacing w:val="-12"/>
        </w:rPr>
        <w:t> </w:t>
      </w:r>
      <w:r>
        <w:rPr/>
        <w:t>Cell</w:t>
      </w:r>
      <w:r>
        <w:rPr>
          <w:spacing w:val="-9"/>
        </w:rPr>
        <w:t> </w:t>
      </w:r>
      <w:r>
        <w:rPr/>
        <w:t>Carcinoma (HNSCC) </w:t>
      </w:r>
      <w:r>
        <w:rPr>
          <w:spacing w:val="-4"/>
        </w:rPr>
        <w:t>». </w:t>
      </w:r>
      <w:r>
        <w:rPr>
          <w:i/>
        </w:rPr>
        <w:t>International Journal of Radiation Oncology • Biology • Physics </w:t>
      </w:r>
      <w:r>
        <w:rPr/>
        <w:t>88 (2): 507-15.</w:t>
      </w:r>
    </w:p>
    <w:p>
      <w:pPr>
        <w:pStyle w:val="BodyText"/>
        <w:spacing w:line="242" w:lineRule="auto" w:before="3"/>
        <w:ind w:left="836" w:right="112" w:hanging="720"/>
        <w:jc w:val="both"/>
      </w:pPr>
      <w:r>
        <w:rPr/>
        <w:t>Sadava,</w:t>
      </w:r>
      <w:r>
        <w:rPr>
          <w:spacing w:val="-12"/>
        </w:rPr>
        <w:t> </w:t>
      </w:r>
      <w:r>
        <w:rPr/>
        <w:t>D,</w:t>
      </w:r>
      <w:r>
        <w:rPr>
          <w:spacing w:val="-12"/>
        </w:rPr>
        <w:t> </w:t>
      </w:r>
      <w:r>
        <w:rPr/>
        <w:t>et</w:t>
      </w:r>
      <w:r>
        <w:rPr>
          <w:spacing w:val="-12"/>
        </w:rPr>
        <w:t> </w:t>
      </w:r>
      <w:r>
        <w:rPr/>
        <w:t>S</w:t>
      </w:r>
      <w:r>
        <w:rPr>
          <w:spacing w:val="-11"/>
        </w:rPr>
        <w:t> </w:t>
      </w:r>
      <w:r>
        <w:rPr/>
        <w:t>E</w:t>
      </w:r>
      <w:r>
        <w:rPr>
          <w:spacing w:val="-12"/>
        </w:rPr>
        <w:t> </w:t>
      </w:r>
      <w:r>
        <w:rPr/>
        <w:t>Kane.</w:t>
      </w:r>
      <w:r>
        <w:rPr>
          <w:spacing w:val="-12"/>
        </w:rPr>
        <w:t> </w:t>
      </w:r>
      <w:r>
        <w:rPr/>
        <w:t>2013.</w:t>
      </w:r>
      <w:r>
        <w:rPr>
          <w:spacing w:val="-6"/>
        </w:rPr>
        <w:t> </w:t>
      </w:r>
      <w:r>
        <w:rPr/>
        <w:t>«</w:t>
      </w:r>
      <w:r>
        <w:rPr>
          <w:spacing w:val="-10"/>
        </w:rPr>
        <w:t> </w:t>
      </w:r>
      <w:r>
        <w:rPr/>
        <w:t>Silibinin</w:t>
      </w:r>
      <w:r>
        <w:rPr>
          <w:spacing w:val="-12"/>
        </w:rPr>
        <w:t> </w:t>
      </w:r>
      <w:r>
        <w:rPr/>
        <w:t>Reverses</w:t>
      </w:r>
      <w:r>
        <w:rPr>
          <w:spacing w:val="-12"/>
        </w:rPr>
        <w:t> </w:t>
      </w:r>
      <w:r>
        <w:rPr/>
        <w:t>Drug</w:t>
      </w:r>
      <w:r>
        <w:rPr>
          <w:spacing w:val="-14"/>
        </w:rPr>
        <w:t> </w:t>
      </w:r>
      <w:r>
        <w:rPr/>
        <w:t>Resistance</w:t>
      </w:r>
      <w:r>
        <w:rPr>
          <w:spacing w:val="-13"/>
        </w:rPr>
        <w:t> </w:t>
      </w:r>
      <w:r>
        <w:rPr/>
        <w:t>in</w:t>
      </w:r>
      <w:r>
        <w:rPr>
          <w:spacing w:val="-12"/>
        </w:rPr>
        <w:t> </w:t>
      </w:r>
      <w:r>
        <w:rPr/>
        <w:t>Human</w:t>
      </w:r>
      <w:r>
        <w:rPr>
          <w:spacing w:val="-12"/>
        </w:rPr>
        <w:t> </w:t>
      </w:r>
      <w:r>
        <w:rPr/>
        <w:t>Small-Cell</w:t>
      </w:r>
      <w:r>
        <w:rPr>
          <w:spacing w:val="-11"/>
        </w:rPr>
        <w:t> </w:t>
      </w:r>
      <w:r>
        <w:rPr/>
        <w:t>Lung Carcinoma Cells </w:t>
      </w:r>
      <w:r>
        <w:rPr>
          <w:spacing w:val="-4"/>
        </w:rPr>
        <w:t>». </w:t>
      </w:r>
      <w:r>
        <w:rPr>
          <w:i/>
        </w:rPr>
        <w:t>Cancer Letters </w:t>
      </w:r>
      <w:r>
        <w:rPr/>
        <w:t>339 (1): 102</w:t>
      </w:r>
      <w:r>
        <w:rPr>
          <w:rFonts w:ascii="Cambria Math" w:hAnsi="Cambria Math"/>
        </w:rPr>
        <w:t>‑</w:t>
      </w:r>
      <w:r>
        <w:rPr/>
        <w:t>6.</w:t>
      </w:r>
    </w:p>
    <w:p>
      <w:pPr>
        <w:pStyle w:val="BodyText"/>
        <w:ind w:left="836" w:right="115" w:hanging="720"/>
        <w:jc w:val="both"/>
      </w:pPr>
      <w:r>
        <w:rPr/>
        <w:t>Salpeter, S R, E Greyber, G A Pasternak, et E E Salpeter. 2010. « Risk of Fatal and Nonfatal Lactic Acidosis with Metformin Use in Type 2 Diabetes Mellitus ». In </w:t>
      </w:r>
      <w:r>
        <w:rPr>
          <w:i/>
        </w:rPr>
        <w:t>Cochrane </w:t>
      </w:r>
      <w:r>
        <w:rPr>
          <w:i/>
        </w:rPr>
        <w:t>Database of Systematic Reviews</w:t>
      </w:r>
      <w:r>
        <w:rPr/>
        <w:t>. John Wiley &amp; Sons, Ltd.</w:t>
      </w:r>
    </w:p>
    <w:p>
      <w:pPr>
        <w:pStyle w:val="BodyText"/>
        <w:spacing w:before="7"/>
        <w:ind w:left="836" w:right="115" w:hanging="720"/>
        <w:jc w:val="both"/>
      </w:pPr>
      <w:r>
        <w:rPr/>
        <w:t>Sanchez, W Y, S L McGee, T Connor, B Mottram, A Wilkinson, J P Whitehead, S Vuckovic, et L Catley. 2013. « Dichloroacetate inhibits aerobic glycolysis in multiple myeloma cells and increases sensitivity to bortezomib ». </w:t>
      </w:r>
      <w:r>
        <w:rPr>
          <w:i/>
        </w:rPr>
        <w:t>British Journal of Cancer </w:t>
      </w:r>
      <w:r>
        <w:rPr/>
        <w:t>108 (8): 1624</w:t>
      </w:r>
      <w:r>
        <w:rPr>
          <w:rFonts w:ascii="Cambria Math" w:hAnsi="Cambria Math"/>
        </w:rPr>
        <w:t>‑</w:t>
      </w:r>
      <w:r>
        <w:rPr/>
        <w:t>33.</w:t>
      </w:r>
    </w:p>
    <w:p>
      <w:pPr>
        <w:pStyle w:val="BodyText"/>
        <w:ind w:left="836" w:right="112" w:hanging="720"/>
        <w:jc w:val="both"/>
      </w:pPr>
      <w:r>
        <w:rPr/>
        <w:t>Sapra,</w:t>
      </w:r>
      <w:r>
        <w:rPr>
          <w:spacing w:val="-17"/>
        </w:rPr>
        <w:t> </w:t>
      </w:r>
      <w:r>
        <w:rPr/>
        <w:t>P,</w:t>
      </w:r>
      <w:r>
        <w:rPr>
          <w:spacing w:val="-17"/>
        </w:rPr>
        <w:t> </w:t>
      </w:r>
      <w:r>
        <w:rPr/>
        <w:t>P</w:t>
      </w:r>
      <w:r>
        <w:rPr>
          <w:spacing w:val="-16"/>
        </w:rPr>
        <w:t> </w:t>
      </w:r>
      <w:r>
        <w:rPr/>
        <w:t>Kraft,</w:t>
      </w:r>
      <w:r>
        <w:rPr>
          <w:spacing w:val="-17"/>
        </w:rPr>
        <w:t> </w:t>
      </w:r>
      <w:r>
        <w:rPr/>
        <w:t>M</w:t>
      </w:r>
      <w:r>
        <w:rPr>
          <w:spacing w:val="-17"/>
        </w:rPr>
        <w:t> </w:t>
      </w:r>
      <w:r>
        <w:rPr/>
        <w:t>Mehlig,</w:t>
      </w:r>
      <w:r>
        <w:rPr>
          <w:spacing w:val="-17"/>
        </w:rPr>
        <w:t> </w:t>
      </w:r>
      <w:r>
        <w:rPr/>
        <w:t>J</w:t>
      </w:r>
      <w:r>
        <w:rPr>
          <w:spacing w:val="-13"/>
        </w:rPr>
        <w:t> </w:t>
      </w:r>
      <w:r>
        <w:rPr/>
        <w:t>Malaby,</w:t>
      </w:r>
      <w:r>
        <w:rPr>
          <w:spacing w:val="-14"/>
        </w:rPr>
        <w:t> </w:t>
      </w:r>
      <w:r>
        <w:rPr/>
        <w:t>H</w:t>
      </w:r>
      <w:r>
        <w:rPr>
          <w:spacing w:val="-15"/>
        </w:rPr>
        <w:t> </w:t>
      </w:r>
      <w:r>
        <w:rPr/>
        <w:t>Zhao,</w:t>
      </w:r>
      <w:r>
        <w:rPr>
          <w:spacing w:val="-14"/>
        </w:rPr>
        <w:t> </w:t>
      </w:r>
      <w:r>
        <w:rPr/>
        <w:t>L</w:t>
      </w:r>
      <w:r>
        <w:rPr>
          <w:spacing w:val="-17"/>
        </w:rPr>
        <w:t> </w:t>
      </w:r>
      <w:r>
        <w:rPr/>
        <w:t>M</w:t>
      </w:r>
      <w:r>
        <w:rPr>
          <w:spacing w:val="-17"/>
        </w:rPr>
        <w:t> </w:t>
      </w:r>
      <w:r>
        <w:rPr/>
        <w:t>Greenberger,</w:t>
      </w:r>
      <w:r>
        <w:rPr>
          <w:spacing w:val="-18"/>
        </w:rPr>
        <w:t> </w:t>
      </w:r>
      <w:r>
        <w:rPr/>
        <w:t>et</w:t>
      </w:r>
      <w:r>
        <w:rPr>
          <w:spacing w:val="-13"/>
        </w:rPr>
        <w:t> </w:t>
      </w:r>
      <w:r>
        <w:rPr/>
        <w:t>I</w:t>
      </w:r>
      <w:r>
        <w:rPr>
          <w:spacing w:val="-20"/>
        </w:rPr>
        <w:t> </w:t>
      </w:r>
      <w:r>
        <w:rPr/>
        <w:t>D</w:t>
      </w:r>
      <w:r>
        <w:rPr>
          <w:spacing w:val="-15"/>
        </w:rPr>
        <w:t> </w:t>
      </w:r>
      <w:r>
        <w:rPr/>
        <w:t>Horak.</w:t>
      </w:r>
      <w:r>
        <w:rPr>
          <w:spacing w:val="-17"/>
        </w:rPr>
        <w:t> </w:t>
      </w:r>
      <w:r>
        <w:rPr/>
        <w:t>2009.</w:t>
      </w:r>
      <w:r>
        <w:rPr>
          <w:spacing w:val="-12"/>
        </w:rPr>
        <w:t> </w:t>
      </w:r>
      <w:r>
        <w:rPr/>
        <w:t>«</w:t>
      </w:r>
      <w:r>
        <w:rPr>
          <w:spacing w:val="-7"/>
        </w:rPr>
        <w:t> </w:t>
      </w:r>
      <w:r>
        <w:rPr/>
        <w:t>Marked therapeutic efficacy of a novel polyethylene glycol-SN38 conjugate, EZN-2208, in xenograft models of B-cell non-Hodgkin’s lymphoma </w:t>
      </w:r>
      <w:r>
        <w:rPr>
          <w:spacing w:val="-4"/>
        </w:rPr>
        <w:t>».</w:t>
      </w:r>
      <w:r>
        <w:rPr>
          <w:spacing w:val="51"/>
        </w:rPr>
        <w:t> </w:t>
      </w:r>
      <w:r>
        <w:rPr>
          <w:i/>
        </w:rPr>
        <w:t>Haematologica </w:t>
      </w:r>
      <w:r>
        <w:rPr/>
        <w:t>94 (10): 1456</w:t>
      </w:r>
      <w:r>
        <w:rPr>
          <w:rFonts w:ascii="Cambria Math" w:hAnsi="Cambria Math"/>
        </w:rPr>
        <w:t>‑</w:t>
      </w:r>
      <w:r>
        <w:rPr/>
        <w:t>59.</w:t>
      </w:r>
    </w:p>
    <w:p>
      <w:pPr>
        <w:pStyle w:val="BodyText"/>
        <w:spacing w:before="2"/>
        <w:ind w:left="836" w:right="113" w:hanging="720"/>
        <w:jc w:val="both"/>
      </w:pPr>
      <w:r>
        <w:rPr/>
        <w:t>Sapra, P, P Kraft, F Pastorino, D Ribatti, M Dumble, M Mehlig, M Wang, M Ponzoni, L M Greenberger, et I D Horak. 2011. « Potent and sustained inhibition of HIF-1α and downstream</w:t>
      </w:r>
      <w:r>
        <w:rPr>
          <w:spacing w:val="-7"/>
        </w:rPr>
        <w:t> </w:t>
      </w:r>
      <w:r>
        <w:rPr/>
        <w:t>genes</w:t>
      </w:r>
      <w:r>
        <w:rPr>
          <w:spacing w:val="-7"/>
        </w:rPr>
        <w:t> </w:t>
      </w:r>
      <w:r>
        <w:rPr/>
        <w:t>by</w:t>
      </w:r>
      <w:r>
        <w:rPr>
          <w:spacing w:val="-12"/>
        </w:rPr>
        <w:t> </w:t>
      </w:r>
      <w:r>
        <w:rPr/>
        <w:t>a</w:t>
      </w:r>
      <w:r>
        <w:rPr>
          <w:spacing w:val="-8"/>
        </w:rPr>
        <w:t> </w:t>
      </w:r>
      <w:r>
        <w:rPr/>
        <w:t>polyethyleneglycol-SN38</w:t>
      </w:r>
      <w:r>
        <w:rPr>
          <w:spacing w:val="-8"/>
        </w:rPr>
        <w:t> </w:t>
      </w:r>
      <w:r>
        <w:rPr/>
        <w:t>conjugate,</w:t>
      </w:r>
      <w:r>
        <w:rPr>
          <w:spacing w:val="-7"/>
        </w:rPr>
        <w:t> </w:t>
      </w:r>
      <w:r>
        <w:rPr/>
        <w:t>EZN-2208,</w:t>
      </w:r>
      <w:r>
        <w:rPr>
          <w:spacing w:val="-7"/>
        </w:rPr>
        <w:t> </w:t>
      </w:r>
      <w:r>
        <w:rPr/>
        <w:t>results</w:t>
      </w:r>
      <w:r>
        <w:rPr>
          <w:spacing w:val="-7"/>
        </w:rPr>
        <w:t> </w:t>
      </w:r>
      <w:r>
        <w:rPr/>
        <w:t>in</w:t>
      </w:r>
      <w:r>
        <w:rPr>
          <w:spacing w:val="-9"/>
        </w:rPr>
        <w:t> </w:t>
      </w:r>
      <w:r>
        <w:rPr/>
        <w:t>anti- angiogenic effects </w:t>
      </w:r>
      <w:r>
        <w:rPr>
          <w:spacing w:val="-4"/>
        </w:rPr>
        <w:t>». </w:t>
      </w:r>
      <w:r>
        <w:rPr>
          <w:i/>
        </w:rPr>
        <w:t>Angiogenesis </w:t>
      </w:r>
      <w:r>
        <w:rPr/>
        <w:t>14 (3):</w:t>
      </w:r>
      <w:r>
        <w:rPr>
          <w:spacing w:val="2"/>
        </w:rPr>
        <w:t> </w:t>
      </w:r>
      <w:r>
        <w:rPr/>
        <w:t>245</w:t>
      </w:r>
      <w:r>
        <w:rPr>
          <w:rFonts w:ascii="Cambria Math" w:hAnsi="Cambria Math"/>
        </w:rPr>
        <w:t>‑</w:t>
      </w:r>
      <w:r>
        <w:rPr/>
        <w:t>53.</w:t>
      </w:r>
    </w:p>
    <w:p>
      <w:pPr>
        <w:pStyle w:val="BodyText"/>
        <w:spacing w:line="242" w:lineRule="auto"/>
        <w:ind w:left="836" w:right="113" w:hanging="720"/>
        <w:jc w:val="both"/>
      </w:pPr>
      <w:r>
        <w:rPr/>
        <w:t>Sarvothaman, S, R B Undi, S R Pasupuleti, U Gutti, et R K Gutti. 2015. « Apoptosis: Role in Myeloid Cell Development ». </w:t>
      </w:r>
      <w:r>
        <w:rPr>
          <w:i/>
        </w:rPr>
        <w:t>Blood Research </w:t>
      </w:r>
      <w:r>
        <w:rPr/>
        <w:t>50 (2): 73</w:t>
      </w:r>
      <w:r>
        <w:rPr>
          <w:rFonts w:ascii="Cambria Math" w:hAnsi="Cambria Math"/>
        </w:rPr>
        <w:t>‑</w:t>
      </w:r>
      <w:r>
        <w:rPr/>
        <w:t>79.</w:t>
      </w:r>
    </w:p>
    <w:p>
      <w:pPr>
        <w:pStyle w:val="BodyText"/>
        <w:spacing w:line="270" w:lineRule="exact" w:before="4"/>
        <w:ind w:left="116"/>
      </w:pPr>
      <w:r>
        <w:rPr/>
        <w:t>Schwartz, L, M Abolhassani, A Guais, E Sanders, J Steyaert, F Campion, et M Israël. 2010.</w:t>
      </w:r>
    </w:p>
    <w:p>
      <w:pPr>
        <w:pStyle w:val="BodyText"/>
        <w:spacing w:line="242" w:lineRule="auto"/>
        <w:ind w:left="836"/>
      </w:pPr>
      <w:r>
        <w:rPr/>
        <w:t>« A combination of alpha lipoic acid and calcium hydroxycitrate is efficient against mouse cancer models: Preliminary results ». </w:t>
      </w:r>
      <w:r>
        <w:rPr>
          <w:i/>
        </w:rPr>
        <w:t>Oncology Reports </w:t>
      </w:r>
      <w:r>
        <w:rPr/>
        <w:t>23 (5): 1407</w:t>
      </w:r>
      <w:r>
        <w:rPr>
          <w:rFonts w:ascii="Cambria Math" w:hAnsi="Cambria Math"/>
        </w:rPr>
        <w:t>‑</w:t>
      </w:r>
      <w:r>
        <w:rPr/>
        <w:t>16.</w:t>
      </w:r>
    </w:p>
    <w:p>
      <w:pPr>
        <w:pStyle w:val="BodyText"/>
        <w:spacing w:line="242" w:lineRule="auto"/>
        <w:ind w:left="836" w:right="113" w:hanging="720"/>
        <w:jc w:val="both"/>
      </w:pPr>
      <w:r>
        <w:rPr/>
        <w:t>Schwartz,</w:t>
      </w:r>
      <w:r>
        <w:rPr>
          <w:spacing w:val="-7"/>
        </w:rPr>
        <w:t> </w:t>
      </w:r>
      <w:r>
        <w:rPr>
          <w:spacing w:val="-3"/>
        </w:rPr>
        <w:t>L,</w:t>
      </w:r>
      <w:r>
        <w:rPr>
          <w:spacing w:val="-7"/>
        </w:rPr>
        <w:t> </w:t>
      </w:r>
      <w:r>
        <w:rPr/>
        <w:t>L</w:t>
      </w:r>
      <w:r>
        <w:rPr>
          <w:spacing w:val="-12"/>
        </w:rPr>
        <w:t> </w:t>
      </w:r>
      <w:r>
        <w:rPr/>
        <w:t>Buhler,</w:t>
      </w:r>
      <w:r>
        <w:rPr>
          <w:spacing w:val="-10"/>
        </w:rPr>
        <w:t> </w:t>
      </w:r>
      <w:r>
        <w:rPr/>
        <w:t>P</w:t>
      </w:r>
      <w:r>
        <w:rPr>
          <w:spacing w:val="-9"/>
        </w:rPr>
        <w:t> </w:t>
      </w:r>
      <w:r>
        <w:rPr/>
        <w:t>Icard,</w:t>
      </w:r>
      <w:r>
        <w:rPr>
          <w:spacing w:val="-10"/>
        </w:rPr>
        <w:t> </w:t>
      </w:r>
      <w:r>
        <w:rPr/>
        <w:t>H</w:t>
      </w:r>
      <w:r>
        <w:rPr>
          <w:spacing w:val="-8"/>
        </w:rPr>
        <w:t> </w:t>
      </w:r>
      <w:r>
        <w:rPr/>
        <w:t>Lincet,</w:t>
      </w:r>
      <w:r>
        <w:rPr>
          <w:spacing w:val="-9"/>
        </w:rPr>
        <w:t> </w:t>
      </w:r>
      <w:r>
        <w:rPr/>
        <w:t>et</w:t>
      </w:r>
      <w:r>
        <w:rPr>
          <w:spacing w:val="-9"/>
        </w:rPr>
        <w:t> </w:t>
      </w:r>
      <w:r>
        <w:rPr/>
        <w:t>J</w:t>
      </w:r>
      <w:r>
        <w:rPr>
          <w:spacing w:val="-10"/>
        </w:rPr>
        <w:t> </w:t>
      </w:r>
      <w:r>
        <w:rPr/>
        <w:t>Steyaert.</w:t>
      </w:r>
      <w:r>
        <w:rPr>
          <w:spacing w:val="-7"/>
        </w:rPr>
        <w:t> </w:t>
      </w:r>
      <w:r>
        <w:rPr/>
        <w:t>2014.</w:t>
      </w:r>
      <w:r>
        <w:rPr>
          <w:spacing w:val="-5"/>
        </w:rPr>
        <w:t> </w:t>
      </w:r>
      <w:r>
        <w:rPr/>
        <w:t>«</w:t>
      </w:r>
      <w:r>
        <w:rPr>
          <w:spacing w:val="-10"/>
        </w:rPr>
        <w:t> </w:t>
      </w:r>
      <w:r>
        <w:rPr/>
        <w:t>Metabolic</w:t>
      </w:r>
      <w:r>
        <w:rPr>
          <w:spacing w:val="-10"/>
        </w:rPr>
        <w:t> </w:t>
      </w:r>
      <w:r>
        <w:rPr/>
        <w:t>Treatment</w:t>
      </w:r>
      <w:r>
        <w:rPr>
          <w:spacing w:val="-9"/>
        </w:rPr>
        <w:t> </w:t>
      </w:r>
      <w:r>
        <w:rPr/>
        <w:t>of</w:t>
      </w:r>
      <w:r>
        <w:rPr>
          <w:spacing w:val="-10"/>
        </w:rPr>
        <w:t> </w:t>
      </w:r>
      <w:r>
        <w:rPr/>
        <w:t>Cancer: Intermediate Results of a Prospective Case Series </w:t>
      </w:r>
      <w:r>
        <w:rPr>
          <w:spacing w:val="-4"/>
        </w:rPr>
        <w:t>». </w:t>
      </w:r>
      <w:r>
        <w:rPr>
          <w:i/>
        </w:rPr>
        <w:t>Anticancer Research </w:t>
      </w:r>
      <w:r>
        <w:rPr/>
        <w:t>34 (2): 973</w:t>
      </w:r>
      <w:r>
        <w:rPr>
          <w:rFonts w:ascii="Cambria Math" w:hAnsi="Cambria Math"/>
        </w:rPr>
        <w:t>‑</w:t>
      </w:r>
      <w:r>
        <w:rPr/>
        <w:t>80.</w:t>
      </w:r>
    </w:p>
    <w:p>
      <w:pPr>
        <w:pStyle w:val="BodyText"/>
        <w:ind w:left="836" w:right="114" w:hanging="720"/>
        <w:jc w:val="both"/>
      </w:pPr>
      <w:r>
        <w:rPr/>
        <w:t>Seelig, D M, A C Avery, E J Ehrhart, et M A Linden. 2016. « The Comparative Diagnostic Features of Canine and Human Lymphoma ». </w:t>
      </w:r>
      <w:r>
        <w:rPr>
          <w:i/>
        </w:rPr>
        <w:t>Veterinary Sciences </w:t>
      </w:r>
      <w:r>
        <w:rPr/>
        <w:t>3 (2): 120-33.</w:t>
      </w:r>
    </w:p>
    <w:p>
      <w:pPr>
        <w:spacing w:line="242" w:lineRule="auto" w:before="0"/>
        <w:ind w:left="836" w:right="112" w:hanging="720"/>
        <w:jc w:val="both"/>
        <w:rPr>
          <w:sz w:val="24"/>
        </w:rPr>
      </w:pPr>
      <w:r>
        <w:rPr>
          <w:sz w:val="24"/>
        </w:rPr>
        <w:t>Semenza, G L. 2010. « HIF-1: Upstream and Downstream of Cancer Metabolism ». </w:t>
      </w:r>
      <w:r>
        <w:rPr>
          <w:i/>
          <w:sz w:val="24"/>
        </w:rPr>
        <w:t>Current </w:t>
      </w:r>
      <w:r>
        <w:rPr>
          <w:i/>
          <w:sz w:val="24"/>
        </w:rPr>
        <w:t>Opinion in Genetics &amp; Development </w:t>
      </w:r>
      <w:r>
        <w:rPr>
          <w:sz w:val="24"/>
        </w:rPr>
        <w:t>20 (1): 51</w:t>
      </w:r>
      <w:r>
        <w:rPr>
          <w:rFonts w:ascii="Cambria Math" w:hAnsi="Cambria Math"/>
          <w:sz w:val="24"/>
        </w:rPr>
        <w:t>‑</w:t>
      </w:r>
      <w:r>
        <w:rPr>
          <w:sz w:val="24"/>
        </w:rPr>
        <w:t>56.</w:t>
      </w:r>
    </w:p>
    <w:p>
      <w:pPr>
        <w:pStyle w:val="BodyText"/>
        <w:spacing w:line="242" w:lineRule="auto"/>
        <w:ind w:left="836" w:right="117" w:hanging="720"/>
        <w:jc w:val="both"/>
      </w:pPr>
      <w:r>
        <w:rPr/>
        <w:t>Semwal, R B, D K Semwal, I Vermaak, et A Viljoen. 2015. « A Comprehensive Scientific Overview of Garcinia Cambogia ». </w:t>
      </w:r>
      <w:r>
        <w:rPr>
          <w:i/>
        </w:rPr>
        <w:t>Fitoterapia </w:t>
      </w:r>
      <w:r>
        <w:rPr/>
        <w:t>102 (4): 134</w:t>
      </w:r>
      <w:r>
        <w:rPr>
          <w:rFonts w:ascii="Cambria Math" w:hAnsi="Cambria Math"/>
        </w:rPr>
        <w:t>‑</w:t>
      </w:r>
      <w:r>
        <w:rPr/>
        <w:t>48.</w:t>
      </w:r>
    </w:p>
    <w:p>
      <w:pPr>
        <w:spacing w:after="0" w:line="242" w:lineRule="auto"/>
        <w:jc w:val="both"/>
        <w:sectPr>
          <w:pgSz w:w="11910" w:h="16840"/>
          <w:pgMar w:header="0" w:footer="995" w:top="1320" w:bottom="1240" w:left="1300" w:right="1300"/>
        </w:sectPr>
      </w:pPr>
    </w:p>
    <w:p>
      <w:pPr>
        <w:pStyle w:val="BodyText"/>
        <w:spacing w:before="70"/>
        <w:ind w:left="836" w:right="114" w:hanging="720"/>
        <w:jc w:val="both"/>
      </w:pPr>
      <w:r>
        <w:rPr/>
        <w:t>Senzer, N, C Bedell, C Maturo, J Luddy, R Rodriguez, R Shorr, et K Lee. 2012. « CPI-613,</w:t>
      </w:r>
      <w:r>
        <w:rPr>
          <w:spacing w:val="-19"/>
        </w:rPr>
        <w:t> </w:t>
      </w:r>
      <w:r>
        <w:rPr/>
        <w:t>an investigational novel anti - cancer agent, provides long- term stable disease without significant adverse effects in a patient with stage IV relapsed hepatocellular  carcinoma </w:t>
      </w:r>
      <w:r>
        <w:rPr>
          <w:spacing w:val="-4"/>
        </w:rPr>
        <w:t>». </w:t>
      </w:r>
      <w:r>
        <w:rPr>
          <w:i/>
        </w:rPr>
        <w:t>Case Study and Case Report </w:t>
      </w:r>
      <w:r>
        <w:rPr/>
        <w:t>2 (2):</w:t>
      </w:r>
      <w:r>
        <w:rPr>
          <w:spacing w:val="5"/>
        </w:rPr>
        <w:t> </w:t>
      </w:r>
      <w:r>
        <w:rPr/>
        <w:t>38</w:t>
      </w:r>
      <w:r>
        <w:rPr>
          <w:rFonts w:ascii="Cambria Math" w:hAnsi="Cambria Math"/>
        </w:rPr>
        <w:t>‑</w:t>
      </w:r>
      <w:r>
        <w:rPr/>
        <w:t>45.</w:t>
      </w:r>
    </w:p>
    <w:p>
      <w:pPr>
        <w:pStyle w:val="BodyText"/>
        <w:spacing w:line="242" w:lineRule="auto"/>
        <w:ind w:left="836" w:right="116" w:hanging="720"/>
        <w:jc w:val="both"/>
      </w:pPr>
      <w:r>
        <w:rPr/>
        <w:t>Seth, P, A Grant, J Tang, E Vinogradov, X Wang, R Lenkinski, et V P Sukhatme. 2011. « On- Target Inhibition of Tumor Fermentative Glycolysis as Visualized by Hyperpolarized Pyruvate ». </w:t>
      </w:r>
      <w:r>
        <w:rPr>
          <w:i/>
        </w:rPr>
        <w:t>Neoplasia </w:t>
      </w:r>
      <w:r>
        <w:rPr/>
        <w:t>13 (1): 60</w:t>
      </w:r>
      <w:r>
        <w:rPr>
          <w:rFonts w:ascii="Cambria Math" w:hAnsi="Cambria Math"/>
        </w:rPr>
        <w:t>‑</w:t>
      </w:r>
      <w:r>
        <w:rPr/>
        <w:t>71.</w:t>
      </w:r>
    </w:p>
    <w:p>
      <w:pPr>
        <w:pStyle w:val="BodyText"/>
        <w:ind w:left="824" w:right="116" w:hanging="708"/>
        <w:jc w:val="both"/>
      </w:pPr>
      <w:r>
        <w:rPr/>
        <w:t>Seyfried, T N. 2012 « Cancer as a Metabolic Disease. On the Origin, Management, and Prevention of Cancer ». Hoboken, New Jersey : John Wiley &amp; Sons, 421p</w:t>
      </w:r>
    </w:p>
    <w:p>
      <w:pPr>
        <w:pStyle w:val="BodyText"/>
        <w:spacing w:line="242" w:lineRule="auto" w:before="5"/>
        <w:ind w:left="836" w:right="119" w:hanging="720"/>
        <w:jc w:val="both"/>
      </w:pPr>
      <w:r>
        <w:rPr/>
        <w:t>Seyfried,</w:t>
      </w:r>
      <w:r>
        <w:rPr>
          <w:spacing w:val="-12"/>
        </w:rPr>
        <w:t> </w:t>
      </w:r>
      <w:r>
        <w:rPr/>
        <w:t>T</w:t>
      </w:r>
      <w:r>
        <w:rPr>
          <w:spacing w:val="-12"/>
        </w:rPr>
        <w:t> </w:t>
      </w:r>
      <w:r>
        <w:rPr/>
        <w:t>N,</w:t>
      </w:r>
      <w:r>
        <w:rPr>
          <w:spacing w:val="-12"/>
        </w:rPr>
        <w:t> </w:t>
      </w:r>
      <w:r>
        <w:rPr/>
        <w:t>R</w:t>
      </w:r>
      <w:r>
        <w:rPr>
          <w:spacing w:val="-12"/>
        </w:rPr>
        <w:t> </w:t>
      </w:r>
      <w:r>
        <w:rPr/>
        <w:t>E</w:t>
      </w:r>
      <w:r>
        <w:rPr>
          <w:spacing w:val="-10"/>
        </w:rPr>
        <w:t> </w:t>
      </w:r>
      <w:r>
        <w:rPr/>
        <w:t>Flores,</w:t>
      </w:r>
      <w:r>
        <w:rPr>
          <w:spacing w:val="-12"/>
        </w:rPr>
        <w:t> </w:t>
      </w:r>
      <w:r>
        <w:rPr/>
        <w:t>A</w:t>
      </w:r>
      <w:r>
        <w:rPr>
          <w:spacing w:val="-13"/>
        </w:rPr>
        <w:t> </w:t>
      </w:r>
      <w:r>
        <w:rPr/>
        <w:t>M</w:t>
      </w:r>
      <w:r>
        <w:rPr>
          <w:spacing w:val="-12"/>
        </w:rPr>
        <w:t> </w:t>
      </w:r>
      <w:r>
        <w:rPr/>
        <w:t>Poff,</w:t>
      </w:r>
      <w:r>
        <w:rPr>
          <w:spacing w:val="-12"/>
        </w:rPr>
        <w:t> </w:t>
      </w:r>
      <w:r>
        <w:rPr/>
        <w:t>et</w:t>
      </w:r>
      <w:r>
        <w:rPr>
          <w:spacing w:val="-12"/>
        </w:rPr>
        <w:t> </w:t>
      </w:r>
      <w:r>
        <w:rPr/>
        <w:t>D</w:t>
      </w:r>
      <w:r>
        <w:rPr>
          <w:spacing w:val="-13"/>
        </w:rPr>
        <w:t> </w:t>
      </w:r>
      <w:r>
        <w:rPr/>
        <w:t>P</w:t>
      </w:r>
      <w:r>
        <w:rPr>
          <w:spacing w:val="-11"/>
        </w:rPr>
        <w:t> </w:t>
      </w:r>
      <w:r>
        <w:rPr/>
        <w:t>D’Agostino.</w:t>
      </w:r>
      <w:r>
        <w:rPr>
          <w:spacing w:val="-9"/>
        </w:rPr>
        <w:t> </w:t>
      </w:r>
      <w:r>
        <w:rPr/>
        <w:t>2014.</w:t>
      </w:r>
      <w:r>
        <w:rPr>
          <w:spacing w:val="-7"/>
        </w:rPr>
        <w:t> </w:t>
      </w:r>
      <w:r>
        <w:rPr/>
        <w:t>«</w:t>
      </w:r>
      <w:r>
        <w:rPr>
          <w:spacing w:val="-10"/>
        </w:rPr>
        <w:t> </w:t>
      </w:r>
      <w:r>
        <w:rPr/>
        <w:t>Cancer</w:t>
      </w:r>
      <w:r>
        <w:rPr>
          <w:spacing w:val="-13"/>
        </w:rPr>
        <w:t> </w:t>
      </w:r>
      <w:r>
        <w:rPr/>
        <w:t>as</w:t>
      </w:r>
      <w:r>
        <w:rPr>
          <w:spacing w:val="-12"/>
        </w:rPr>
        <w:t> </w:t>
      </w:r>
      <w:r>
        <w:rPr/>
        <w:t>a</w:t>
      </w:r>
      <w:r>
        <w:rPr>
          <w:spacing w:val="-11"/>
        </w:rPr>
        <w:t> </w:t>
      </w:r>
      <w:r>
        <w:rPr/>
        <w:t>metabolic</w:t>
      </w:r>
      <w:r>
        <w:rPr>
          <w:spacing w:val="-13"/>
        </w:rPr>
        <w:t> </w:t>
      </w:r>
      <w:r>
        <w:rPr/>
        <w:t>disease: implications for novel therapeutics </w:t>
      </w:r>
      <w:r>
        <w:rPr>
          <w:spacing w:val="-4"/>
        </w:rPr>
        <w:t>». </w:t>
      </w:r>
      <w:r>
        <w:rPr>
          <w:i/>
        </w:rPr>
        <w:t>Carcinogenesis </w:t>
      </w:r>
      <w:r>
        <w:rPr/>
        <w:t>35 (3):</w:t>
      </w:r>
      <w:r>
        <w:rPr>
          <w:spacing w:val="1"/>
        </w:rPr>
        <w:t> </w:t>
      </w:r>
      <w:r>
        <w:rPr/>
        <w:t>515</w:t>
      </w:r>
      <w:r>
        <w:rPr>
          <w:rFonts w:ascii="Cambria Math" w:hAnsi="Cambria Math"/>
        </w:rPr>
        <w:t>‑</w:t>
      </w:r>
      <w:r>
        <w:rPr/>
        <w:t>27.</w:t>
      </w:r>
    </w:p>
    <w:p>
      <w:pPr>
        <w:pStyle w:val="BodyText"/>
        <w:spacing w:line="242" w:lineRule="auto"/>
        <w:ind w:left="836" w:right="114" w:hanging="720"/>
        <w:jc w:val="both"/>
      </w:pPr>
      <w:r>
        <w:rPr/>
        <w:t>Shelton,</w:t>
      </w:r>
      <w:r>
        <w:rPr>
          <w:spacing w:val="-14"/>
        </w:rPr>
        <w:t> </w:t>
      </w:r>
      <w:r>
        <w:rPr/>
        <w:t>L</w:t>
      </w:r>
      <w:r>
        <w:rPr>
          <w:spacing w:val="-19"/>
        </w:rPr>
        <w:t> </w:t>
      </w:r>
      <w:r>
        <w:rPr/>
        <w:t>M,</w:t>
      </w:r>
      <w:r>
        <w:rPr>
          <w:spacing w:val="-12"/>
        </w:rPr>
        <w:t> </w:t>
      </w:r>
      <w:r>
        <w:rPr/>
        <w:t>L</w:t>
      </w:r>
      <w:r>
        <w:rPr>
          <w:spacing w:val="-20"/>
        </w:rPr>
        <w:t> </w:t>
      </w:r>
      <w:r>
        <w:rPr/>
        <w:t>C</w:t>
      </w:r>
      <w:r>
        <w:rPr>
          <w:spacing w:val="-14"/>
        </w:rPr>
        <w:t> </w:t>
      </w:r>
      <w:r>
        <w:rPr/>
        <w:t>Huysentruyt,</w:t>
      </w:r>
      <w:r>
        <w:rPr>
          <w:spacing w:val="-14"/>
        </w:rPr>
        <w:t> </w:t>
      </w:r>
      <w:r>
        <w:rPr/>
        <w:t>et</w:t>
      </w:r>
      <w:r>
        <w:rPr>
          <w:spacing w:val="-14"/>
        </w:rPr>
        <w:t> </w:t>
      </w:r>
      <w:r>
        <w:rPr/>
        <w:t>T</w:t>
      </w:r>
      <w:r>
        <w:rPr>
          <w:spacing w:val="-15"/>
        </w:rPr>
        <w:t> </w:t>
      </w:r>
      <w:r>
        <w:rPr/>
        <w:t>N</w:t>
      </w:r>
      <w:r>
        <w:rPr>
          <w:spacing w:val="-15"/>
        </w:rPr>
        <w:t> </w:t>
      </w:r>
      <w:r>
        <w:rPr/>
        <w:t>Seyfried.</w:t>
      </w:r>
      <w:r>
        <w:rPr>
          <w:spacing w:val="-12"/>
        </w:rPr>
        <w:t> </w:t>
      </w:r>
      <w:r>
        <w:rPr/>
        <w:t>2010.</w:t>
      </w:r>
      <w:r>
        <w:rPr>
          <w:spacing w:val="-10"/>
        </w:rPr>
        <w:t> </w:t>
      </w:r>
      <w:r>
        <w:rPr/>
        <w:t>«</w:t>
      </w:r>
      <w:r>
        <w:rPr>
          <w:spacing w:val="-9"/>
        </w:rPr>
        <w:t> </w:t>
      </w:r>
      <w:r>
        <w:rPr/>
        <w:t>Glutamine</w:t>
      </w:r>
      <w:r>
        <w:rPr>
          <w:spacing w:val="-15"/>
        </w:rPr>
        <w:t> </w:t>
      </w:r>
      <w:r>
        <w:rPr/>
        <w:t>Targeting</w:t>
      </w:r>
      <w:r>
        <w:rPr>
          <w:spacing w:val="-14"/>
        </w:rPr>
        <w:t> </w:t>
      </w:r>
      <w:r>
        <w:rPr/>
        <w:t>Inhibits</w:t>
      </w:r>
      <w:r>
        <w:rPr>
          <w:spacing w:val="-14"/>
        </w:rPr>
        <w:t> </w:t>
      </w:r>
      <w:r>
        <w:rPr/>
        <w:t>Systemic Metastasis</w:t>
      </w:r>
      <w:r>
        <w:rPr>
          <w:spacing w:val="-10"/>
        </w:rPr>
        <w:t> </w:t>
      </w:r>
      <w:r>
        <w:rPr/>
        <w:t>in</w:t>
      </w:r>
      <w:r>
        <w:rPr>
          <w:spacing w:val="-11"/>
        </w:rPr>
        <w:t> </w:t>
      </w:r>
      <w:r>
        <w:rPr/>
        <w:t>the</w:t>
      </w:r>
      <w:r>
        <w:rPr>
          <w:spacing w:val="-9"/>
        </w:rPr>
        <w:t> </w:t>
      </w:r>
      <w:r>
        <w:rPr/>
        <w:t>VM-M3</w:t>
      </w:r>
      <w:r>
        <w:rPr>
          <w:spacing w:val="-9"/>
        </w:rPr>
        <w:t> </w:t>
      </w:r>
      <w:r>
        <w:rPr/>
        <w:t>Murine</w:t>
      </w:r>
      <w:r>
        <w:rPr>
          <w:spacing w:val="-12"/>
        </w:rPr>
        <w:t> </w:t>
      </w:r>
      <w:r>
        <w:rPr/>
        <w:t>Tumor</w:t>
      </w:r>
      <w:r>
        <w:rPr>
          <w:spacing w:val="-12"/>
        </w:rPr>
        <w:t> </w:t>
      </w:r>
      <w:r>
        <w:rPr/>
        <w:t>Model</w:t>
      </w:r>
      <w:r>
        <w:rPr>
          <w:spacing w:val="5"/>
        </w:rPr>
        <w:t> </w:t>
      </w:r>
      <w:r>
        <w:rPr>
          <w:spacing w:val="-4"/>
        </w:rPr>
        <w:t>». </w:t>
      </w:r>
      <w:r>
        <w:rPr>
          <w:i/>
        </w:rPr>
        <w:t>International</w:t>
      </w:r>
      <w:r>
        <w:rPr>
          <w:i/>
          <w:spacing w:val="-10"/>
        </w:rPr>
        <w:t> </w:t>
      </w:r>
      <w:r>
        <w:rPr>
          <w:i/>
        </w:rPr>
        <w:t>Journal</w:t>
      </w:r>
      <w:r>
        <w:rPr>
          <w:i/>
          <w:spacing w:val="-11"/>
        </w:rPr>
        <w:t> </w:t>
      </w:r>
      <w:r>
        <w:rPr>
          <w:i/>
        </w:rPr>
        <w:t>of</w:t>
      </w:r>
      <w:r>
        <w:rPr>
          <w:i/>
          <w:spacing w:val="-8"/>
        </w:rPr>
        <w:t> </w:t>
      </w:r>
      <w:r>
        <w:rPr>
          <w:i/>
        </w:rPr>
        <w:t>Cancer</w:t>
      </w:r>
      <w:r>
        <w:rPr>
          <w:i/>
          <w:spacing w:val="-9"/>
        </w:rPr>
        <w:t> </w:t>
      </w:r>
      <w:r>
        <w:rPr/>
        <w:t>127 (10):</w:t>
      </w:r>
      <w:r>
        <w:rPr>
          <w:spacing w:val="-3"/>
        </w:rPr>
        <w:t> </w:t>
      </w:r>
      <w:r>
        <w:rPr/>
        <w:t>2478</w:t>
      </w:r>
      <w:r>
        <w:rPr>
          <w:rFonts w:ascii="Cambria Math" w:hAnsi="Cambria Math"/>
        </w:rPr>
        <w:t>‑</w:t>
      </w:r>
      <w:r>
        <w:rPr/>
        <w:t>85.</w:t>
      </w:r>
    </w:p>
    <w:p>
      <w:pPr>
        <w:pStyle w:val="BodyText"/>
        <w:spacing w:line="242" w:lineRule="auto"/>
        <w:ind w:left="836" w:right="115" w:hanging="720"/>
        <w:jc w:val="both"/>
      </w:pPr>
      <w:r>
        <w:rPr/>
        <w:t>Shi, Y, Z He, Z Jia, et C Xu. 2016. « Inhibitory Effect of Metformin Combined with Gemcitabine on Pancreatic Cancer Cells in Vitro and in Vivo ». </w:t>
      </w:r>
      <w:r>
        <w:rPr>
          <w:i/>
        </w:rPr>
        <w:t>Molecular Medicine </w:t>
      </w:r>
      <w:r>
        <w:rPr>
          <w:i/>
        </w:rPr>
        <w:t>Reports </w:t>
      </w:r>
      <w:r>
        <w:rPr/>
        <w:t>14 (4): 2921</w:t>
      </w:r>
      <w:r>
        <w:rPr>
          <w:rFonts w:ascii="Cambria Math" w:hAnsi="Cambria Math"/>
        </w:rPr>
        <w:t>‑</w:t>
      </w:r>
      <w:r>
        <w:rPr/>
        <w:t>28.</w:t>
      </w:r>
    </w:p>
    <w:p>
      <w:pPr>
        <w:pStyle w:val="BodyText"/>
        <w:spacing w:line="242" w:lineRule="auto"/>
        <w:ind w:left="836" w:right="113" w:hanging="720"/>
        <w:jc w:val="both"/>
      </w:pPr>
      <w:r>
        <w:rPr/>
        <w:t>Shibuya,</w:t>
      </w:r>
      <w:r>
        <w:rPr>
          <w:spacing w:val="-11"/>
        </w:rPr>
        <w:t> </w:t>
      </w:r>
      <w:r>
        <w:rPr/>
        <w:t>K,</w:t>
      </w:r>
      <w:r>
        <w:rPr>
          <w:spacing w:val="-9"/>
        </w:rPr>
        <w:t> </w:t>
      </w:r>
      <w:r>
        <w:rPr/>
        <w:t>M</w:t>
      </w:r>
      <w:r>
        <w:rPr>
          <w:spacing w:val="-11"/>
        </w:rPr>
        <w:t> </w:t>
      </w:r>
      <w:r>
        <w:rPr/>
        <w:t>Okada,</w:t>
      </w:r>
      <w:r>
        <w:rPr>
          <w:spacing w:val="-11"/>
        </w:rPr>
        <w:t> </w:t>
      </w:r>
      <w:r>
        <w:rPr/>
        <w:t>S</w:t>
      </w:r>
      <w:r>
        <w:rPr>
          <w:spacing w:val="-7"/>
        </w:rPr>
        <w:t> </w:t>
      </w:r>
      <w:r>
        <w:rPr/>
        <w:t>Suzuki,</w:t>
      </w:r>
      <w:r>
        <w:rPr>
          <w:spacing w:val="-11"/>
        </w:rPr>
        <w:t> </w:t>
      </w:r>
      <w:r>
        <w:rPr/>
        <w:t>M</w:t>
      </w:r>
      <w:r>
        <w:rPr>
          <w:spacing w:val="-10"/>
        </w:rPr>
        <w:t> </w:t>
      </w:r>
      <w:r>
        <w:rPr/>
        <w:t>Seino,</w:t>
      </w:r>
      <w:r>
        <w:rPr>
          <w:spacing w:val="-11"/>
        </w:rPr>
        <w:t> </w:t>
      </w:r>
      <w:r>
        <w:rPr/>
        <w:t>S</w:t>
      </w:r>
      <w:r>
        <w:rPr>
          <w:spacing w:val="-10"/>
        </w:rPr>
        <w:t> </w:t>
      </w:r>
      <w:r>
        <w:rPr/>
        <w:t>Seino,</w:t>
      </w:r>
      <w:r>
        <w:rPr>
          <w:spacing w:val="-11"/>
        </w:rPr>
        <w:t> </w:t>
      </w:r>
      <w:r>
        <w:rPr/>
        <w:t>H</w:t>
      </w:r>
      <w:r>
        <w:rPr>
          <w:spacing w:val="-12"/>
        </w:rPr>
        <w:t> </w:t>
      </w:r>
      <w:r>
        <w:rPr/>
        <w:t>Takeda,</w:t>
      </w:r>
      <w:r>
        <w:rPr>
          <w:spacing w:val="-9"/>
        </w:rPr>
        <w:t> </w:t>
      </w:r>
      <w:r>
        <w:rPr/>
        <w:t>et</w:t>
      </w:r>
      <w:r>
        <w:rPr>
          <w:spacing w:val="-11"/>
        </w:rPr>
        <w:t> </w:t>
      </w:r>
      <w:r>
        <w:rPr/>
        <w:t>C</w:t>
      </w:r>
      <w:r>
        <w:rPr>
          <w:spacing w:val="-9"/>
        </w:rPr>
        <w:t> </w:t>
      </w:r>
      <w:r>
        <w:rPr/>
        <w:t>Kitanaka.</w:t>
      </w:r>
      <w:r>
        <w:rPr>
          <w:spacing w:val="-11"/>
        </w:rPr>
        <w:t> </w:t>
      </w:r>
      <w:r>
        <w:rPr/>
        <w:t>2015.</w:t>
      </w:r>
      <w:r>
        <w:rPr>
          <w:spacing w:val="-6"/>
        </w:rPr>
        <w:t> </w:t>
      </w:r>
      <w:r>
        <w:rPr/>
        <w:t>«</w:t>
      </w:r>
      <w:r>
        <w:rPr>
          <w:spacing w:val="-5"/>
        </w:rPr>
        <w:t> </w:t>
      </w:r>
      <w:r>
        <w:rPr/>
        <w:t>Targeting the Facilitative Glucose Transporter GLUT1 Inhibits the Self-Renewal and Tumor- Initiating Capacity of Cancer Stem Cells </w:t>
      </w:r>
      <w:r>
        <w:rPr>
          <w:spacing w:val="-4"/>
        </w:rPr>
        <w:t>». </w:t>
      </w:r>
      <w:r>
        <w:rPr>
          <w:i/>
        </w:rPr>
        <w:t>Oncotarget </w:t>
      </w:r>
      <w:r>
        <w:rPr/>
        <w:t>6 (2):</w:t>
      </w:r>
      <w:r>
        <w:rPr>
          <w:spacing w:val="-1"/>
        </w:rPr>
        <w:t> </w:t>
      </w:r>
      <w:r>
        <w:rPr/>
        <w:t>651</w:t>
      </w:r>
      <w:r>
        <w:rPr>
          <w:rFonts w:ascii="Cambria Math" w:hAnsi="Cambria Math"/>
        </w:rPr>
        <w:t>‑</w:t>
      </w:r>
      <w:r>
        <w:rPr/>
        <w:t>61.</w:t>
      </w:r>
    </w:p>
    <w:p>
      <w:pPr>
        <w:pStyle w:val="BodyText"/>
        <w:spacing w:line="272" w:lineRule="exact" w:before="6"/>
        <w:ind w:left="116"/>
      </w:pPr>
      <w:r>
        <w:rPr/>
        <w:t>Siegel, A B, R Narayan, R Rodriguez, A Goyal, J S Jacobson, K Kelly, E Ladas, et al. 2014.</w:t>
      </w:r>
    </w:p>
    <w:p>
      <w:pPr>
        <w:pStyle w:val="BodyText"/>
        <w:spacing w:line="242" w:lineRule="auto"/>
        <w:ind w:left="836" w:right="112"/>
        <w:jc w:val="both"/>
      </w:pPr>
      <w:r>
        <w:rPr/>
        <w:t>« A Phase I Dose-Finding Study of Silybin Phosphatidylcholine (Milk Thistle) in Patients with Advanced Hepatocellular Carcinoma ». </w:t>
      </w:r>
      <w:r>
        <w:rPr>
          <w:i/>
        </w:rPr>
        <w:t>Integrative Cancer Therapies </w:t>
      </w:r>
      <w:r>
        <w:rPr/>
        <w:t>13 (1): 46</w:t>
      </w:r>
      <w:r>
        <w:rPr>
          <w:rFonts w:ascii="Cambria Math" w:hAnsi="Cambria Math"/>
        </w:rPr>
        <w:t>‑</w:t>
      </w:r>
      <w:r>
        <w:rPr/>
        <w:t>53.</w:t>
      </w:r>
    </w:p>
    <w:p>
      <w:pPr>
        <w:pStyle w:val="BodyText"/>
        <w:spacing w:line="242" w:lineRule="auto"/>
        <w:ind w:left="836" w:right="116" w:hanging="720"/>
        <w:jc w:val="both"/>
      </w:pPr>
      <w:r>
        <w:rPr/>
        <w:t>Simon, D, D Schoenrock, W Baumgärtner, et I Nolte. 2006. « Postoperative Adjuvant Treatment of Invasive Malignant Mammary Gland Tumors in Dogs with Doxorubicin and Docetaxel ». </w:t>
      </w:r>
      <w:r>
        <w:rPr>
          <w:i/>
        </w:rPr>
        <w:t>Journal of Veterinary Internal Medicine </w:t>
      </w:r>
      <w:r>
        <w:rPr/>
        <w:t>20 (5): 1184</w:t>
      </w:r>
      <w:r>
        <w:rPr>
          <w:rFonts w:ascii="Cambria Math" w:hAnsi="Cambria Math"/>
        </w:rPr>
        <w:t>‑</w:t>
      </w:r>
      <w:r>
        <w:rPr/>
        <w:t>90.</w:t>
      </w:r>
    </w:p>
    <w:p>
      <w:pPr>
        <w:spacing w:line="240" w:lineRule="auto" w:before="0"/>
        <w:ind w:left="836" w:right="113" w:hanging="720"/>
        <w:jc w:val="both"/>
        <w:rPr>
          <w:sz w:val="24"/>
        </w:rPr>
      </w:pPr>
      <w:r>
        <w:rPr>
          <w:sz w:val="24"/>
        </w:rPr>
        <w:t>Singh,</w:t>
      </w:r>
      <w:r>
        <w:rPr>
          <w:spacing w:val="-16"/>
          <w:sz w:val="24"/>
        </w:rPr>
        <w:t> </w:t>
      </w:r>
      <w:r>
        <w:rPr>
          <w:sz w:val="24"/>
        </w:rPr>
        <w:t>D,</w:t>
      </w:r>
      <w:r>
        <w:rPr>
          <w:spacing w:val="-16"/>
          <w:sz w:val="24"/>
        </w:rPr>
        <w:t> </w:t>
      </w:r>
      <w:r>
        <w:rPr>
          <w:sz w:val="24"/>
        </w:rPr>
        <w:t>A</w:t>
      </w:r>
      <w:r>
        <w:rPr>
          <w:spacing w:val="-14"/>
          <w:sz w:val="24"/>
        </w:rPr>
        <w:t> </w:t>
      </w:r>
      <w:r>
        <w:rPr>
          <w:sz w:val="24"/>
        </w:rPr>
        <w:t>K</w:t>
      </w:r>
      <w:r>
        <w:rPr>
          <w:spacing w:val="-14"/>
          <w:sz w:val="24"/>
        </w:rPr>
        <w:t> </w:t>
      </w:r>
      <w:r>
        <w:rPr>
          <w:sz w:val="24"/>
        </w:rPr>
        <w:t>Banerji,</w:t>
      </w:r>
      <w:r>
        <w:rPr>
          <w:spacing w:val="-13"/>
          <w:sz w:val="24"/>
        </w:rPr>
        <w:t> </w:t>
      </w:r>
      <w:r>
        <w:rPr>
          <w:sz w:val="24"/>
        </w:rPr>
        <w:t>B</w:t>
      </w:r>
      <w:r>
        <w:rPr>
          <w:spacing w:val="-15"/>
          <w:sz w:val="24"/>
        </w:rPr>
        <w:t> </w:t>
      </w:r>
      <w:r>
        <w:rPr>
          <w:sz w:val="24"/>
        </w:rPr>
        <w:t>S</w:t>
      </w:r>
      <w:r>
        <w:rPr>
          <w:spacing w:val="-15"/>
          <w:sz w:val="24"/>
        </w:rPr>
        <w:t> </w:t>
      </w:r>
      <w:r>
        <w:rPr>
          <w:sz w:val="24"/>
        </w:rPr>
        <w:t>Dwarakanath,</w:t>
      </w:r>
      <w:r>
        <w:rPr>
          <w:spacing w:val="-15"/>
          <w:sz w:val="24"/>
        </w:rPr>
        <w:t> </w:t>
      </w:r>
      <w:r>
        <w:rPr>
          <w:sz w:val="24"/>
        </w:rPr>
        <w:t>R</w:t>
      </w:r>
      <w:r>
        <w:rPr>
          <w:spacing w:val="-15"/>
          <w:sz w:val="24"/>
        </w:rPr>
        <w:t> </w:t>
      </w:r>
      <w:r>
        <w:rPr>
          <w:sz w:val="24"/>
        </w:rPr>
        <w:t>P</w:t>
      </w:r>
      <w:r>
        <w:rPr>
          <w:spacing w:val="-15"/>
          <w:sz w:val="24"/>
        </w:rPr>
        <w:t> </w:t>
      </w:r>
      <w:r>
        <w:rPr>
          <w:sz w:val="24"/>
        </w:rPr>
        <w:t>Tripathi,</w:t>
      </w:r>
      <w:r>
        <w:rPr>
          <w:spacing w:val="-15"/>
          <w:sz w:val="24"/>
        </w:rPr>
        <w:t> </w:t>
      </w:r>
      <w:r>
        <w:rPr>
          <w:sz w:val="24"/>
        </w:rPr>
        <w:t>J</w:t>
      </w:r>
      <w:r>
        <w:rPr>
          <w:spacing w:val="-13"/>
          <w:sz w:val="24"/>
        </w:rPr>
        <w:t> </w:t>
      </w:r>
      <w:r>
        <w:rPr>
          <w:sz w:val="24"/>
        </w:rPr>
        <w:t>P</w:t>
      </w:r>
      <w:r>
        <w:rPr>
          <w:spacing w:val="-15"/>
          <w:sz w:val="24"/>
        </w:rPr>
        <w:t> </w:t>
      </w:r>
      <w:r>
        <w:rPr>
          <w:sz w:val="24"/>
        </w:rPr>
        <w:t>Gupta,</w:t>
      </w:r>
      <w:r>
        <w:rPr>
          <w:spacing w:val="-16"/>
          <w:sz w:val="24"/>
        </w:rPr>
        <w:t> </w:t>
      </w:r>
      <w:r>
        <w:rPr>
          <w:sz w:val="24"/>
        </w:rPr>
        <w:t>T</w:t>
      </w:r>
      <w:r>
        <w:rPr>
          <w:spacing w:val="-14"/>
          <w:sz w:val="24"/>
        </w:rPr>
        <w:t> </w:t>
      </w:r>
      <w:r>
        <w:rPr>
          <w:sz w:val="24"/>
        </w:rPr>
        <w:t>L</w:t>
      </w:r>
      <w:r>
        <w:rPr>
          <w:spacing w:val="-19"/>
          <w:sz w:val="24"/>
        </w:rPr>
        <w:t> </w:t>
      </w:r>
      <w:r>
        <w:rPr>
          <w:sz w:val="24"/>
        </w:rPr>
        <w:t>Mathew,</w:t>
      </w:r>
      <w:r>
        <w:rPr>
          <w:spacing w:val="-16"/>
          <w:sz w:val="24"/>
        </w:rPr>
        <w:t> </w:t>
      </w:r>
      <w:r>
        <w:rPr>
          <w:sz w:val="24"/>
        </w:rPr>
        <w:t>T</w:t>
      </w:r>
      <w:r>
        <w:rPr>
          <w:spacing w:val="-16"/>
          <w:sz w:val="24"/>
        </w:rPr>
        <w:t> </w:t>
      </w:r>
      <w:r>
        <w:rPr>
          <w:sz w:val="24"/>
        </w:rPr>
        <w:t>Ravindranath, et V Jain. 2005. « Optimizing Cancer Radiotherapy with 2-Deoxy-d-Glucose Dose Escalation Studies in Patients with Glioblastoma Multiforme </w:t>
      </w:r>
      <w:r>
        <w:rPr>
          <w:spacing w:val="-4"/>
          <w:sz w:val="24"/>
        </w:rPr>
        <w:t>». </w:t>
      </w:r>
      <w:r>
        <w:rPr>
          <w:i/>
          <w:sz w:val="24"/>
        </w:rPr>
        <w:t>Strahlentherapie Und </w:t>
      </w:r>
      <w:r>
        <w:rPr>
          <w:i/>
          <w:sz w:val="24"/>
        </w:rPr>
        <w:t>Onkologie: Organ Der Deutschen Röntgengesellschaft </w:t>
      </w:r>
      <w:r>
        <w:rPr>
          <w:sz w:val="24"/>
        </w:rPr>
        <w:t>181 (8):</w:t>
      </w:r>
      <w:r>
        <w:rPr>
          <w:spacing w:val="-10"/>
          <w:sz w:val="24"/>
        </w:rPr>
        <w:t> </w:t>
      </w:r>
      <w:r>
        <w:rPr>
          <w:sz w:val="24"/>
        </w:rPr>
        <w:t>507</w:t>
      </w:r>
      <w:r>
        <w:rPr>
          <w:rFonts w:ascii="Cambria Math" w:hAnsi="Cambria Math"/>
          <w:sz w:val="24"/>
        </w:rPr>
        <w:t>‑</w:t>
      </w:r>
      <w:r>
        <w:rPr>
          <w:sz w:val="24"/>
        </w:rPr>
        <w:t>14.</w:t>
      </w:r>
    </w:p>
    <w:p>
      <w:pPr>
        <w:pStyle w:val="BodyText"/>
        <w:ind w:left="836" w:right="117" w:hanging="720"/>
        <w:jc w:val="both"/>
      </w:pPr>
      <w:r>
        <w:rPr/>
        <w:t>Singh,</w:t>
      </w:r>
      <w:r>
        <w:rPr>
          <w:spacing w:val="-6"/>
        </w:rPr>
        <w:t> </w:t>
      </w:r>
      <w:r>
        <w:rPr/>
        <w:t>J,</w:t>
      </w:r>
      <w:r>
        <w:rPr>
          <w:spacing w:val="-6"/>
        </w:rPr>
        <w:t> </w:t>
      </w:r>
      <w:r>
        <w:rPr/>
        <w:t>Y</w:t>
      </w:r>
      <w:r>
        <w:rPr>
          <w:spacing w:val="-6"/>
        </w:rPr>
        <w:t> </w:t>
      </w:r>
      <w:r>
        <w:rPr/>
        <w:t>Novik,</w:t>
      </w:r>
      <w:r>
        <w:rPr>
          <w:spacing w:val="-6"/>
        </w:rPr>
        <w:t> </w:t>
      </w:r>
      <w:r>
        <w:rPr/>
        <w:t>S</w:t>
      </w:r>
      <w:r>
        <w:rPr>
          <w:spacing w:val="-6"/>
        </w:rPr>
        <w:t> </w:t>
      </w:r>
      <w:r>
        <w:rPr/>
        <w:t>Stein,</w:t>
      </w:r>
      <w:r>
        <w:rPr>
          <w:spacing w:val="-6"/>
        </w:rPr>
        <w:t> </w:t>
      </w:r>
      <w:r>
        <w:rPr/>
        <w:t>M</w:t>
      </w:r>
      <w:r>
        <w:rPr>
          <w:spacing w:val="-6"/>
        </w:rPr>
        <w:t> </w:t>
      </w:r>
      <w:r>
        <w:rPr/>
        <w:t>Volm,</w:t>
      </w:r>
      <w:r>
        <w:rPr>
          <w:spacing w:val="-6"/>
        </w:rPr>
        <w:t> </w:t>
      </w:r>
      <w:r>
        <w:rPr/>
        <w:t>M</w:t>
      </w:r>
      <w:r>
        <w:rPr>
          <w:spacing w:val="-5"/>
        </w:rPr>
        <w:t> </w:t>
      </w:r>
      <w:r>
        <w:rPr/>
        <w:t>Meyers,</w:t>
      </w:r>
      <w:r>
        <w:rPr>
          <w:spacing w:val="-7"/>
        </w:rPr>
        <w:t> </w:t>
      </w:r>
      <w:r>
        <w:rPr/>
        <w:t>J</w:t>
      </w:r>
      <w:r>
        <w:rPr>
          <w:spacing w:val="-4"/>
        </w:rPr>
        <w:t> </w:t>
      </w:r>
      <w:r>
        <w:rPr/>
        <w:t>Smith,</w:t>
      </w:r>
      <w:r>
        <w:rPr>
          <w:spacing w:val="-6"/>
        </w:rPr>
        <w:t> </w:t>
      </w:r>
      <w:r>
        <w:rPr/>
        <w:t>C</w:t>
      </w:r>
      <w:r>
        <w:rPr>
          <w:spacing w:val="-6"/>
        </w:rPr>
        <w:t> </w:t>
      </w:r>
      <w:r>
        <w:rPr/>
        <w:t>Omene,</w:t>
      </w:r>
      <w:r>
        <w:rPr>
          <w:spacing w:val="-6"/>
        </w:rPr>
        <w:t> </w:t>
      </w:r>
      <w:r>
        <w:rPr/>
        <w:t>et</w:t>
      </w:r>
      <w:r>
        <w:rPr>
          <w:spacing w:val="-6"/>
        </w:rPr>
        <w:t> </w:t>
      </w:r>
      <w:r>
        <w:rPr/>
        <w:t>al.</w:t>
      </w:r>
      <w:r>
        <w:rPr>
          <w:spacing w:val="-6"/>
        </w:rPr>
        <w:t> </w:t>
      </w:r>
      <w:r>
        <w:rPr/>
        <w:t>2014.</w:t>
      </w:r>
      <w:r>
        <w:rPr>
          <w:spacing w:val="0"/>
        </w:rPr>
        <w:t> </w:t>
      </w:r>
      <w:r>
        <w:rPr/>
        <w:t>«</w:t>
      </w:r>
      <w:r>
        <w:rPr>
          <w:spacing w:val="-9"/>
        </w:rPr>
        <w:t> </w:t>
      </w:r>
      <w:r>
        <w:rPr/>
        <w:t>Phase</w:t>
      </w:r>
      <w:r>
        <w:rPr>
          <w:spacing w:val="-5"/>
        </w:rPr>
        <w:t> </w:t>
      </w:r>
      <w:r>
        <w:rPr/>
        <w:t>2</w:t>
      </w:r>
      <w:r>
        <w:rPr>
          <w:spacing w:val="-6"/>
        </w:rPr>
        <w:t> </w:t>
      </w:r>
      <w:r>
        <w:rPr/>
        <w:t>Trial of</w:t>
      </w:r>
      <w:r>
        <w:rPr>
          <w:spacing w:val="-14"/>
        </w:rPr>
        <w:t> </w:t>
      </w:r>
      <w:r>
        <w:rPr/>
        <w:t>Everolimus</w:t>
      </w:r>
      <w:r>
        <w:rPr>
          <w:spacing w:val="-13"/>
        </w:rPr>
        <w:t> </w:t>
      </w:r>
      <w:r>
        <w:rPr/>
        <w:t>and</w:t>
      </w:r>
      <w:r>
        <w:rPr>
          <w:spacing w:val="-11"/>
        </w:rPr>
        <w:t> </w:t>
      </w:r>
      <w:r>
        <w:rPr/>
        <w:t>Carboplatin</w:t>
      </w:r>
      <w:r>
        <w:rPr>
          <w:spacing w:val="-13"/>
        </w:rPr>
        <w:t> </w:t>
      </w:r>
      <w:r>
        <w:rPr/>
        <w:t>Combination</w:t>
      </w:r>
      <w:r>
        <w:rPr>
          <w:spacing w:val="-13"/>
        </w:rPr>
        <w:t> </w:t>
      </w:r>
      <w:r>
        <w:rPr/>
        <w:t>in</w:t>
      </w:r>
      <w:r>
        <w:rPr>
          <w:spacing w:val="-13"/>
        </w:rPr>
        <w:t> </w:t>
      </w:r>
      <w:r>
        <w:rPr/>
        <w:t>Patients</w:t>
      </w:r>
      <w:r>
        <w:rPr>
          <w:spacing w:val="-13"/>
        </w:rPr>
        <w:t> </w:t>
      </w:r>
      <w:r>
        <w:rPr/>
        <w:t>with</w:t>
      </w:r>
      <w:r>
        <w:rPr>
          <w:spacing w:val="-13"/>
        </w:rPr>
        <w:t> </w:t>
      </w:r>
      <w:r>
        <w:rPr/>
        <w:t>Triple</w:t>
      </w:r>
      <w:r>
        <w:rPr>
          <w:spacing w:val="-14"/>
        </w:rPr>
        <w:t> </w:t>
      </w:r>
      <w:r>
        <w:rPr/>
        <w:t>Negative</w:t>
      </w:r>
      <w:r>
        <w:rPr>
          <w:spacing w:val="-14"/>
        </w:rPr>
        <w:t> </w:t>
      </w:r>
      <w:r>
        <w:rPr/>
        <w:t>Metastatic Breast Cancer </w:t>
      </w:r>
      <w:r>
        <w:rPr>
          <w:spacing w:val="-4"/>
        </w:rPr>
        <w:t>». </w:t>
      </w:r>
      <w:r>
        <w:rPr>
          <w:i/>
        </w:rPr>
        <w:t>Breast Cancer Research: BCR </w:t>
      </w:r>
      <w:r>
        <w:rPr/>
        <w:t>16 (2):</w:t>
      </w:r>
      <w:r>
        <w:rPr>
          <w:spacing w:val="2"/>
        </w:rPr>
        <w:t> </w:t>
      </w:r>
      <w:r>
        <w:rPr/>
        <w:t>32-36.</w:t>
      </w:r>
    </w:p>
    <w:p>
      <w:pPr>
        <w:pStyle w:val="BodyText"/>
        <w:spacing w:line="242" w:lineRule="auto" w:before="3"/>
        <w:ind w:left="836" w:right="113" w:hanging="720"/>
        <w:jc w:val="both"/>
      </w:pPr>
      <w:r>
        <w:rPr/>
        <w:t>Smallbone, K, R A Gatenby, R J Gillies, P K Maini, et D J Gavaghan. 2007. « Metabolic Changes during Carcinogenesis: Potential Impact on Invasiveness </w:t>
      </w:r>
      <w:r>
        <w:rPr>
          <w:spacing w:val="-4"/>
        </w:rPr>
        <w:t>».</w:t>
      </w:r>
      <w:r>
        <w:rPr>
          <w:spacing w:val="51"/>
        </w:rPr>
        <w:t> </w:t>
      </w:r>
      <w:r>
        <w:rPr>
          <w:i/>
        </w:rPr>
        <w:t>Journal of </w:t>
      </w:r>
      <w:r>
        <w:rPr>
          <w:i/>
        </w:rPr>
        <w:t>Theoretical Biology </w:t>
      </w:r>
      <w:r>
        <w:rPr/>
        <w:t>244 (4): 703</w:t>
      </w:r>
      <w:r>
        <w:rPr>
          <w:rFonts w:ascii="Cambria Math" w:hAnsi="Cambria Math"/>
        </w:rPr>
        <w:t>‑</w:t>
      </w:r>
      <w:r>
        <w:rPr/>
        <w:t>13.</w:t>
      </w:r>
    </w:p>
    <w:p>
      <w:pPr>
        <w:pStyle w:val="BodyText"/>
        <w:spacing w:line="272" w:lineRule="exact"/>
        <w:ind w:left="116"/>
      </w:pPr>
      <w:r>
        <w:rPr/>
        <w:t>Smyth, J F, S Aamdal, A Awada, C Dittrich, F Caponigro, P Schöffski, M Gore, et al. 2005.</w:t>
      </w:r>
    </w:p>
    <w:p>
      <w:pPr>
        <w:spacing w:before="0"/>
        <w:ind w:left="116" w:right="114" w:firstLine="719"/>
        <w:jc w:val="right"/>
        <w:rPr>
          <w:sz w:val="24"/>
        </w:rPr>
      </w:pPr>
      <w:r>
        <w:rPr>
          <w:sz w:val="24"/>
        </w:rPr>
        <w:t>«</w:t>
      </w:r>
      <w:r>
        <w:rPr>
          <w:spacing w:val="-4"/>
          <w:sz w:val="24"/>
        </w:rPr>
        <w:t> </w:t>
      </w:r>
      <w:r>
        <w:rPr>
          <w:sz w:val="24"/>
        </w:rPr>
        <w:t>Phase</w:t>
      </w:r>
      <w:r>
        <w:rPr>
          <w:spacing w:val="-12"/>
          <w:sz w:val="24"/>
        </w:rPr>
        <w:t> </w:t>
      </w:r>
      <w:r>
        <w:rPr>
          <w:sz w:val="24"/>
        </w:rPr>
        <w:t>II</w:t>
      </w:r>
      <w:r>
        <w:rPr>
          <w:spacing w:val="-17"/>
          <w:sz w:val="24"/>
        </w:rPr>
        <w:t> </w:t>
      </w:r>
      <w:r>
        <w:rPr>
          <w:sz w:val="24"/>
        </w:rPr>
        <w:t>Study</w:t>
      </w:r>
      <w:r>
        <w:rPr>
          <w:spacing w:val="-18"/>
          <w:sz w:val="24"/>
        </w:rPr>
        <w:t> </w:t>
      </w:r>
      <w:r>
        <w:rPr>
          <w:sz w:val="24"/>
        </w:rPr>
        <w:t>of</w:t>
      </w:r>
      <w:r>
        <w:rPr>
          <w:spacing w:val="-14"/>
          <w:sz w:val="24"/>
        </w:rPr>
        <w:t> </w:t>
      </w:r>
      <w:r>
        <w:rPr>
          <w:sz w:val="24"/>
        </w:rPr>
        <w:t>E7070</w:t>
      </w:r>
      <w:r>
        <w:rPr>
          <w:spacing w:val="-16"/>
          <w:sz w:val="24"/>
        </w:rPr>
        <w:t> </w:t>
      </w:r>
      <w:r>
        <w:rPr>
          <w:sz w:val="24"/>
        </w:rPr>
        <w:t>in</w:t>
      </w:r>
      <w:r>
        <w:rPr>
          <w:spacing w:val="-15"/>
          <w:sz w:val="24"/>
        </w:rPr>
        <w:t> </w:t>
      </w:r>
      <w:r>
        <w:rPr>
          <w:sz w:val="24"/>
        </w:rPr>
        <w:t>Patients</w:t>
      </w:r>
      <w:r>
        <w:rPr>
          <w:spacing w:val="-15"/>
          <w:sz w:val="24"/>
        </w:rPr>
        <w:t> </w:t>
      </w:r>
      <w:r>
        <w:rPr>
          <w:sz w:val="24"/>
        </w:rPr>
        <w:t>with</w:t>
      </w:r>
      <w:r>
        <w:rPr>
          <w:spacing w:val="-15"/>
          <w:sz w:val="24"/>
        </w:rPr>
        <w:t> </w:t>
      </w:r>
      <w:r>
        <w:rPr>
          <w:sz w:val="24"/>
        </w:rPr>
        <w:t>Metastatic</w:t>
      </w:r>
      <w:r>
        <w:rPr>
          <w:spacing w:val="-17"/>
          <w:sz w:val="24"/>
        </w:rPr>
        <w:t> </w:t>
      </w:r>
      <w:r>
        <w:rPr>
          <w:sz w:val="24"/>
        </w:rPr>
        <w:t>Melanoma</w:t>
      </w:r>
      <w:r>
        <w:rPr>
          <w:spacing w:val="5"/>
          <w:sz w:val="24"/>
        </w:rPr>
        <w:t> </w:t>
      </w:r>
      <w:r>
        <w:rPr>
          <w:spacing w:val="-4"/>
          <w:sz w:val="24"/>
        </w:rPr>
        <w:t>».</w:t>
      </w:r>
      <w:r>
        <w:rPr>
          <w:spacing w:val="-11"/>
          <w:sz w:val="24"/>
        </w:rPr>
        <w:t> </w:t>
      </w:r>
      <w:r>
        <w:rPr>
          <w:i/>
          <w:sz w:val="24"/>
        </w:rPr>
        <w:t>Annals</w:t>
      </w:r>
      <w:r>
        <w:rPr>
          <w:i/>
          <w:spacing w:val="-15"/>
          <w:sz w:val="24"/>
        </w:rPr>
        <w:t> </w:t>
      </w:r>
      <w:r>
        <w:rPr>
          <w:i/>
          <w:sz w:val="24"/>
        </w:rPr>
        <w:t>of</w:t>
      </w:r>
      <w:r>
        <w:rPr>
          <w:i/>
          <w:spacing w:val="-15"/>
          <w:sz w:val="24"/>
        </w:rPr>
        <w:t> </w:t>
      </w:r>
      <w:r>
        <w:rPr>
          <w:i/>
          <w:sz w:val="24"/>
        </w:rPr>
        <w:t>Oncology:</w:t>
      </w:r>
      <w:r>
        <w:rPr>
          <w:i/>
          <w:w w:val="99"/>
          <w:sz w:val="24"/>
        </w:rPr>
        <w:t> </w:t>
      </w:r>
      <w:r>
        <w:rPr>
          <w:i/>
          <w:sz w:val="24"/>
        </w:rPr>
        <w:t>Official</w:t>
      </w:r>
      <w:r>
        <w:rPr>
          <w:i/>
          <w:spacing w:val="-6"/>
          <w:sz w:val="24"/>
        </w:rPr>
        <w:t> </w:t>
      </w:r>
      <w:r>
        <w:rPr>
          <w:i/>
          <w:sz w:val="24"/>
        </w:rPr>
        <w:t>Journal</w:t>
      </w:r>
      <w:r>
        <w:rPr>
          <w:i/>
          <w:spacing w:val="-6"/>
          <w:sz w:val="24"/>
        </w:rPr>
        <w:t> </w:t>
      </w:r>
      <w:r>
        <w:rPr>
          <w:i/>
          <w:sz w:val="24"/>
        </w:rPr>
        <w:t>of</w:t>
      </w:r>
      <w:r>
        <w:rPr>
          <w:i/>
          <w:spacing w:val="-6"/>
          <w:sz w:val="24"/>
        </w:rPr>
        <w:t> </w:t>
      </w:r>
      <w:r>
        <w:rPr>
          <w:i/>
          <w:sz w:val="24"/>
        </w:rPr>
        <w:t>the</w:t>
      </w:r>
      <w:r>
        <w:rPr>
          <w:i/>
          <w:spacing w:val="-7"/>
          <w:sz w:val="24"/>
        </w:rPr>
        <w:t> </w:t>
      </w:r>
      <w:r>
        <w:rPr>
          <w:i/>
          <w:sz w:val="24"/>
        </w:rPr>
        <w:t>European</w:t>
      </w:r>
      <w:r>
        <w:rPr>
          <w:i/>
          <w:spacing w:val="-6"/>
          <w:sz w:val="24"/>
        </w:rPr>
        <w:t> </w:t>
      </w:r>
      <w:r>
        <w:rPr>
          <w:i/>
          <w:sz w:val="24"/>
        </w:rPr>
        <w:t>Society</w:t>
      </w:r>
      <w:r>
        <w:rPr>
          <w:i/>
          <w:spacing w:val="-7"/>
          <w:sz w:val="24"/>
        </w:rPr>
        <w:t> </w:t>
      </w:r>
      <w:r>
        <w:rPr>
          <w:i/>
          <w:sz w:val="24"/>
        </w:rPr>
        <w:t>for</w:t>
      </w:r>
      <w:r>
        <w:rPr>
          <w:i/>
          <w:spacing w:val="-6"/>
          <w:sz w:val="24"/>
        </w:rPr>
        <w:t> </w:t>
      </w:r>
      <w:r>
        <w:rPr>
          <w:i/>
          <w:sz w:val="24"/>
        </w:rPr>
        <w:t>Medical</w:t>
      </w:r>
      <w:r>
        <w:rPr>
          <w:i/>
          <w:spacing w:val="-6"/>
          <w:sz w:val="24"/>
        </w:rPr>
        <w:t> </w:t>
      </w:r>
      <w:r>
        <w:rPr>
          <w:i/>
          <w:sz w:val="24"/>
        </w:rPr>
        <w:t>Oncology</w:t>
      </w:r>
      <w:r>
        <w:rPr>
          <w:i/>
          <w:spacing w:val="-7"/>
          <w:sz w:val="24"/>
        </w:rPr>
        <w:t> </w:t>
      </w:r>
      <w:r>
        <w:rPr>
          <w:i/>
          <w:sz w:val="24"/>
        </w:rPr>
        <w:t>/</w:t>
      </w:r>
      <w:r>
        <w:rPr>
          <w:i/>
          <w:spacing w:val="-6"/>
          <w:sz w:val="24"/>
        </w:rPr>
        <w:t> </w:t>
      </w:r>
      <w:r>
        <w:rPr>
          <w:i/>
          <w:sz w:val="24"/>
        </w:rPr>
        <w:t>ESMO</w:t>
      </w:r>
      <w:r>
        <w:rPr>
          <w:i/>
          <w:spacing w:val="-1"/>
          <w:sz w:val="24"/>
        </w:rPr>
        <w:t> </w:t>
      </w:r>
      <w:r>
        <w:rPr>
          <w:sz w:val="24"/>
        </w:rPr>
        <w:t>16</w:t>
      </w:r>
      <w:r>
        <w:rPr>
          <w:spacing w:val="-6"/>
          <w:sz w:val="24"/>
        </w:rPr>
        <w:t> </w:t>
      </w:r>
      <w:r>
        <w:rPr>
          <w:sz w:val="24"/>
        </w:rPr>
        <w:t>(1):</w:t>
      </w:r>
      <w:r>
        <w:rPr>
          <w:spacing w:val="-7"/>
          <w:sz w:val="24"/>
        </w:rPr>
        <w:t> </w:t>
      </w:r>
      <w:r>
        <w:rPr>
          <w:sz w:val="24"/>
        </w:rPr>
        <w:t>158</w:t>
      </w:r>
      <w:r>
        <w:rPr>
          <w:rFonts w:ascii="Cambria Math" w:hAnsi="Cambria Math"/>
          <w:sz w:val="24"/>
        </w:rPr>
        <w:t>‑</w:t>
      </w:r>
      <w:r>
        <w:rPr>
          <w:sz w:val="24"/>
        </w:rPr>
        <w:t>61. Sonveaux, P, F Végran, T Schroeder, M C Wergin, J Verrax, Z N Rabbani, C J</w:t>
      </w:r>
      <w:r>
        <w:rPr>
          <w:spacing w:val="5"/>
          <w:sz w:val="24"/>
        </w:rPr>
        <w:t> </w:t>
      </w:r>
      <w:r>
        <w:rPr>
          <w:sz w:val="24"/>
        </w:rPr>
        <w:t>De</w:t>
      </w:r>
      <w:r>
        <w:rPr>
          <w:spacing w:val="1"/>
          <w:sz w:val="24"/>
        </w:rPr>
        <w:t> </w:t>
      </w:r>
      <w:r>
        <w:rPr>
          <w:sz w:val="24"/>
        </w:rPr>
        <w:t>Saedeleer, et</w:t>
      </w:r>
      <w:r>
        <w:rPr>
          <w:spacing w:val="12"/>
          <w:sz w:val="24"/>
        </w:rPr>
        <w:t> </w:t>
      </w:r>
      <w:r>
        <w:rPr>
          <w:sz w:val="24"/>
        </w:rPr>
        <w:t>al.</w:t>
      </w:r>
      <w:r>
        <w:rPr>
          <w:spacing w:val="12"/>
          <w:sz w:val="24"/>
        </w:rPr>
        <w:t> </w:t>
      </w:r>
      <w:r>
        <w:rPr>
          <w:sz w:val="24"/>
        </w:rPr>
        <w:t>2008.</w:t>
      </w:r>
      <w:r>
        <w:rPr>
          <w:spacing w:val="15"/>
          <w:sz w:val="24"/>
        </w:rPr>
        <w:t> </w:t>
      </w:r>
      <w:r>
        <w:rPr>
          <w:sz w:val="24"/>
        </w:rPr>
        <w:t>«</w:t>
      </w:r>
      <w:r>
        <w:rPr>
          <w:spacing w:val="-9"/>
          <w:sz w:val="24"/>
        </w:rPr>
        <w:t> </w:t>
      </w:r>
      <w:r>
        <w:rPr>
          <w:sz w:val="24"/>
        </w:rPr>
        <w:t>Targeting</w:t>
      </w:r>
      <w:r>
        <w:rPr>
          <w:spacing w:val="10"/>
          <w:sz w:val="24"/>
        </w:rPr>
        <w:t> </w:t>
      </w:r>
      <w:r>
        <w:rPr>
          <w:sz w:val="24"/>
        </w:rPr>
        <w:t>lactate-fueled</w:t>
      </w:r>
      <w:r>
        <w:rPr>
          <w:spacing w:val="11"/>
          <w:sz w:val="24"/>
        </w:rPr>
        <w:t> </w:t>
      </w:r>
      <w:r>
        <w:rPr>
          <w:sz w:val="24"/>
        </w:rPr>
        <w:t>respiration</w:t>
      </w:r>
      <w:r>
        <w:rPr>
          <w:spacing w:val="12"/>
          <w:sz w:val="24"/>
        </w:rPr>
        <w:t> </w:t>
      </w:r>
      <w:r>
        <w:rPr>
          <w:sz w:val="24"/>
        </w:rPr>
        <w:t>selectively</w:t>
      </w:r>
      <w:r>
        <w:rPr>
          <w:spacing w:val="5"/>
          <w:sz w:val="24"/>
        </w:rPr>
        <w:t> </w:t>
      </w:r>
      <w:r>
        <w:rPr>
          <w:sz w:val="24"/>
        </w:rPr>
        <w:t>kills</w:t>
      </w:r>
      <w:r>
        <w:rPr>
          <w:spacing w:val="12"/>
          <w:sz w:val="24"/>
        </w:rPr>
        <w:t> </w:t>
      </w:r>
      <w:r>
        <w:rPr>
          <w:sz w:val="24"/>
        </w:rPr>
        <w:t>hypoxic</w:t>
      </w:r>
      <w:r>
        <w:rPr>
          <w:spacing w:val="11"/>
          <w:sz w:val="24"/>
        </w:rPr>
        <w:t> </w:t>
      </w:r>
      <w:r>
        <w:rPr>
          <w:sz w:val="24"/>
        </w:rPr>
        <w:t>tumor</w:t>
      </w:r>
      <w:r>
        <w:rPr>
          <w:spacing w:val="11"/>
          <w:sz w:val="24"/>
        </w:rPr>
        <w:t> </w:t>
      </w:r>
      <w:r>
        <w:rPr>
          <w:sz w:val="24"/>
        </w:rPr>
        <w:t>cells</w:t>
      </w:r>
    </w:p>
    <w:p>
      <w:pPr>
        <w:spacing w:line="279" w:lineRule="exact" w:before="3"/>
        <w:ind w:left="836" w:right="0" w:firstLine="0"/>
        <w:jc w:val="both"/>
        <w:rPr>
          <w:sz w:val="24"/>
        </w:rPr>
      </w:pPr>
      <w:r>
        <w:rPr>
          <w:sz w:val="24"/>
        </w:rPr>
        <w:t>in mice ». </w:t>
      </w:r>
      <w:r>
        <w:rPr>
          <w:i/>
          <w:sz w:val="24"/>
        </w:rPr>
        <w:t>The Journal of Clinical Investigation </w:t>
      </w:r>
      <w:r>
        <w:rPr>
          <w:sz w:val="24"/>
        </w:rPr>
        <w:t>118 (12): 3930</w:t>
      </w:r>
      <w:r>
        <w:rPr>
          <w:rFonts w:ascii="Cambria Math" w:hAnsi="Cambria Math"/>
          <w:sz w:val="24"/>
        </w:rPr>
        <w:t>‑</w:t>
      </w:r>
      <w:r>
        <w:rPr>
          <w:sz w:val="24"/>
        </w:rPr>
        <w:t>42.</w:t>
      </w:r>
    </w:p>
    <w:p>
      <w:pPr>
        <w:pStyle w:val="BodyText"/>
        <w:ind w:left="836" w:right="114" w:hanging="720"/>
        <w:jc w:val="both"/>
      </w:pPr>
      <w:r>
        <w:rPr/>
        <w:t>Sonveaux, P, T Copetti, C J De Saedeleer, F Végran, J Verrax, K M Kennedy, E J Moon, et</w:t>
      </w:r>
      <w:r>
        <w:rPr>
          <w:spacing w:val="-32"/>
        </w:rPr>
        <w:t> </w:t>
      </w:r>
      <w:r>
        <w:rPr/>
        <w:t>al. 2012. « Targeting the Lactate Transporter MCT1 in Endothelial Cells Inhibits Lactate- Induced HIF-1 Activation and Tumor Angiogenesis </w:t>
      </w:r>
      <w:r>
        <w:rPr>
          <w:spacing w:val="-4"/>
        </w:rPr>
        <w:t>». </w:t>
      </w:r>
      <w:r>
        <w:rPr>
          <w:i/>
        </w:rPr>
        <w:t>PLoS ONE </w:t>
      </w:r>
      <w:r>
        <w:rPr/>
        <w:t>7 (3):</w:t>
      </w:r>
      <w:r>
        <w:rPr>
          <w:spacing w:val="0"/>
        </w:rPr>
        <w:t> </w:t>
      </w:r>
      <w:r>
        <w:rPr/>
        <w:t>418-25.</w:t>
      </w:r>
    </w:p>
    <w:p>
      <w:pPr>
        <w:pStyle w:val="BodyText"/>
        <w:spacing w:before="2"/>
        <w:ind w:left="836" w:right="113" w:hanging="720"/>
        <w:jc w:val="both"/>
      </w:pPr>
      <w:r>
        <w:rPr/>
        <w:t>Spugnini, E P, A Baldi, S Buglioni, F Carocci, G M de Bazzichini, G Betti, I Pantaleo, F Menicagli, G Citro, et S Fais. 2011. « Lansoprazole as a Rescue Agent in Chemoresistant</w:t>
      </w:r>
      <w:r>
        <w:rPr>
          <w:spacing w:val="-12"/>
        </w:rPr>
        <w:t> </w:t>
      </w:r>
      <w:r>
        <w:rPr/>
        <w:t>Tumors:</w:t>
      </w:r>
      <w:r>
        <w:rPr>
          <w:spacing w:val="-10"/>
        </w:rPr>
        <w:t> </w:t>
      </w:r>
      <w:r>
        <w:rPr/>
        <w:t>A</w:t>
      </w:r>
      <w:r>
        <w:rPr>
          <w:spacing w:val="-13"/>
        </w:rPr>
        <w:t> </w:t>
      </w:r>
      <w:r>
        <w:rPr/>
        <w:t>Phase</w:t>
      </w:r>
      <w:r>
        <w:rPr>
          <w:spacing w:val="-11"/>
        </w:rPr>
        <w:t> </w:t>
      </w:r>
      <w:r>
        <w:rPr/>
        <w:t>I/II</w:t>
      </w:r>
      <w:r>
        <w:rPr>
          <w:spacing w:val="-16"/>
        </w:rPr>
        <w:t> </w:t>
      </w:r>
      <w:r>
        <w:rPr/>
        <w:t>Study</w:t>
      </w:r>
      <w:r>
        <w:rPr>
          <w:spacing w:val="-17"/>
        </w:rPr>
        <w:t> </w:t>
      </w:r>
      <w:r>
        <w:rPr/>
        <w:t>in</w:t>
      </w:r>
      <w:r>
        <w:rPr>
          <w:spacing w:val="-12"/>
        </w:rPr>
        <w:t> </w:t>
      </w:r>
      <w:r>
        <w:rPr/>
        <w:t>Companion</w:t>
      </w:r>
      <w:r>
        <w:rPr>
          <w:spacing w:val="-12"/>
        </w:rPr>
        <w:t> </w:t>
      </w:r>
      <w:r>
        <w:rPr/>
        <w:t>Animals</w:t>
      </w:r>
      <w:r>
        <w:rPr>
          <w:spacing w:val="-12"/>
        </w:rPr>
        <w:t> </w:t>
      </w:r>
      <w:r>
        <w:rPr/>
        <w:t>with</w:t>
      </w:r>
      <w:r>
        <w:rPr>
          <w:spacing w:val="-12"/>
        </w:rPr>
        <w:t> </w:t>
      </w:r>
      <w:r>
        <w:rPr/>
        <w:t>Spontaneously Occurring Tumors </w:t>
      </w:r>
      <w:r>
        <w:rPr>
          <w:spacing w:val="-4"/>
        </w:rPr>
        <w:t>». </w:t>
      </w:r>
      <w:r>
        <w:rPr>
          <w:i/>
        </w:rPr>
        <w:t>Journal of Translational Medicine </w:t>
      </w:r>
      <w:r>
        <w:rPr/>
        <w:t>9 (1):</w:t>
      </w:r>
      <w:r>
        <w:rPr>
          <w:spacing w:val="1"/>
        </w:rPr>
        <w:t> </w:t>
      </w:r>
      <w:r>
        <w:rPr/>
        <w:t>221-33.</w:t>
      </w:r>
    </w:p>
    <w:p>
      <w:pPr>
        <w:spacing w:after="0"/>
        <w:jc w:val="both"/>
        <w:sectPr>
          <w:pgSz w:w="11910" w:h="16840"/>
          <w:pgMar w:header="0" w:footer="1055" w:top="1320" w:bottom="1240" w:left="1300" w:right="1300"/>
        </w:sectPr>
      </w:pPr>
    </w:p>
    <w:p>
      <w:pPr>
        <w:pStyle w:val="BodyText"/>
        <w:spacing w:before="70"/>
        <w:ind w:left="116"/>
      </w:pPr>
      <w:r>
        <w:rPr/>
        <w:t>Spugnini, E P, S Buglioni, F Carocci, M Francesco, B Vincenzi, M Fanciulli, et S Fais. 2014.</w:t>
      </w:r>
    </w:p>
    <w:p>
      <w:pPr>
        <w:pStyle w:val="BodyText"/>
        <w:ind w:left="836" w:right="113"/>
        <w:jc w:val="both"/>
      </w:pPr>
      <w:r>
        <w:rPr/>
        <w:t>« High Dose Lansoprazole Combined with Metronomic Chemotherapy: A Phase I/II Study in Companion Animals with Spontaneously Occurring Tumors ». </w:t>
      </w:r>
      <w:r>
        <w:rPr>
          <w:i/>
        </w:rPr>
        <w:t>Journal of </w:t>
      </w:r>
      <w:r>
        <w:rPr>
          <w:i/>
        </w:rPr>
        <w:t>Translational Medicine </w:t>
      </w:r>
      <w:r>
        <w:rPr/>
        <w:t>1 (12): 225-39.</w:t>
      </w:r>
    </w:p>
    <w:p>
      <w:pPr>
        <w:pStyle w:val="BodyText"/>
        <w:spacing w:line="242" w:lineRule="auto"/>
        <w:ind w:left="836" w:right="114" w:hanging="720"/>
        <w:jc w:val="both"/>
      </w:pPr>
      <w:r>
        <w:rPr/>
        <w:t>Spugnini, E P, P Sonveaux, C Stock, M Sayans, A De Milito, S Avnet, A G Garcìa, S Harguindey, et S Fais. 2015. « Proton Channels and Exchangers in Cancer ». </w:t>
      </w:r>
      <w:r>
        <w:rPr>
          <w:i/>
        </w:rPr>
        <w:t>Biochimica Et Biophysica Acta </w:t>
      </w:r>
      <w:r>
        <w:rPr/>
        <w:t>1848 (10): 2715</w:t>
      </w:r>
      <w:r>
        <w:rPr>
          <w:rFonts w:ascii="Cambria Math" w:hAnsi="Cambria Math"/>
        </w:rPr>
        <w:t>‑</w:t>
      </w:r>
      <w:r>
        <w:rPr/>
        <w:t>26.</w:t>
      </w:r>
    </w:p>
    <w:p>
      <w:pPr>
        <w:pStyle w:val="BodyText"/>
        <w:spacing w:line="242" w:lineRule="auto"/>
        <w:ind w:left="836" w:right="120" w:hanging="720"/>
        <w:jc w:val="both"/>
      </w:pPr>
      <w:r>
        <w:rPr/>
        <w:t>Stacpoole,</w:t>
      </w:r>
      <w:r>
        <w:rPr>
          <w:spacing w:val="-6"/>
        </w:rPr>
        <w:t> </w:t>
      </w:r>
      <w:r>
        <w:rPr/>
        <w:t>P</w:t>
      </w:r>
      <w:r>
        <w:rPr>
          <w:spacing w:val="-5"/>
        </w:rPr>
        <w:t> </w:t>
      </w:r>
      <w:r>
        <w:rPr/>
        <w:t>W,</w:t>
      </w:r>
      <w:r>
        <w:rPr>
          <w:spacing w:val="-6"/>
        </w:rPr>
        <w:t> </w:t>
      </w:r>
      <w:r>
        <w:rPr/>
        <w:t>D</w:t>
      </w:r>
      <w:r>
        <w:rPr>
          <w:spacing w:val="-7"/>
        </w:rPr>
        <w:t> </w:t>
      </w:r>
      <w:r>
        <w:rPr/>
        <w:t>S</w:t>
      </w:r>
      <w:r>
        <w:rPr>
          <w:spacing w:val="-6"/>
        </w:rPr>
        <w:t> </w:t>
      </w:r>
      <w:r>
        <w:rPr/>
        <w:t>Kerr,</w:t>
      </w:r>
      <w:r>
        <w:rPr>
          <w:spacing w:val="-6"/>
        </w:rPr>
        <w:t> </w:t>
      </w:r>
      <w:r>
        <w:rPr/>
        <w:t>C</w:t>
      </w:r>
      <w:r>
        <w:rPr>
          <w:spacing w:val="-6"/>
        </w:rPr>
        <w:t> </w:t>
      </w:r>
      <w:r>
        <w:rPr/>
        <w:t>Barnes,</w:t>
      </w:r>
      <w:r>
        <w:rPr>
          <w:spacing w:val="-6"/>
        </w:rPr>
        <w:t> </w:t>
      </w:r>
      <w:r>
        <w:rPr/>
        <w:t>S</w:t>
      </w:r>
      <w:r>
        <w:rPr>
          <w:spacing w:val="-6"/>
        </w:rPr>
        <w:t> </w:t>
      </w:r>
      <w:r>
        <w:rPr/>
        <w:t>T</w:t>
      </w:r>
      <w:r>
        <w:rPr>
          <w:spacing w:val="-4"/>
        </w:rPr>
        <w:t> </w:t>
      </w:r>
      <w:r>
        <w:rPr/>
        <w:t>Bunch,</w:t>
      </w:r>
      <w:r>
        <w:rPr>
          <w:spacing w:val="-6"/>
        </w:rPr>
        <w:t> </w:t>
      </w:r>
      <w:r>
        <w:rPr/>
        <w:t>P</w:t>
      </w:r>
      <w:r>
        <w:rPr>
          <w:spacing w:val="-3"/>
        </w:rPr>
        <w:t> </w:t>
      </w:r>
      <w:r>
        <w:rPr/>
        <w:t>R</w:t>
      </w:r>
      <w:r>
        <w:rPr>
          <w:spacing w:val="-6"/>
        </w:rPr>
        <w:t> </w:t>
      </w:r>
      <w:r>
        <w:rPr/>
        <w:t>Carney,</w:t>
      </w:r>
      <w:r>
        <w:rPr>
          <w:spacing w:val="-6"/>
        </w:rPr>
        <w:t> </w:t>
      </w:r>
      <w:r>
        <w:rPr/>
        <w:t>E</w:t>
      </w:r>
      <w:r>
        <w:rPr>
          <w:spacing w:val="-6"/>
        </w:rPr>
        <w:t> </w:t>
      </w:r>
      <w:r>
        <w:rPr/>
        <w:t>M</w:t>
      </w:r>
      <w:r>
        <w:rPr>
          <w:spacing w:val="-4"/>
        </w:rPr>
        <w:t> </w:t>
      </w:r>
      <w:r>
        <w:rPr/>
        <w:t>Fennell,</w:t>
      </w:r>
      <w:r>
        <w:rPr>
          <w:spacing w:val="-4"/>
        </w:rPr>
        <w:t> </w:t>
      </w:r>
      <w:r>
        <w:rPr/>
        <w:t>N</w:t>
      </w:r>
      <w:r>
        <w:rPr>
          <w:spacing w:val="-7"/>
        </w:rPr>
        <w:t> </w:t>
      </w:r>
      <w:r>
        <w:rPr/>
        <w:t>M</w:t>
      </w:r>
      <w:r>
        <w:rPr>
          <w:spacing w:val="-6"/>
        </w:rPr>
        <w:t> </w:t>
      </w:r>
      <w:r>
        <w:rPr/>
        <w:t>Felitsyn,</w:t>
      </w:r>
      <w:r>
        <w:rPr>
          <w:spacing w:val="-4"/>
        </w:rPr>
        <w:t> </w:t>
      </w:r>
      <w:r>
        <w:rPr/>
        <w:t>et</w:t>
      </w:r>
      <w:r>
        <w:rPr>
          <w:spacing w:val="-6"/>
        </w:rPr>
        <w:t> </w:t>
      </w:r>
      <w:r>
        <w:rPr/>
        <w:t>al. 2006.</w:t>
      </w:r>
      <w:r>
        <w:rPr>
          <w:spacing w:val="-2"/>
        </w:rPr>
        <w:t> </w:t>
      </w:r>
      <w:r>
        <w:rPr/>
        <w:t>«</w:t>
      </w:r>
      <w:r>
        <w:rPr>
          <w:spacing w:val="-10"/>
        </w:rPr>
        <w:t> </w:t>
      </w:r>
      <w:r>
        <w:rPr/>
        <w:t>Controlled</w:t>
      </w:r>
      <w:r>
        <w:rPr>
          <w:spacing w:val="-7"/>
        </w:rPr>
        <w:t> </w:t>
      </w:r>
      <w:r>
        <w:rPr/>
        <w:t>Clinical</w:t>
      </w:r>
      <w:r>
        <w:rPr>
          <w:spacing w:val="-7"/>
        </w:rPr>
        <w:t> </w:t>
      </w:r>
      <w:r>
        <w:rPr/>
        <w:t>Trial</w:t>
      </w:r>
      <w:r>
        <w:rPr>
          <w:spacing w:val="-7"/>
        </w:rPr>
        <w:t> </w:t>
      </w:r>
      <w:r>
        <w:rPr/>
        <w:t>of</w:t>
      </w:r>
      <w:r>
        <w:rPr>
          <w:spacing w:val="-8"/>
        </w:rPr>
        <w:t> </w:t>
      </w:r>
      <w:r>
        <w:rPr/>
        <w:t>Dichloroacetate</w:t>
      </w:r>
      <w:r>
        <w:rPr>
          <w:spacing w:val="-8"/>
        </w:rPr>
        <w:t> </w:t>
      </w:r>
      <w:r>
        <w:rPr/>
        <w:t>for</w:t>
      </w:r>
      <w:r>
        <w:rPr>
          <w:spacing w:val="-9"/>
        </w:rPr>
        <w:t> </w:t>
      </w:r>
      <w:r>
        <w:rPr/>
        <w:t>Treatment</w:t>
      </w:r>
      <w:r>
        <w:rPr>
          <w:spacing w:val="-7"/>
        </w:rPr>
        <w:t> </w:t>
      </w:r>
      <w:r>
        <w:rPr/>
        <w:t>of</w:t>
      </w:r>
      <w:r>
        <w:rPr>
          <w:spacing w:val="-8"/>
        </w:rPr>
        <w:t> </w:t>
      </w:r>
      <w:r>
        <w:rPr/>
        <w:t>Congenital</w:t>
      </w:r>
      <w:r>
        <w:rPr>
          <w:spacing w:val="-7"/>
        </w:rPr>
        <w:t> </w:t>
      </w:r>
      <w:r>
        <w:rPr/>
        <w:t>Lactic Acidosis in Children </w:t>
      </w:r>
      <w:r>
        <w:rPr>
          <w:spacing w:val="-4"/>
        </w:rPr>
        <w:t>». </w:t>
      </w:r>
      <w:r>
        <w:rPr>
          <w:i/>
        </w:rPr>
        <w:t>Pediatrics </w:t>
      </w:r>
      <w:r>
        <w:rPr/>
        <w:t>117 (5):</w:t>
      </w:r>
      <w:r>
        <w:rPr>
          <w:spacing w:val="5"/>
        </w:rPr>
        <w:t> </w:t>
      </w:r>
      <w:r>
        <w:rPr/>
        <w:t>1519</w:t>
      </w:r>
      <w:r>
        <w:rPr>
          <w:rFonts w:ascii="Cambria Math" w:hAnsi="Cambria Math"/>
        </w:rPr>
        <w:t>‑</w:t>
      </w:r>
      <w:r>
        <w:rPr/>
        <w:t>31.</w:t>
      </w:r>
    </w:p>
    <w:p>
      <w:pPr>
        <w:pStyle w:val="BodyText"/>
        <w:ind w:left="836" w:right="113" w:hanging="720"/>
        <w:jc w:val="both"/>
      </w:pPr>
      <w:r>
        <w:rPr/>
        <w:t>Stein, M, H Lin, C Jeyamohan, D Dvorzhinski, M Gounder, K Bray, S Eddy, S Goodin, E White, et R S Dipaola. 2010. « Targeting Tumor Metabolism with 2-Deoxyglucose in Patients with Castrate-Resistant Prostate Cancer and Advanced Malignancies ». </w:t>
      </w:r>
      <w:r>
        <w:rPr>
          <w:i/>
        </w:rPr>
        <w:t>The </w:t>
      </w:r>
      <w:r>
        <w:rPr>
          <w:i/>
        </w:rPr>
        <w:t>Prostate </w:t>
      </w:r>
      <w:r>
        <w:rPr/>
        <w:t>70 (13): 1388</w:t>
      </w:r>
      <w:r>
        <w:rPr>
          <w:rFonts w:ascii="Cambria Math" w:hAnsi="Cambria Math"/>
        </w:rPr>
        <w:t>‑</w:t>
      </w:r>
      <w:r>
        <w:rPr/>
        <w:t>94.</w:t>
      </w:r>
    </w:p>
    <w:p>
      <w:pPr>
        <w:pStyle w:val="BodyText"/>
        <w:spacing w:line="272" w:lineRule="exact" w:before="2"/>
        <w:ind w:left="116"/>
      </w:pPr>
      <w:r>
        <w:rPr/>
        <w:t>Stohs, S J, H G Preuss, S E Ohia, G R Kaats, C L Keen, L D Williams, et G A Burdock. 2009.</w:t>
      </w:r>
    </w:p>
    <w:p>
      <w:pPr>
        <w:pStyle w:val="BodyText"/>
        <w:ind w:left="836"/>
        <w:jc w:val="both"/>
      </w:pPr>
      <w:r>
        <w:rPr/>
        <w:t>«  No  evidence  demonstrating  hepatotoxicity  associated  with  hydroxycitric  acid ».</w:t>
      </w:r>
    </w:p>
    <w:p>
      <w:pPr>
        <w:spacing w:line="279" w:lineRule="exact" w:before="3"/>
        <w:ind w:left="836" w:right="0" w:firstLine="0"/>
        <w:jc w:val="both"/>
        <w:rPr>
          <w:sz w:val="24"/>
        </w:rPr>
      </w:pPr>
      <w:r>
        <w:rPr>
          <w:i/>
          <w:sz w:val="24"/>
        </w:rPr>
        <w:t>World Journal of Gastroenterology : WJG </w:t>
      </w:r>
      <w:r>
        <w:rPr>
          <w:sz w:val="24"/>
        </w:rPr>
        <w:t>15 (32): 4087</w:t>
      </w:r>
      <w:r>
        <w:rPr>
          <w:rFonts w:ascii="Cambria Math" w:hAnsi="Cambria Math"/>
          <w:sz w:val="24"/>
        </w:rPr>
        <w:t>‑</w:t>
      </w:r>
      <w:r>
        <w:rPr>
          <w:sz w:val="24"/>
        </w:rPr>
        <w:t>89.</w:t>
      </w:r>
    </w:p>
    <w:p>
      <w:pPr>
        <w:pStyle w:val="BodyText"/>
        <w:spacing w:line="242" w:lineRule="auto"/>
        <w:ind w:left="836" w:right="116" w:hanging="720"/>
        <w:jc w:val="both"/>
      </w:pPr>
      <w:r>
        <w:rPr/>
        <w:t>Suissa, S, et L Azoulay. 2012. « Metformin and the Risk of Cancer: Time-Related Biases in Observational Studies ». </w:t>
      </w:r>
      <w:r>
        <w:rPr>
          <w:i/>
        </w:rPr>
        <w:t>Diabetes Care </w:t>
      </w:r>
      <w:r>
        <w:rPr/>
        <w:t>35 (12): 2665</w:t>
      </w:r>
      <w:r>
        <w:rPr>
          <w:rFonts w:ascii="Cambria Math" w:hAnsi="Cambria Math"/>
        </w:rPr>
        <w:t>‑</w:t>
      </w:r>
      <w:r>
        <w:rPr/>
        <w:t>73.</w:t>
      </w:r>
    </w:p>
    <w:p>
      <w:pPr>
        <w:pStyle w:val="BodyText"/>
        <w:spacing w:line="242" w:lineRule="auto"/>
        <w:ind w:left="836" w:right="111" w:hanging="720"/>
        <w:jc w:val="both"/>
      </w:pPr>
      <w:r>
        <w:rPr/>
        <w:t>Sullivan,</w:t>
      </w:r>
      <w:r>
        <w:rPr>
          <w:spacing w:val="-9"/>
        </w:rPr>
        <w:t> </w:t>
      </w:r>
      <w:r>
        <w:rPr/>
        <w:t>E</w:t>
      </w:r>
      <w:r>
        <w:rPr>
          <w:spacing w:val="-9"/>
        </w:rPr>
        <w:t> </w:t>
      </w:r>
      <w:r>
        <w:rPr/>
        <w:t>J,</w:t>
      </w:r>
      <w:r>
        <w:rPr>
          <w:spacing w:val="-11"/>
        </w:rPr>
        <w:t> </w:t>
      </w:r>
      <w:r>
        <w:rPr/>
        <w:t>M</w:t>
      </w:r>
      <w:r>
        <w:rPr>
          <w:spacing w:val="-8"/>
        </w:rPr>
        <w:t> </w:t>
      </w:r>
      <w:r>
        <w:rPr/>
        <w:t>Kurtoglu,</w:t>
      </w:r>
      <w:r>
        <w:rPr>
          <w:spacing w:val="-9"/>
        </w:rPr>
        <w:t> </w:t>
      </w:r>
      <w:r>
        <w:rPr/>
        <w:t>R</w:t>
      </w:r>
      <w:r>
        <w:rPr>
          <w:spacing w:val="-8"/>
        </w:rPr>
        <w:t> </w:t>
      </w:r>
      <w:r>
        <w:rPr/>
        <w:t>Brenneman,</w:t>
      </w:r>
      <w:r>
        <w:rPr>
          <w:spacing w:val="-9"/>
        </w:rPr>
        <w:t> </w:t>
      </w:r>
      <w:r>
        <w:rPr/>
        <w:t>H</w:t>
      </w:r>
      <w:r>
        <w:rPr>
          <w:spacing w:val="-5"/>
        </w:rPr>
        <w:t> </w:t>
      </w:r>
      <w:r>
        <w:rPr/>
        <w:t>Liu,</w:t>
      </w:r>
      <w:r>
        <w:rPr>
          <w:spacing w:val="-8"/>
        </w:rPr>
        <w:t> </w:t>
      </w:r>
      <w:r>
        <w:rPr/>
        <w:t>et</w:t>
      </w:r>
      <w:r>
        <w:rPr>
          <w:spacing w:val="-6"/>
        </w:rPr>
        <w:t> </w:t>
      </w:r>
      <w:r>
        <w:rPr/>
        <w:t>T</w:t>
      </w:r>
      <w:r>
        <w:rPr>
          <w:spacing w:val="-9"/>
        </w:rPr>
        <w:t> </w:t>
      </w:r>
      <w:r>
        <w:rPr/>
        <w:t>J</w:t>
      </w:r>
      <w:r>
        <w:rPr>
          <w:spacing w:val="-6"/>
        </w:rPr>
        <w:t> </w:t>
      </w:r>
      <w:r>
        <w:rPr/>
        <w:t>Lampidis.</w:t>
      </w:r>
      <w:r>
        <w:rPr>
          <w:spacing w:val="-7"/>
        </w:rPr>
        <w:t> </w:t>
      </w:r>
      <w:r>
        <w:rPr/>
        <w:t>2014a.</w:t>
      </w:r>
      <w:r>
        <w:rPr>
          <w:spacing w:val="-4"/>
        </w:rPr>
        <w:t> </w:t>
      </w:r>
      <w:r>
        <w:rPr/>
        <w:t>«</w:t>
      </w:r>
      <w:r>
        <w:rPr>
          <w:spacing w:val="-6"/>
        </w:rPr>
        <w:t> </w:t>
      </w:r>
      <w:r>
        <w:rPr/>
        <w:t>Targeting</w:t>
      </w:r>
      <w:r>
        <w:rPr>
          <w:spacing w:val="-11"/>
        </w:rPr>
        <w:t> </w:t>
      </w:r>
      <w:r>
        <w:rPr/>
        <w:t>Cisplatin- Resistant Human Tumor Cells with Metabolic Inhibitors </w:t>
      </w:r>
      <w:r>
        <w:rPr>
          <w:spacing w:val="-4"/>
        </w:rPr>
        <w:t>». </w:t>
      </w:r>
      <w:r>
        <w:rPr>
          <w:i/>
        </w:rPr>
        <w:t>Cancer Chemotherapy and </w:t>
      </w:r>
      <w:r>
        <w:rPr>
          <w:i/>
        </w:rPr>
        <w:t>Pharmacology </w:t>
      </w:r>
      <w:r>
        <w:rPr/>
        <w:t>73 (2):</w:t>
      </w:r>
      <w:r>
        <w:rPr>
          <w:spacing w:val="-4"/>
        </w:rPr>
        <w:t> </w:t>
      </w:r>
      <w:r>
        <w:rPr/>
        <w:t>417</w:t>
      </w:r>
      <w:r>
        <w:rPr>
          <w:rFonts w:ascii="Cambria Math" w:hAnsi="Cambria Math"/>
        </w:rPr>
        <w:t>‑</w:t>
      </w:r>
      <w:r>
        <w:rPr/>
        <w:t>27.</w:t>
      </w:r>
    </w:p>
    <w:p>
      <w:pPr>
        <w:pStyle w:val="BodyText"/>
        <w:spacing w:line="272" w:lineRule="exact" w:before="4"/>
        <w:ind w:left="116"/>
      </w:pPr>
      <w:r>
        <w:rPr/>
        <w:t>Sullivan, L B, et N S Chandel. 2014b. « Mitochondrial reactive oxygen species and cancer ».</w:t>
      </w:r>
    </w:p>
    <w:p>
      <w:pPr>
        <w:spacing w:before="0"/>
        <w:ind w:left="836" w:right="0" w:firstLine="0"/>
        <w:jc w:val="both"/>
        <w:rPr>
          <w:sz w:val="24"/>
        </w:rPr>
      </w:pPr>
      <w:r>
        <w:rPr>
          <w:i/>
          <w:sz w:val="24"/>
        </w:rPr>
        <w:t>Cancer &amp; Metabolism </w:t>
      </w:r>
      <w:r>
        <w:rPr>
          <w:sz w:val="24"/>
        </w:rPr>
        <w:t>2 (11): 86-92.</w:t>
      </w:r>
    </w:p>
    <w:p>
      <w:pPr>
        <w:spacing w:line="242" w:lineRule="auto" w:before="0"/>
        <w:ind w:left="836" w:right="115" w:hanging="720"/>
        <w:jc w:val="both"/>
        <w:rPr>
          <w:sz w:val="24"/>
        </w:rPr>
      </w:pPr>
      <w:r>
        <w:rPr>
          <w:sz w:val="24"/>
        </w:rPr>
        <w:t>Szablewski, </w:t>
      </w:r>
      <w:r>
        <w:rPr>
          <w:spacing w:val="-3"/>
          <w:sz w:val="24"/>
        </w:rPr>
        <w:t>L. </w:t>
      </w:r>
      <w:r>
        <w:rPr>
          <w:sz w:val="24"/>
        </w:rPr>
        <w:t>2013. « Expression of glucose transporters in cancers </w:t>
      </w:r>
      <w:r>
        <w:rPr>
          <w:spacing w:val="-4"/>
          <w:sz w:val="24"/>
        </w:rPr>
        <w:t>».</w:t>
      </w:r>
      <w:r>
        <w:rPr>
          <w:spacing w:val="51"/>
          <w:sz w:val="24"/>
        </w:rPr>
        <w:t> </w:t>
      </w:r>
      <w:r>
        <w:rPr>
          <w:i/>
          <w:sz w:val="24"/>
        </w:rPr>
        <w:t>Biochimica et </w:t>
      </w:r>
      <w:r>
        <w:rPr>
          <w:i/>
          <w:sz w:val="24"/>
        </w:rPr>
        <w:t>Biophysica Acta (BBA) - Reviews on Cancer </w:t>
      </w:r>
      <w:r>
        <w:rPr>
          <w:sz w:val="24"/>
        </w:rPr>
        <w:t>1835 (2): 164</w:t>
      </w:r>
      <w:r>
        <w:rPr>
          <w:rFonts w:ascii="Cambria Math" w:hAnsi="Cambria Math"/>
          <w:sz w:val="24"/>
        </w:rPr>
        <w:t>‑</w:t>
      </w:r>
      <w:r>
        <w:rPr>
          <w:sz w:val="24"/>
        </w:rPr>
        <w:t>69.</w:t>
      </w:r>
    </w:p>
    <w:p>
      <w:pPr>
        <w:pStyle w:val="BodyText"/>
        <w:spacing w:line="270" w:lineRule="exact"/>
        <w:ind w:left="116"/>
      </w:pPr>
      <w:r>
        <w:rPr/>
        <w:t>Szokolóczi, O, R Schwab, I Peták, L Orfi, A Pap, A N Eberle, T Szüts, et G Kéril. 2005.</w:t>
      </w:r>
    </w:p>
    <w:p>
      <w:pPr>
        <w:spacing w:line="242" w:lineRule="auto" w:before="0"/>
        <w:ind w:left="836" w:right="118" w:firstLine="0"/>
        <w:jc w:val="both"/>
        <w:rPr>
          <w:sz w:val="24"/>
        </w:rPr>
      </w:pPr>
      <w:r>
        <w:rPr>
          <w:sz w:val="24"/>
        </w:rPr>
        <w:t>« TT232, a Novel Signal Transduction Inhibitory Compound in the Therapy of Cancer and Inflammatory Diseases ». </w:t>
      </w:r>
      <w:r>
        <w:rPr>
          <w:i/>
          <w:sz w:val="24"/>
        </w:rPr>
        <w:t>Journal of Receptor and Signal Transduction Research </w:t>
      </w:r>
      <w:r>
        <w:rPr>
          <w:sz w:val="24"/>
        </w:rPr>
        <w:t>25 (4</w:t>
      </w:r>
      <w:r>
        <w:rPr>
          <w:rFonts w:ascii="Cambria Math" w:hAnsi="Cambria Math"/>
          <w:sz w:val="24"/>
        </w:rPr>
        <w:t>‑</w:t>
      </w:r>
      <w:r>
        <w:rPr>
          <w:sz w:val="24"/>
        </w:rPr>
        <w:t>6): 217</w:t>
      </w:r>
      <w:r>
        <w:rPr>
          <w:rFonts w:ascii="Cambria Math" w:hAnsi="Cambria Math"/>
          <w:sz w:val="24"/>
        </w:rPr>
        <w:t>‑</w:t>
      </w:r>
      <w:r>
        <w:rPr>
          <w:sz w:val="24"/>
        </w:rPr>
        <w:t>35.</w:t>
      </w:r>
    </w:p>
    <w:p>
      <w:pPr>
        <w:pStyle w:val="BodyText"/>
        <w:spacing w:line="270" w:lineRule="exact"/>
        <w:ind w:left="116"/>
      </w:pPr>
      <w:r>
        <w:rPr/>
        <w:t>Tafreshi, N K, M C Lloyd, J B Proemsey, M M Bui, J Kim, R J Gillies, et D L Morse. 2016.</w:t>
      </w:r>
    </w:p>
    <w:p>
      <w:pPr>
        <w:spacing w:line="240" w:lineRule="auto" w:before="0"/>
        <w:ind w:left="836" w:right="115" w:firstLine="0"/>
        <w:jc w:val="both"/>
        <w:rPr>
          <w:sz w:val="24"/>
        </w:rPr>
      </w:pPr>
      <w:r>
        <w:rPr>
          <w:sz w:val="24"/>
        </w:rPr>
        <w:t>« Evaluation of CAIX and CAXII Expression in Breast Cancer at Varied O2 Levels: CAIX Is the Superior Surrogate Imaging Biomarker of Tumor Hypoxia ». </w:t>
      </w:r>
      <w:r>
        <w:rPr>
          <w:i/>
          <w:sz w:val="24"/>
        </w:rPr>
        <w:t>Molecular </w:t>
      </w:r>
      <w:r>
        <w:rPr>
          <w:i/>
          <w:sz w:val="24"/>
        </w:rPr>
        <w:t>Imaging and Biology: MIB: The Official Publication of the Academy of Molecular Imaging </w:t>
      </w:r>
      <w:r>
        <w:rPr>
          <w:sz w:val="24"/>
        </w:rPr>
        <w:t>18 (2): 219</w:t>
      </w:r>
      <w:r>
        <w:rPr>
          <w:rFonts w:ascii="Cambria Math" w:hAnsi="Cambria Math"/>
          <w:sz w:val="24"/>
        </w:rPr>
        <w:t>‑</w:t>
      </w:r>
      <w:r>
        <w:rPr>
          <w:sz w:val="24"/>
        </w:rPr>
        <w:t>31.</w:t>
      </w:r>
    </w:p>
    <w:p>
      <w:pPr>
        <w:spacing w:line="240" w:lineRule="auto" w:before="0"/>
        <w:ind w:left="836" w:right="111" w:hanging="720"/>
        <w:jc w:val="both"/>
        <w:rPr>
          <w:sz w:val="24"/>
        </w:rPr>
      </w:pPr>
      <w:r>
        <w:rPr>
          <w:sz w:val="24"/>
        </w:rPr>
        <w:t>Talbot, D C, J von Pawel, E Cattell, S M Yule, C Johnston, A S Zandvliet, A D R Huitema, et al. 2007. « A Randomized Phase II Pharmacokinetic and Pharmacodynamic Study of Indisulam as Second-Line Therapy in Patients with Advanced Non-Small Cell Lung Cancer ». </w:t>
      </w:r>
      <w:r>
        <w:rPr>
          <w:i/>
          <w:sz w:val="24"/>
        </w:rPr>
        <w:t>Clinical Cancer Research: An Official Journal of the American Association </w:t>
      </w:r>
      <w:r>
        <w:rPr>
          <w:i/>
          <w:sz w:val="24"/>
        </w:rPr>
        <w:t>for Cancer Research </w:t>
      </w:r>
      <w:r>
        <w:rPr>
          <w:sz w:val="24"/>
        </w:rPr>
        <w:t>13 (6): 1816</w:t>
      </w:r>
      <w:r>
        <w:rPr>
          <w:rFonts w:ascii="Cambria Math" w:hAnsi="Cambria Math"/>
          <w:sz w:val="24"/>
        </w:rPr>
        <w:t>‑</w:t>
      </w:r>
      <w:r>
        <w:rPr>
          <w:sz w:val="24"/>
        </w:rPr>
        <w:t>22.</w:t>
      </w:r>
    </w:p>
    <w:p>
      <w:pPr>
        <w:pStyle w:val="BodyText"/>
        <w:spacing w:line="242" w:lineRule="auto"/>
        <w:ind w:left="836" w:right="115" w:hanging="720"/>
        <w:jc w:val="both"/>
      </w:pPr>
      <w:r>
        <w:rPr/>
        <w:t>Tennant, D A, R V Durán, et E Gottlieb. 2010. « Targeting Metabolic Transformation for Cancer Therapy ». </w:t>
      </w:r>
      <w:r>
        <w:rPr>
          <w:i/>
        </w:rPr>
        <w:t>Nature Reviews Cancer </w:t>
      </w:r>
      <w:r>
        <w:rPr/>
        <w:t>10 (4): 267</w:t>
      </w:r>
      <w:r>
        <w:rPr>
          <w:rFonts w:ascii="Cambria Math" w:hAnsi="Cambria Math"/>
        </w:rPr>
        <w:t>‑</w:t>
      </w:r>
      <w:r>
        <w:rPr/>
        <w:t>77.</w:t>
      </w:r>
    </w:p>
    <w:p>
      <w:pPr>
        <w:pStyle w:val="BodyText"/>
        <w:spacing w:line="242" w:lineRule="auto"/>
        <w:ind w:left="836" w:right="120" w:hanging="720"/>
        <w:jc w:val="both"/>
      </w:pPr>
      <w:r>
        <w:rPr/>
        <w:t>Therasse, P, S G Arbuck, E A Eisenhauer, J Wanders, R S Kaplan, L Rubinstein, J Verweij, et al. 2000. « New Guidelines to Evaluate the Response to Treatment in Solid Tumors ». </w:t>
      </w:r>
      <w:r>
        <w:rPr>
          <w:i/>
        </w:rPr>
        <w:t>Journal of the National Cancer Institute </w:t>
      </w:r>
      <w:r>
        <w:rPr/>
        <w:t>92 (3): 205</w:t>
      </w:r>
      <w:r>
        <w:rPr>
          <w:rFonts w:ascii="Cambria Math" w:hAnsi="Cambria Math"/>
        </w:rPr>
        <w:t>‑</w:t>
      </w:r>
      <w:r>
        <w:rPr/>
        <w:t>16.</w:t>
      </w:r>
    </w:p>
    <w:p>
      <w:pPr>
        <w:pStyle w:val="BodyText"/>
        <w:spacing w:line="242" w:lineRule="auto"/>
        <w:ind w:left="836" w:right="121" w:hanging="720"/>
        <w:jc w:val="both"/>
      </w:pPr>
      <w:r>
        <w:rPr/>
        <w:t>Thomas, S L, D Zhong, W Zhou, S Malik, D Liotta, J P Snyder, E Hamel, et P Giannakakou. 2008. « EF24, a Novel Curcumin Analog, Disrupts the Microtubule Cytoskeleton and Inhibits HIF-1 ». </w:t>
      </w:r>
      <w:r>
        <w:rPr>
          <w:i/>
        </w:rPr>
        <w:t>Cell Cycle (Georgetown, Tex.) </w:t>
      </w:r>
      <w:r>
        <w:rPr/>
        <w:t>7 (15): 2409</w:t>
      </w:r>
      <w:r>
        <w:rPr>
          <w:rFonts w:ascii="Cambria Math" w:hAnsi="Cambria Math"/>
        </w:rPr>
        <w:t>‑</w:t>
      </w:r>
      <w:r>
        <w:rPr/>
        <w:t>17.</w:t>
      </w:r>
    </w:p>
    <w:p>
      <w:pPr>
        <w:spacing w:after="0" w:line="242" w:lineRule="auto"/>
        <w:jc w:val="both"/>
        <w:sectPr>
          <w:pgSz w:w="11910" w:h="16840"/>
          <w:pgMar w:header="0" w:footer="995" w:top="1320" w:bottom="1240" w:left="1300" w:right="1300"/>
        </w:sectPr>
      </w:pPr>
    </w:p>
    <w:p>
      <w:pPr>
        <w:pStyle w:val="BodyText"/>
        <w:spacing w:before="70"/>
        <w:ind w:left="836" w:right="116" w:hanging="720"/>
        <w:jc w:val="both"/>
      </w:pPr>
      <w:r>
        <w:rPr/>
        <w:t>Thornburg, J M, K K Nelson, B F Clem, A N Lane, S Arumugam, A Simmons, J W Eaton, S Telang, et J Chesney. 2008. « Targeting aspartate aminotransferase in breast cancer ». </w:t>
      </w:r>
      <w:r>
        <w:rPr>
          <w:i/>
        </w:rPr>
        <w:t>Breast Cancer Research </w:t>
      </w:r>
      <w:r>
        <w:rPr/>
        <w:t>10 (84): 215-23.</w:t>
      </w:r>
    </w:p>
    <w:p>
      <w:pPr>
        <w:pStyle w:val="BodyText"/>
        <w:ind w:left="836" w:right="115" w:hanging="720"/>
        <w:jc w:val="both"/>
      </w:pPr>
      <w:r>
        <w:rPr/>
        <w:t>Tilley, C, G Deep, C Agarwal, M F Wempe, D Biedermann, K Valentová, V Kren, et R Agarwal. 2016. « Silibinin and Its 2,3-Dehydro-Derivative Inhibit Basal Cell Carcinoma Growth via Suppression of Mitogenic Signaling and Transcription Factors Activation ». </w:t>
      </w:r>
      <w:r>
        <w:rPr>
          <w:i/>
        </w:rPr>
        <w:t>Molecular Carcinogenesis </w:t>
      </w:r>
      <w:r>
        <w:rPr/>
        <w:t>55 (1): 3</w:t>
      </w:r>
      <w:r>
        <w:rPr>
          <w:rFonts w:ascii="Cambria Math" w:hAnsi="Cambria Math"/>
        </w:rPr>
        <w:t>‑</w:t>
      </w:r>
      <w:r>
        <w:rPr/>
        <w:t>14.</w:t>
      </w:r>
    </w:p>
    <w:p>
      <w:pPr>
        <w:spacing w:line="242" w:lineRule="auto" w:before="0"/>
        <w:ind w:left="836" w:right="117" w:hanging="720"/>
        <w:jc w:val="both"/>
        <w:rPr>
          <w:sz w:val="24"/>
        </w:rPr>
      </w:pPr>
      <w:r>
        <w:rPr>
          <w:sz w:val="24"/>
        </w:rPr>
        <w:t>Touret, M, S Boysen, et M E Nadeau. 2010. « Prospective Evaluation of Clinically Relevant Type B Hyperlactatemia in Dogs with Cancer </w:t>
      </w:r>
      <w:r>
        <w:rPr>
          <w:spacing w:val="-4"/>
          <w:sz w:val="24"/>
        </w:rPr>
        <w:t>».</w:t>
      </w:r>
      <w:r>
        <w:rPr>
          <w:spacing w:val="51"/>
          <w:sz w:val="24"/>
        </w:rPr>
        <w:t> </w:t>
      </w:r>
      <w:r>
        <w:rPr>
          <w:i/>
          <w:sz w:val="24"/>
        </w:rPr>
        <w:t>Journal of Veterinary Internal </w:t>
      </w:r>
      <w:r>
        <w:rPr>
          <w:i/>
          <w:sz w:val="24"/>
        </w:rPr>
        <w:t>Medicine </w:t>
      </w:r>
      <w:r>
        <w:rPr>
          <w:sz w:val="24"/>
        </w:rPr>
        <w:t>24 (6): 1458</w:t>
      </w:r>
      <w:r>
        <w:rPr>
          <w:rFonts w:ascii="Cambria Math" w:hAnsi="Cambria Math"/>
          <w:sz w:val="24"/>
        </w:rPr>
        <w:t>‑</w:t>
      </w:r>
      <w:r>
        <w:rPr>
          <w:sz w:val="24"/>
        </w:rPr>
        <w:t>61.</w:t>
      </w:r>
    </w:p>
    <w:p>
      <w:pPr>
        <w:pStyle w:val="BodyText"/>
        <w:ind w:left="836" w:right="1655" w:hanging="720"/>
      </w:pPr>
      <w:r>
        <w:rPr/>
        <w:t>US National Library of Medicine. </w:t>
      </w:r>
      <w:r>
        <w:rPr>
          <w:i/>
        </w:rPr>
        <w:t>Toxicology data Network</w:t>
      </w:r>
      <w:r>
        <w:rPr/>
        <w:t>. [en ligne], URL : https://toxnet.nlm.nih.gov/. [consulté le 09 juin 2017]</w:t>
      </w:r>
    </w:p>
    <w:p>
      <w:pPr>
        <w:pStyle w:val="BodyText"/>
        <w:spacing w:before="5"/>
        <w:ind w:left="114" w:right="112"/>
        <w:jc w:val="right"/>
      </w:pPr>
      <w:r>
        <w:rPr/>
        <w:t>Upadhyay, M, J Samal, M Kandpal, O V Singh, et P Vivekanandan. 2013. « The Warburg effect: Insights from the past decade </w:t>
      </w:r>
      <w:r>
        <w:rPr>
          <w:spacing w:val="-4"/>
        </w:rPr>
        <w:t>». </w:t>
      </w:r>
      <w:r>
        <w:rPr>
          <w:i/>
        </w:rPr>
        <w:t>Pharmacology &amp; Therapeutics </w:t>
      </w:r>
      <w:r>
        <w:rPr/>
        <w:t>137 (3): 318</w:t>
      </w:r>
      <w:r>
        <w:rPr>
          <w:rFonts w:ascii="Cambria Math" w:hAnsi="Cambria Math"/>
        </w:rPr>
        <w:t>‑</w:t>
      </w:r>
      <w:r>
        <w:rPr/>
        <w:t>30. Vaishampayan, U, D Shevrin, M Stein, L Heilbrun, S Land, K Stark, J Li, et al. 2015. « Phase</w:t>
      </w:r>
      <w:r>
        <w:rPr>
          <w:w w:val="99"/>
        </w:rPr>
        <w:t> </w:t>
      </w:r>
      <w:r>
        <w:rPr/>
        <w:t>II Trial of Carboplatin, Everolimus, and Prednisone in</w:t>
      </w:r>
      <w:r>
        <w:rPr>
          <w:spacing w:val="58"/>
        </w:rPr>
        <w:t> </w:t>
      </w:r>
      <w:r>
        <w:rPr/>
        <w:t>Metastatic Castration-Resistant Prostate Cancer Pretreated With Docetaxel Chemotherapy: A Prostate Cancer Clinical</w:t>
      </w:r>
    </w:p>
    <w:p>
      <w:pPr>
        <w:pStyle w:val="BodyText"/>
        <w:spacing w:line="279" w:lineRule="exact" w:before="2"/>
        <w:ind w:left="836"/>
        <w:jc w:val="both"/>
      </w:pPr>
      <w:r>
        <w:rPr/>
        <w:t>Trial Consortium Study ». </w:t>
      </w:r>
      <w:r>
        <w:rPr>
          <w:i/>
        </w:rPr>
        <w:t>Urology </w:t>
      </w:r>
      <w:r>
        <w:rPr/>
        <w:t>86 (6): 1206</w:t>
      </w:r>
      <w:r>
        <w:rPr>
          <w:rFonts w:ascii="Cambria Math" w:hAnsi="Cambria Math"/>
        </w:rPr>
        <w:t>‑</w:t>
      </w:r>
      <w:r>
        <w:rPr/>
        <w:t>11.</w:t>
      </w:r>
    </w:p>
    <w:p>
      <w:pPr>
        <w:pStyle w:val="BodyText"/>
        <w:spacing w:line="274" w:lineRule="exact"/>
        <w:ind w:left="116"/>
      </w:pPr>
      <w:r>
        <w:rPr/>
        <w:t>Vali, M, J A Vossen, M Buijs, J M Engles, E Liapi, V P Ventura, A Khwaja, et al. 2008.</w:t>
      </w:r>
    </w:p>
    <w:p>
      <w:pPr>
        <w:spacing w:line="242" w:lineRule="auto" w:before="0"/>
        <w:ind w:left="836" w:right="115" w:firstLine="0"/>
        <w:jc w:val="both"/>
        <w:rPr>
          <w:sz w:val="24"/>
        </w:rPr>
      </w:pPr>
      <w:r>
        <w:rPr>
          <w:sz w:val="24"/>
        </w:rPr>
        <w:t>« Targeting of VX2 Rabbit Liver Tumor by Selective Delivery of 3-Bromopyruvate: A Biodistribution and Survival Study ». </w:t>
      </w:r>
      <w:r>
        <w:rPr>
          <w:i/>
          <w:sz w:val="24"/>
        </w:rPr>
        <w:t>Journal of Pharmacology and Experimental </w:t>
      </w:r>
      <w:r>
        <w:rPr>
          <w:i/>
          <w:sz w:val="24"/>
        </w:rPr>
        <w:t>Therapeutics </w:t>
      </w:r>
      <w:r>
        <w:rPr>
          <w:sz w:val="24"/>
        </w:rPr>
        <w:t>327 (1): 32</w:t>
      </w:r>
      <w:r>
        <w:rPr>
          <w:rFonts w:ascii="Cambria Math" w:hAnsi="Cambria Math"/>
          <w:sz w:val="24"/>
        </w:rPr>
        <w:t>‑</w:t>
      </w:r>
      <w:r>
        <w:rPr>
          <w:sz w:val="24"/>
        </w:rPr>
        <w:t>37.</w:t>
      </w:r>
    </w:p>
    <w:p>
      <w:pPr>
        <w:pStyle w:val="BodyText"/>
        <w:spacing w:line="242" w:lineRule="auto"/>
        <w:ind w:left="836" w:right="113" w:hanging="720"/>
        <w:jc w:val="both"/>
      </w:pPr>
      <w:r>
        <w:rPr/>
        <w:t>Vander Heiden, M G, L C Cantley, et C B Thompson. 2009. « Understanding the Warburg Effect: The Metabolic Requirements of Cell Proliferation ». </w:t>
      </w:r>
      <w:r>
        <w:rPr>
          <w:i/>
        </w:rPr>
        <w:t>Science (New York, N.Y.) </w:t>
      </w:r>
      <w:r>
        <w:rPr/>
        <w:t>324 (5930): 1029</w:t>
      </w:r>
      <w:r>
        <w:rPr>
          <w:rFonts w:ascii="Cambria Math" w:hAnsi="Cambria Math"/>
        </w:rPr>
        <w:t>‑</w:t>
      </w:r>
      <w:r>
        <w:rPr/>
        <w:t>33.</w:t>
      </w:r>
    </w:p>
    <w:p>
      <w:pPr>
        <w:pStyle w:val="BodyText"/>
        <w:spacing w:line="242" w:lineRule="auto" w:before="3"/>
        <w:ind w:left="836" w:right="114" w:hanging="720"/>
        <w:jc w:val="both"/>
      </w:pPr>
      <w:r>
        <w:rPr/>
        <w:t>Vander</w:t>
      </w:r>
      <w:r>
        <w:rPr>
          <w:spacing w:val="-5"/>
        </w:rPr>
        <w:t> </w:t>
      </w:r>
      <w:r>
        <w:rPr/>
        <w:t>Heiden,</w:t>
      </w:r>
      <w:r>
        <w:rPr>
          <w:spacing w:val="-7"/>
        </w:rPr>
        <w:t> </w:t>
      </w:r>
      <w:r>
        <w:rPr/>
        <w:t>M</w:t>
      </w:r>
      <w:r>
        <w:rPr>
          <w:spacing w:val="-6"/>
        </w:rPr>
        <w:t> </w:t>
      </w:r>
      <w:r>
        <w:rPr/>
        <w:t>G,</w:t>
      </w:r>
      <w:r>
        <w:rPr>
          <w:spacing w:val="-4"/>
        </w:rPr>
        <w:t> </w:t>
      </w:r>
      <w:r>
        <w:rPr/>
        <w:t>H</w:t>
      </w:r>
      <w:r>
        <w:rPr>
          <w:spacing w:val="-4"/>
        </w:rPr>
        <w:t> </w:t>
      </w:r>
      <w:r>
        <w:rPr/>
        <w:t>R</w:t>
      </w:r>
      <w:r>
        <w:rPr>
          <w:spacing w:val="-5"/>
        </w:rPr>
        <w:t> </w:t>
      </w:r>
      <w:r>
        <w:rPr/>
        <w:t>Christofk,</w:t>
      </w:r>
      <w:r>
        <w:rPr>
          <w:spacing w:val="-7"/>
        </w:rPr>
        <w:t> </w:t>
      </w:r>
      <w:r>
        <w:rPr/>
        <w:t>E</w:t>
      </w:r>
      <w:r>
        <w:rPr>
          <w:spacing w:val="-6"/>
        </w:rPr>
        <w:t> </w:t>
      </w:r>
      <w:r>
        <w:rPr/>
        <w:t>Schuman,</w:t>
      </w:r>
      <w:r>
        <w:rPr>
          <w:spacing w:val="-7"/>
        </w:rPr>
        <w:t> </w:t>
      </w:r>
      <w:r>
        <w:rPr/>
        <w:t>A</w:t>
      </w:r>
      <w:r>
        <w:rPr>
          <w:spacing w:val="-6"/>
        </w:rPr>
        <w:t> </w:t>
      </w:r>
      <w:r>
        <w:rPr/>
        <w:t>O</w:t>
      </w:r>
      <w:r>
        <w:rPr>
          <w:spacing w:val="-7"/>
        </w:rPr>
        <w:t> </w:t>
      </w:r>
      <w:r>
        <w:rPr/>
        <w:t>Subtelny,</w:t>
      </w:r>
      <w:r>
        <w:rPr>
          <w:spacing w:val="-6"/>
        </w:rPr>
        <w:t> </w:t>
      </w:r>
      <w:r>
        <w:rPr/>
        <w:t>H</w:t>
      </w:r>
      <w:r>
        <w:rPr>
          <w:spacing w:val="-7"/>
        </w:rPr>
        <w:t> </w:t>
      </w:r>
      <w:r>
        <w:rPr/>
        <w:t>Sharfi,</w:t>
      </w:r>
      <w:r>
        <w:rPr>
          <w:spacing w:val="-3"/>
        </w:rPr>
        <w:t> </w:t>
      </w:r>
      <w:r>
        <w:rPr/>
        <w:t>E</w:t>
      </w:r>
      <w:r>
        <w:rPr>
          <w:spacing w:val="-6"/>
        </w:rPr>
        <w:t> </w:t>
      </w:r>
      <w:r>
        <w:rPr/>
        <w:t>E</w:t>
      </w:r>
      <w:r>
        <w:rPr>
          <w:spacing w:val="-6"/>
        </w:rPr>
        <w:t> </w:t>
      </w:r>
      <w:r>
        <w:rPr/>
        <w:t>Harlow,</w:t>
      </w:r>
      <w:r>
        <w:rPr>
          <w:spacing w:val="-6"/>
        </w:rPr>
        <w:t> </w:t>
      </w:r>
      <w:r>
        <w:rPr/>
        <w:t>J</w:t>
      </w:r>
      <w:r>
        <w:rPr>
          <w:spacing w:val="-4"/>
        </w:rPr>
        <w:t> </w:t>
      </w:r>
      <w:r>
        <w:rPr/>
        <w:t>Xian, et L C Cantley. 2010. « Identification of Small Molecule Inhibitors of Pyruvate Kinase M2 </w:t>
      </w:r>
      <w:r>
        <w:rPr>
          <w:spacing w:val="-4"/>
        </w:rPr>
        <w:t>». </w:t>
      </w:r>
      <w:r>
        <w:rPr>
          <w:i/>
        </w:rPr>
        <w:t>Biochemical Pharmacology </w:t>
      </w:r>
      <w:r>
        <w:rPr/>
        <w:t>79 (8):</w:t>
      </w:r>
      <w:r>
        <w:rPr>
          <w:spacing w:val="5"/>
        </w:rPr>
        <w:t> </w:t>
      </w:r>
      <w:r>
        <w:rPr/>
        <w:t>1118</w:t>
      </w:r>
      <w:r>
        <w:rPr>
          <w:rFonts w:ascii="Cambria Math" w:hAnsi="Cambria Math"/>
        </w:rPr>
        <w:t>‑</w:t>
      </w:r>
      <w:r>
        <w:rPr/>
        <w:t>24.</w:t>
      </w:r>
    </w:p>
    <w:p>
      <w:pPr>
        <w:spacing w:line="242" w:lineRule="auto" w:before="0"/>
        <w:ind w:left="836" w:right="112" w:hanging="720"/>
        <w:jc w:val="both"/>
        <w:rPr>
          <w:sz w:val="24"/>
        </w:rPr>
      </w:pPr>
      <w:r>
        <w:rPr>
          <w:sz w:val="24"/>
        </w:rPr>
        <w:t>Varshney, R, B Dwarakanath, et V Jain. 2005. « Radiosensitization by 6-Aminonicotinamide and 2-Deoxy-D-Glucose in Human Cancer Cells ». </w:t>
      </w:r>
      <w:r>
        <w:rPr>
          <w:i/>
          <w:sz w:val="24"/>
        </w:rPr>
        <w:t>International Journal of Radiation </w:t>
      </w:r>
      <w:r>
        <w:rPr>
          <w:i/>
          <w:sz w:val="24"/>
        </w:rPr>
        <w:t>Biology </w:t>
      </w:r>
      <w:r>
        <w:rPr>
          <w:sz w:val="24"/>
        </w:rPr>
        <w:t>81 (5): 397</w:t>
      </w:r>
      <w:r>
        <w:rPr>
          <w:rFonts w:ascii="Cambria Math" w:hAnsi="Cambria Math"/>
          <w:sz w:val="24"/>
        </w:rPr>
        <w:t>‑</w:t>
      </w:r>
      <w:r>
        <w:rPr>
          <w:sz w:val="24"/>
        </w:rPr>
        <w:t>408.</w:t>
      </w:r>
    </w:p>
    <w:p>
      <w:pPr>
        <w:pStyle w:val="BodyText"/>
        <w:spacing w:line="242" w:lineRule="auto"/>
        <w:ind w:left="836" w:right="114" w:hanging="720"/>
        <w:jc w:val="both"/>
      </w:pPr>
      <w:r>
        <w:rPr/>
        <w:t>Vilà,</w:t>
      </w:r>
      <w:r>
        <w:rPr>
          <w:spacing w:val="-15"/>
        </w:rPr>
        <w:t> </w:t>
      </w:r>
      <w:r>
        <w:rPr/>
        <w:t>M</w:t>
      </w:r>
      <w:r>
        <w:rPr>
          <w:spacing w:val="-14"/>
        </w:rPr>
        <w:t> </w:t>
      </w:r>
      <w:r>
        <w:rPr/>
        <w:t>R,</w:t>
      </w:r>
      <w:r>
        <w:rPr>
          <w:spacing w:val="-17"/>
        </w:rPr>
        <w:t> </w:t>
      </w:r>
      <w:r>
        <w:rPr/>
        <w:t>A</w:t>
      </w:r>
      <w:r>
        <w:rPr>
          <w:spacing w:val="-15"/>
        </w:rPr>
        <w:t> </w:t>
      </w:r>
      <w:r>
        <w:rPr/>
        <w:t>Nicolás,</w:t>
      </w:r>
      <w:r>
        <w:rPr>
          <w:spacing w:val="-17"/>
        </w:rPr>
        <w:t> </w:t>
      </w:r>
      <w:r>
        <w:rPr/>
        <w:t>J</w:t>
      </w:r>
      <w:r>
        <w:rPr>
          <w:spacing w:val="-14"/>
        </w:rPr>
        <w:t> </w:t>
      </w:r>
      <w:r>
        <w:rPr/>
        <w:t>Morote,</w:t>
      </w:r>
      <w:r>
        <w:rPr>
          <w:spacing w:val="-14"/>
        </w:rPr>
        <w:t> </w:t>
      </w:r>
      <w:r>
        <w:rPr/>
        <w:t>et</w:t>
      </w:r>
      <w:r>
        <w:rPr>
          <w:spacing w:val="-14"/>
        </w:rPr>
        <w:t> </w:t>
      </w:r>
      <w:r>
        <w:rPr/>
        <w:t>A</w:t>
      </w:r>
      <w:r>
        <w:rPr>
          <w:spacing w:val="-14"/>
        </w:rPr>
        <w:t> </w:t>
      </w:r>
      <w:r>
        <w:rPr/>
        <w:t>Meseguer.</w:t>
      </w:r>
      <w:r>
        <w:rPr>
          <w:spacing w:val="-15"/>
        </w:rPr>
        <w:t> </w:t>
      </w:r>
      <w:r>
        <w:rPr/>
        <w:t>2000.</w:t>
      </w:r>
      <w:r>
        <w:rPr>
          <w:spacing w:val="-10"/>
        </w:rPr>
        <w:t> </w:t>
      </w:r>
      <w:r>
        <w:rPr/>
        <w:t>«</w:t>
      </w:r>
      <w:r>
        <w:rPr>
          <w:spacing w:val="-7"/>
        </w:rPr>
        <w:t> </w:t>
      </w:r>
      <w:r>
        <w:rPr/>
        <w:t>Increased</w:t>
      </w:r>
      <w:r>
        <w:rPr>
          <w:spacing w:val="-14"/>
        </w:rPr>
        <w:t> </w:t>
      </w:r>
      <w:r>
        <w:rPr/>
        <w:t>Glyceraldehyde-3-Phosphate Dehydrogenase Expression in Renal Cell Carcinoma Identified by RNA-Based, Arbitrarily Primed Polymerase Chain Reaction ». </w:t>
      </w:r>
      <w:r>
        <w:rPr>
          <w:i/>
        </w:rPr>
        <w:t>Cancer </w:t>
      </w:r>
      <w:r>
        <w:rPr/>
        <w:t>89 (1):</w:t>
      </w:r>
      <w:r>
        <w:rPr>
          <w:spacing w:val="-14"/>
        </w:rPr>
        <w:t> </w:t>
      </w:r>
      <w:r>
        <w:rPr/>
        <w:t>152</w:t>
      </w:r>
      <w:r>
        <w:rPr>
          <w:rFonts w:ascii="Cambria Math" w:hAnsi="Cambria Math"/>
        </w:rPr>
        <w:t>‑</w:t>
      </w:r>
      <w:r>
        <w:rPr/>
        <w:t>64.</w:t>
      </w:r>
    </w:p>
    <w:p>
      <w:pPr>
        <w:spacing w:line="242" w:lineRule="auto" w:before="0"/>
        <w:ind w:left="836" w:right="112" w:hanging="720"/>
        <w:jc w:val="both"/>
        <w:rPr>
          <w:sz w:val="24"/>
        </w:rPr>
      </w:pPr>
      <w:r>
        <w:rPr>
          <w:sz w:val="24"/>
        </w:rPr>
        <w:t>Vousden, K H, et K M Ryan. 2009. « P53 and Metabolism ». </w:t>
      </w:r>
      <w:r>
        <w:rPr>
          <w:i/>
          <w:sz w:val="24"/>
        </w:rPr>
        <w:t>Nature Reviews. Cancer </w:t>
      </w:r>
      <w:r>
        <w:rPr>
          <w:sz w:val="24"/>
        </w:rPr>
        <w:t>9 (10): 691</w:t>
      </w:r>
      <w:r>
        <w:rPr>
          <w:rFonts w:ascii="Cambria Math" w:hAnsi="Cambria Math"/>
          <w:sz w:val="24"/>
        </w:rPr>
        <w:t>‑</w:t>
      </w:r>
      <w:r>
        <w:rPr>
          <w:sz w:val="24"/>
        </w:rPr>
        <w:t>700.</w:t>
      </w:r>
    </w:p>
    <w:p>
      <w:pPr>
        <w:spacing w:line="240" w:lineRule="auto" w:before="2"/>
        <w:ind w:left="836" w:right="114" w:hanging="720"/>
        <w:jc w:val="both"/>
        <w:rPr>
          <w:sz w:val="24"/>
        </w:rPr>
      </w:pPr>
      <w:r>
        <w:rPr>
          <w:sz w:val="24"/>
        </w:rPr>
        <w:t>Walsh,</w:t>
      </w:r>
      <w:r>
        <w:rPr>
          <w:spacing w:val="-14"/>
          <w:sz w:val="24"/>
        </w:rPr>
        <w:t> </w:t>
      </w:r>
      <w:r>
        <w:rPr>
          <w:sz w:val="24"/>
        </w:rPr>
        <w:t>M,</w:t>
      </w:r>
      <w:r>
        <w:rPr>
          <w:spacing w:val="-14"/>
          <w:sz w:val="24"/>
        </w:rPr>
        <w:t> </w:t>
      </w:r>
      <w:r>
        <w:rPr>
          <w:sz w:val="24"/>
        </w:rPr>
        <w:t>S</w:t>
      </w:r>
      <w:r>
        <w:rPr>
          <w:spacing w:val="-14"/>
          <w:sz w:val="24"/>
        </w:rPr>
        <w:t> </w:t>
      </w:r>
      <w:r>
        <w:rPr>
          <w:sz w:val="24"/>
        </w:rPr>
        <w:t>Fais,</w:t>
      </w:r>
      <w:r>
        <w:rPr>
          <w:spacing w:val="-14"/>
          <w:sz w:val="24"/>
        </w:rPr>
        <w:t> </w:t>
      </w:r>
      <w:r>
        <w:rPr>
          <w:sz w:val="24"/>
        </w:rPr>
        <w:t>E</w:t>
      </w:r>
      <w:r>
        <w:rPr>
          <w:spacing w:val="-15"/>
          <w:sz w:val="24"/>
        </w:rPr>
        <w:t> </w:t>
      </w:r>
      <w:r>
        <w:rPr>
          <w:sz w:val="24"/>
        </w:rPr>
        <w:t>P</w:t>
      </w:r>
      <w:r>
        <w:rPr>
          <w:spacing w:val="-14"/>
          <w:sz w:val="24"/>
        </w:rPr>
        <w:t> </w:t>
      </w:r>
      <w:r>
        <w:rPr>
          <w:sz w:val="24"/>
        </w:rPr>
        <w:t>Spugnini,</w:t>
      </w:r>
      <w:r>
        <w:rPr>
          <w:spacing w:val="-14"/>
          <w:sz w:val="24"/>
        </w:rPr>
        <w:t> </w:t>
      </w:r>
      <w:r>
        <w:rPr>
          <w:sz w:val="24"/>
        </w:rPr>
        <w:t>S</w:t>
      </w:r>
      <w:r>
        <w:rPr>
          <w:spacing w:val="-12"/>
          <w:sz w:val="24"/>
        </w:rPr>
        <w:t> </w:t>
      </w:r>
      <w:r>
        <w:rPr>
          <w:sz w:val="24"/>
        </w:rPr>
        <w:t>Harguindey,</w:t>
      </w:r>
      <w:r>
        <w:rPr>
          <w:spacing w:val="-14"/>
          <w:sz w:val="24"/>
        </w:rPr>
        <w:t> </w:t>
      </w:r>
      <w:r>
        <w:rPr>
          <w:sz w:val="24"/>
        </w:rPr>
        <w:t>T</w:t>
      </w:r>
      <w:r>
        <w:rPr>
          <w:spacing w:val="-9"/>
          <w:sz w:val="24"/>
        </w:rPr>
        <w:t> </w:t>
      </w:r>
      <w:r>
        <w:rPr>
          <w:sz w:val="24"/>
        </w:rPr>
        <w:t>A</w:t>
      </w:r>
      <w:r>
        <w:rPr>
          <w:spacing w:val="-13"/>
          <w:sz w:val="24"/>
        </w:rPr>
        <w:t> </w:t>
      </w:r>
      <w:r>
        <w:rPr>
          <w:sz w:val="24"/>
        </w:rPr>
        <w:t>Izneid,</w:t>
      </w:r>
      <w:r>
        <w:rPr>
          <w:spacing w:val="-12"/>
          <w:sz w:val="24"/>
        </w:rPr>
        <w:t> </w:t>
      </w:r>
      <w:r>
        <w:rPr>
          <w:sz w:val="24"/>
        </w:rPr>
        <w:t>L</w:t>
      </w:r>
      <w:r>
        <w:rPr>
          <w:spacing w:val="-17"/>
          <w:sz w:val="24"/>
        </w:rPr>
        <w:t> </w:t>
      </w:r>
      <w:r>
        <w:rPr>
          <w:sz w:val="24"/>
        </w:rPr>
        <w:t>Scacco,</w:t>
      </w:r>
      <w:r>
        <w:rPr>
          <w:spacing w:val="-12"/>
          <w:sz w:val="24"/>
        </w:rPr>
        <w:t> </w:t>
      </w:r>
      <w:r>
        <w:rPr>
          <w:sz w:val="24"/>
        </w:rPr>
        <w:t>P</w:t>
      </w:r>
      <w:r>
        <w:rPr>
          <w:spacing w:val="-14"/>
          <w:sz w:val="24"/>
        </w:rPr>
        <w:t> </w:t>
      </w:r>
      <w:r>
        <w:rPr>
          <w:sz w:val="24"/>
        </w:rPr>
        <w:t>Williams,</w:t>
      </w:r>
      <w:r>
        <w:rPr>
          <w:spacing w:val="-14"/>
          <w:sz w:val="24"/>
        </w:rPr>
        <w:t> </w:t>
      </w:r>
      <w:r>
        <w:rPr>
          <w:sz w:val="24"/>
        </w:rPr>
        <w:t>C</w:t>
      </w:r>
      <w:r>
        <w:rPr>
          <w:spacing w:val="-14"/>
          <w:sz w:val="24"/>
        </w:rPr>
        <w:t> </w:t>
      </w:r>
      <w:r>
        <w:rPr>
          <w:sz w:val="24"/>
        </w:rPr>
        <w:t>Allegrucci, C Rauch, et Z Omran. 2015. « Proton pump inhibitors for the treatment of cancer in companion animals </w:t>
      </w:r>
      <w:r>
        <w:rPr>
          <w:spacing w:val="-4"/>
          <w:sz w:val="24"/>
        </w:rPr>
        <w:t>». </w:t>
      </w:r>
      <w:r>
        <w:rPr>
          <w:i/>
          <w:sz w:val="24"/>
        </w:rPr>
        <w:t>Journal of Experimental &amp; Clinical Cancer Research : CR </w:t>
      </w:r>
      <w:r>
        <w:rPr>
          <w:sz w:val="24"/>
        </w:rPr>
        <w:t>34 (1):46-58.</w:t>
      </w:r>
    </w:p>
    <w:p>
      <w:pPr>
        <w:spacing w:before="0"/>
        <w:ind w:left="836" w:right="116" w:hanging="720"/>
        <w:jc w:val="both"/>
        <w:rPr>
          <w:sz w:val="24"/>
        </w:rPr>
      </w:pPr>
      <w:r>
        <w:rPr>
          <w:sz w:val="24"/>
        </w:rPr>
        <w:t>Wang,</w:t>
      </w:r>
      <w:r>
        <w:rPr>
          <w:spacing w:val="-5"/>
          <w:sz w:val="24"/>
        </w:rPr>
        <w:t> </w:t>
      </w:r>
      <w:r>
        <w:rPr>
          <w:sz w:val="24"/>
        </w:rPr>
        <w:t>B,</w:t>
      </w:r>
      <w:r>
        <w:rPr>
          <w:spacing w:val="-7"/>
          <w:sz w:val="24"/>
        </w:rPr>
        <w:t> </w:t>
      </w:r>
      <w:r>
        <w:rPr>
          <w:sz w:val="24"/>
        </w:rPr>
        <w:t>J</w:t>
      </w:r>
      <w:r>
        <w:rPr>
          <w:spacing w:val="-2"/>
          <w:sz w:val="24"/>
        </w:rPr>
        <w:t> </w:t>
      </w:r>
      <w:r>
        <w:rPr>
          <w:sz w:val="24"/>
        </w:rPr>
        <w:t>Zhang,</w:t>
      </w:r>
      <w:r>
        <w:rPr>
          <w:spacing w:val="-5"/>
          <w:sz w:val="24"/>
        </w:rPr>
        <w:t> </w:t>
      </w:r>
      <w:r>
        <w:rPr>
          <w:sz w:val="24"/>
        </w:rPr>
        <w:t>J</w:t>
      </w:r>
      <w:r>
        <w:rPr>
          <w:spacing w:val="-5"/>
          <w:sz w:val="24"/>
        </w:rPr>
        <w:t> </w:t>
      </w:r>
      <w:r>
        <w:rPr>
          <w:sz w:val="24"/>
        </w:rPr>
        <w:t>Wang,</w:t>
      </w:r>
      <w:r>
        <w:rPr>
          <w:spacing w:val="-5"/>
          <w:sz w:val="24"/>
        </w:rPr>
        <w:t> </w:t>
      </w:r>
      <w:r>
        <w:rPr>
          <w:sz w:val="24"/>
        </w:rPr>
        <w:t>S</w:t>
      </w:r>
      <w:r>
        <w:rPr>
          <w:spacing w:val="-7"/>
          <w:sz w:val="24"/>
        </w:rPr>
        <w:t> </w:t>
      </w:r>
      <w:r>
        <w:rPr>
          <w:sz w:val="24"/>
        </w:rPr>
        <w:t>Sun,</w:t>
      </w:r>
      <w:r>
        <w:rPr>
          <w:spacing w:val="-5"/>
          <w:sz w:val="24"/>
        </w:rPr>
        <w:t> </w:t>
      </w:r>
      <w:r>
        <w:rPr>
          <w:sz w:val="24"/>
        </w:rPr>
        <w:t>Z</w:t>
      </w:r>
      <w:r>
        <w:rPr>
          <w:spacing w:val="-10"/>
          <w:sz w:val="24"/>
        </w:rPr>
        <w:t> </w:t>
      </w:r>
      <w:r>
        <w:rPr>
          <w:sz w:val="24"/>
        </w:rPr>
        <w:t>Wang,</w:t>
      </w:r>
      <w:r>
        <w:rPr>
          <w:spacing w:val="-3"/>
          <w:sz w:val="24"/>
        </w:rPr>
        <w:t> </w:t>
      </w:r>
      <w:r>
        <w:rPr>
          <w:sz w:val="24"/>
        </w:rPr>
        <w:t>L</w:t>
      </w:r>
      <w:r>
        <w:rPr>
          <w:spacing w:val="-10"/>
          <w:sz w:val="24"/>
        </w:rPr>
        <w:t> </w:t>
      </w:r>
      <w:r>
        <w:rPr>
          <w:sz w:val="24"/>
        </w:rPr>
        <w:t>Wang,</w:t>
      </w:r>
      <w:r>
        <w:rPr>
          <w:spacing w:val="-5"/>
          <w:sz w:val="24"/>
        </w:rPr>
        <w:t> </w:t>
      </w:r>
      <w:r>
        <w:rPr>
          <w:sz w:val="24"/>
        </w:rPr>
        <w:t>Q</w:t>
      </w:r>
      <w:r>
        <w:rPr>
          <w:spacing w:val="-2"/>
          <w:sz w:val="24"/>
        </w:rPr>
        <w:t> </w:t>
      </w:r>
      <w:r>
        <w:rPr>
          <w:sz w:val="24"/>
        </w:rPr>
        <w:t>Zhang,</w:t>
      </w:r>
      <w:r>
        <w:rPr>
          <w:spacing w:val="-5"/>
          <w:sz w:val="24"/>
        </w:rPr>
        <w:t> </w:t>
      </w:r>
      <w:r>
        <w:rPr>
          <w:sz w:val="24"/>
        </w:rPr>
        <w:t>et</w:t>
      </w:r>
      <w:r>
        <w:rPr>
          <w:spacing w:val="-7"/>
          <w:sz w:val="24"/>
        </w:rPr>
        <w:t> </w:t>
      </w:r>
      <w:r>
        <w:rPr>
          <w:sz w:val="24"/>
        </w:rPr>
        <w:t>al.</w:t>
      </w:r>
      <w:r>
        <w:rPr>
          <w:spacing w:val="-5"/>
          <w:sz w:val="24"/>
        </w:rPr>
        <w:t> </w:t>
      </w:r>
      <w:r>
        <w:rPr>
          <w:sz w:val="24"/>
        </w:rPr>
        <w:t>2015.</w:t>
      </w:r>
      <w:r>
        <w:rPr>
          <w:spacing w:val="-4"/>
          <w:sz w:val="24"/>
        </w:rPr>
        <w:t> </w:t>
      </w:r>
      <w:r>
        <w:rPr>
          <w:sz w:val="24"/>
        </w:rPr>
        <w:t>«</w:t>
      </w:r>
      <w:r>
        <w:rPr>
          <w:spacing w:val="-2"/>
          <w:sz w:val="24"/>
        </w:rPr>
        <w:t> </w:t>
      </w:r>
      <w:r>
        <w:rPr>
          <w:sz w:val="24"/>
        </w:rPr>
        <w:t>Intermittent</w:t>
      </w:r>
      <w:r>
        <w:rPr>
          <w:spacing w:val="-7"/>
          <w:sz w:val="24"/>
        </w:rPr>
        <w:t> </w:t>
      </w:r>
      <w:r>
        <w:rPr>
          <w:sz w:val="24"/>
        </w:rPr>
        <w:t>High Dose Proton Pump Inhibitor Enhances the Antitumor Effects of Chemotherapy in Metastatic Breast Cancer </w:t>
      </w:r>
      <w:r>
        <w:rPr>
          <w:spacing w:val="-4"/>
          <w:sz w:val="24"/>
        </w:rPr>
        <w:t>». </w:t>
      </w:r>
      <w:r>
        <w:rPr>
          <w:i/>
          <w:sz w:val="24"/>
        </w:rPr>
        <w:t>Journal of Experimental &amp; Clinical Cancer Research: CR </w:t>
      </w:r>
      <w:r>
        <w:rPr>
          <w:sz w:val="24"/>
        </w:rPr>
        <w:t>5 (34):</w:t>
      </w:r>
      <w:r>
        <w:rPr>
          <w:spacing w:val="-3"/>
          <w:sz w:val="24"/>
        </w:rPr>
        <w:t> </w:t>
      </w:r>
      <w:r>
        <w:rPr>
          <w:sz w:val="24"/>
        </w:rPr>
        <w:t>85-96.</w:t>
      </w:r>
    </w:p>
    <w:p>
      <w:pPr>
        <w:pStyle w:val="BodyText"/>
        <w:spacing w:line="242" w:lineRule="auto"/>
        <w:ind w:left="836" w:right="117" w:hanging="720"/>
        <w:jc w:val="both"/>
      </w:pPr>
      <w:r>
        <w:rPr/>
        <w:t>Wang, D, et X Wu. 2015. « In Vitro and in Vivo Targeting of Bladder Carcinoma with Metformin in Combination with Cisplatin ». </w:t>
      </w:r>
      <w:r>
        <w:rPr>
          <w:i/>
        </w:rPr>
        <w:t>Oncology Letters </w:t>
      </w:r>
      <w:r>
        <w:rPr/>
        <w:t>10 (2): 975</w:t>
      </w:r>
      <w:r>
        <w:rPr>
          <w:rFonts w:ascii="Cambria Math" w:hAnsi="Cambria Math"/>
        </w:rPr>
        <w:t>‑</w:t>
      </w:r>
      <w:r>
        <w:rPr/>
        <w:t>81.</w:t>
      </w:r>
    </w:p>
    <w:p>
      <w:pPr>
        <w:pStyle w:val="BodyText"/>
        <w:spacing w:line="272" w:lineRule="exact"/>
        <w:ind w:left="116"/>
      </w:pPr>
      <w:r>
        <w:rPr/>
        <w:t>Wang, J, J W Erickson, R Fuji, S Ramachandran, P Gao, R Dinavahi, K . Wilson, et al. 2010.</w:t>
      </w:r>
    </w:p>
    <w:p>
      <w:pPr>
        <w:pStyle w:val="BodyText"/>
        <w:spacing w:before="1"/>
        <w:ind w:left="836"/>
        <w:jc w:val="both"/>
      </w:pPr>
      <w:r>
        <w:rPr/>
        <w:t>« Targeting Mitochondrial Glutaminase Activity Inhibits Oncogenic Transformation ».</w:t>
      </w:r>
    </w:p>
    <w:p>
      <w:pPr>
        <w:spacing w:before="3"/>
        <w:ind w:left="836" w:right="0" w:firstLine="0"/>
        <w:jc w:val="both"/>
        <w:rPr>
          <w:sz w:val="24"/>
        </w:rPr>
      </w:pPr>
      <w:r>
        <w:rPr>
          <w:i/>
          <w:sz w:val="24"/>
        </w:rPr>
        <w:t>Cancer Cell </w:t>
      </w:r>
      <w:r>
        <w:rPr>
          <w:sz w:val="24"/>
        </w:rPr>
        <w:t>18 (3): 207</w:t>
      </w:r>
      <w:r>
        <w:rPr>
          <w:rFonts w:ascii="Cambria Math" w:hAnsi="Cambria Math"/>
          <w:sz w:val="24"/>
        </w:rPr>
        <w:t>‑</w:t>
      </w:r>
      <w:r>
        <w:rPr>
          <w:sz w:val="24"/>
        </w:rPr>
        <w:t>19.</w:t>
      </w:r>
    </w:p>
    <w:p>
      <w:pPr>
        <w:spacing w:after="0"/>
        <w:jc w:val="both"/>
        <w:rPr>
          <w:sz w:val="24"/>
        </w:rPr>
        <w:sectPr>
          <w:pgSz w:w="11910" w:h="16840"/>
          <w:pgMar w:header="0" w:footer="1055" w:top="1320" w:bottom="1240" w:left="1300" w:right="1300"/>
        </w:sectPr>
      </w:pPr>
    </w:p>
    <w:p>
      <w:pPr>
        <w:pStyle w:val="BodyText"/>
        <w:spacing w:before="70"/>
        <w:ind w:left="836" w:right="113" w:hanging="720"/>
        <w:jc w:val="both"/>
      </w:pPr>
      <w:r>
        <w:rPr/>
        <w:t>Wang, T, X Zhang, X Guo, S Xian, et Y Lu. 2016. « 3-Bromopyruvate and Sodium Citrate Target Glycolysis, Suppress Survivin, and Induce Mitochondrial-Mediated Apoptosis in Gastric Cancer Cells and Inhibit Gastric Orthotopic  Transplantation  Tumor  Growth </w:t>
      </w:r>
      <w:r>
        <w:rPr>
          <w:spacing w:val="-4"/>
        </w:rPr>
        <w:t>». </w:t>
      </w:r>
      <w:r>
        <w:rPr>
          <w:i/>
        </w:rPr>
        <w:t>Oncology Reports </w:t>
      </w:r>
      <w:r>
        <w:rPr/>
        <w:t>35 (3):</w:t>
      </w:r>
      <w:r>
        <w:rPr>
          <w:spacing w:val="5"/>
        </w:rPr>
        <w:t> </w:t>
      </w:r>
      <w:r>
        <w:rPr/>
        <w:t>1287</w:t>
      </w:r>
      <w:r>
        <w:rPr>
          <w:rFonts w:ascii="Cambria Math" w:hAnsi="Cambria Math"/>
        </w:rPr>
        <w:t>‑</w:t>
      </w:r>
      <w:r>
        <w:rPr/>
        <w:t>96.</w:t>
      </w:r>
    </w:p>
    <w:p>
      <w:pPr>
        <w:pStyle w:val="BodyText"/>
        <w:ind w:left="836" w:right="113" w:hanging="720"/>
        <w:jc w:val="both"/>
      </w:pPr>
      <w:r>
        <w:rPr/>
        <w:t>Wang, Y, W Xiang, M Wang, T Huang, X Xiao, L Wang, D Tao, L Dong, F Zeng, et G Jiang. 2014. « Methyl Jasmonate Sensitizes Human Bladder Cancer Cells to Gambogic Acid- Induced Apoptosis through down-Regulation of EZH2 Expression by MiR-101 ». </w:t>
      </w:r>
      <w:r>
        <w:rPr>
          <w:i/>
        </w:rPr>
        <w:t>British Journal of Pharmacology </w:t>
      </w:r>
      <w:r>
        <w:rPr/>
        <w:t>171 (3): 618</w:t>
      </w:r>
      <w:r>
        <w:rPr>
          <w:rFonts w:ascii="Cambria Math" w:hAnsi="Cambria Math"/>
        </w:rPr>
        <w:t>‑</w:t>
      </w:r>
      <w:r>
        <w:rPr/>
        <w:t>35.</w:t>
      </w:r>
    </w:p>
    <w:p>
      <w:pPr>
        <w:spacing w:line="242" w:lineRule="auto" w:before="0"/>
        <w:ind w:left="836" w:right="112" w:hanging="720"/>
        <w:jc w:val="both"/>
        <w:rPr>
          <w:sz w:val="24"/>
        </w:rPr>
      </w:pPr>
      <w:r>
        <w:rPr>
          <w:sz w:val="24"/>
        </w:rPr>
        <w:t>Warburg, O. 1956a. « On the Origin of Cancer Cells ». </w:t>
      </w:r>
      <w:r>
        <w:rPr>
          <w:i/>
          <w:sz w:val="24"/>
        </w:rPr>
        <w:t>Science (New York, N.Y.) </w:t>
      </w:r>
      <w:r>
        <w:rPr>
          <w:sz w:val="24"/>
        </w:rPr>
        <w:t>123 (3191): 309</w:t>
      </w:r>
      <w:r>
        <w:rPr>
          <w:rFonts w:ascii="Cambria Math" w:hAnsi="Cambria Math"/>
          <w:sz w:val="24"/>
        </w:rPr>
        <w:t>‑</w:t>
      </w:r>
      <w:r>
        <w:rPr>
          <w:sz w:val="24"/>
        </w:rPr>
        <w:t>14.</w:t>
      </w:r>
    </w:p>
    <w:p>
      <w:pPr>
        <w:spacing w:line="242" w:lineRule="auto" w:before="0"/>
        <w:ind w:left="836" w:right="112" w:hanging="720"/>
        <w:jc w:val="both"/>
        <w:rPr>
          <w:sz w:val="24"/>
        </w:rPr>
      </w:pPr>
      <w:r>
        <w:rPr>
          <w:sz w:val="24"/>
        </w:rPr>
        <w:t>———. 1956b. « On Respiratory Impairment in Cancer Cells ». </w:t>
      </w:r>
      <w:r>
        <w:rPr>
          <w:i/>
          <w:sz w:val="24"/>
        </w:rPr>
        <w:t>Science (New York, N.Y.) </w:t>
      </w:r>
      <w:r>
        <w:rPr>
          <w:sz w:val="24"/>
        </w:rPr>
        <w:t>124 (3215): 269</w:t>
      </w:r>
      <w:r>
        <w:rPr>
          <w:rFonts w:ascii="Cambria Math" w:hAnsi="Cambria Math"/>
          <w:sz w:val="24"/>
        </w:rPr>
        <w:t>‑</w:t>
      </w:r>
      <w:r>
        <w:rPr>
          <w:sz w:val="24"/>
        </w:rPr>
        <w:t>70.</w:t>
      </w:r>
    </w:p>
    <w:p>
      <w:pPr>
        <w:pStyle w:val="BodyText"/>
        <w:spacing w:line="242" w:lineRule="auto"/>
        <w:ind w:left="836" w:right="119" w:hanging="720"/>
        <w:jc w:val="both"/>
      </w:pPr>
      <w:r>
        <w:rPr/>
        <w:t>Weinberg, S E, et N S Chandel. 2015. « Targeting mitochondria metabolism for cancer therapy ». </w:t>
      </w:r>
      <w:r>
        <w:rPr>
          <w:i/>
        </w:rPr>
        <w:t>Nature chemical biology </w:t>
      </w:r>
      <w:r>
        <w:rPr/>
        <w:t>11 (1): 9</w:t>
      </w:r>
      <w:r>
        <w:rPr>
          <w:rFonts w:ascii="Cambria Math" w:hAnsi="Cambria Math"/>
        </w:rPr>
        <w:t>‑</w:t>
      </w:r>
      <w:r>
        <w:rPr/>
        <w:t>15.</w:t>
      </w:r>
    </w:p>
    <w:p>
      <w:pPr>
        <w:pStyle w:val="BodyText"/>
        <w:spacing w:line="272" w:lineRule="exact" w:before="2"/>
        <w:ind w:left="116"/>
      </w:pPr>
      <w:r>
        <w:rPr/>
        <w:t>Weinhouse, S, D Burk, et A L Schade. 1956. «  On Respiratory Impairment in Cancer Cells ».</w:t>
      </w:r>
    </w:p>
    <w:p>
      <w:pPr>
        <w:spacing w:line="279" w:lineRule="exact" w:before="3"/>
        <w:ind w:left="836" w:right="0" w:firstLine="0"/>
        <w:jc w:val="both"/>
        <w:rPr>
          <w:sz w:val="24"/>
        </w:rPr>
      </w:pPr>
      <w:r>
        <w:rPr>
          <w:i/>
          <w:sz w:val="24"/>
        </w:rPr>
        <w:t>Science </w:t>
      </w:r>
      <w:r>
        <w:rPr>
          <w:sz w:val="24"/>
        </w:rPr>
        <w:t>124 (3215): 267</w:t>
      </w:r>
      <w:r>
        <w:rPr>
          <w:rFonts w:ascii="Cambria Math" w:hAnsi="Cambria Math"/>
          <w:sz w:val="24"/>
        </w:rPr>
        <w:t>‑</w:t>
      </w:r>
      <w:r>
        <w:rPr>
          <w:sz w:val="24"/>
        </w:rPr>
        <w:t>72.</w:t>
      </w:r>
    </w:p>
    <w:p>
      <w:pPr>
        <w:pStyle w:val="BodyText"/>
        <w:spacing w:line="242" w:lineRule="auto"/>
        <w:ind w:left="836" w:right="111" w:hanging="720"/>
        <w:jc w:val="both"/>
      </w:pPr>
      <w:r>
        <w:rPr/>
        <w:t>Welsh,</w:t>
      </w:r>
      <w:r>
        <w:rPr>
          <w:spacing w:val="-15"/>
        </w:rPr>
        <w:t> </w:t>
      </w:r>
      <w:r>
        <w:rPr/>
        <w:t>S,</w:t>
      </w:r>
      <w:r>
        <w:rPr>
          <w:spacing w:val="-16"/>
        </w:rPr>
        <w:t> </w:t>
      </w:r>
      <w:r>
        <w:rPr/>
        <w:t>R</w:t>
      </w:r>
      <w:r>
        <w:rPr>
          <w:spacing w:val="-15"/>
        </w:rPr>
        <w:t> </w:t>
      </w:r>
      <w:r>
        <w:rPr/>
        <w:t>Williams,</w:t>
      </w:r>
      <w:r>
        <w:rPr>
          <w:spacing w:val="-15"/>
        </w:rPr>
        <w:t> </w:t>
      </w:r>
      <w:r>
        <w:rPr/>
        <w:t>L</w:t>
      </w:r>
      <w:r>
        <w:rPr>
          <w:spacing w:val="-15"/>
        </w:rPr>
        <w:t> </w:t>
      </w:r>
      <w:r>
        <w:rPr/>
        <w:t>Kirkpatrick,</w:t>
      </w:r>
      <w:r>
        <w:rPr>
          <w:spacing w:val="-13"/>
        </w:rPr>
        <w:t> </w:t>
      </w:r>
      <w:r>
        <w:rPr/>
        <w:t>G</w:t>
      </w:r>
      <w:r>
        <w:rPr>
          <w:spacing w:val="-16"/>
        </w:rPr>
        <w:t> </w:t>
      </w:r>
      <w:r>
        <w:rPr/>
        <w:t>Paine-Murrieta,</w:t>
      </w:r>
      <w:r>
        <w:rPr>
          <w:spacing w:val="-13"/>
        </w:rPr>
        <w:t> </w:t>
      </w:r>
      <w:r>
        <w:rPr/>
        <w:t>et</w:t>
      </w:r>
      <w:r>
        <w:rPr>
          <w:spacing w:val="-15"/>
        </w:rPr>
        <w:t> </w:t>
      </w:r>
      <w:r>
        <w:rPr/>
        <w:t>G</w:t>
      </w:r>
      <w:r>
        <w:rPr>
          <w:spacing w:val="-14"/>
        </w:rPr>
        <w:t> </w:t>
      </w:r>
      <w:r>
        <w:rPr/>
        <w:t>Powis.</w:t>
      </w:r>
      <w:r>
        <w:rPr>
          <w:spacing w:val="-16"/>
        </w:rPr>
        <w:t> </w:t>
      </w:r>
      <w:r>
        <w:rPr/>
        <w:t>2004.</w:t>
      </w:r>
      <w:r>
        <w:rPr>
          <w:spacing w:val="-11"/>
        </w:rPr>
        <w:t> </w:t>
      </w:r>
      <w:r>
        <w:rPr/>
        <w:t>«</w:t>
      </w:r>
      <w:r>
        <w:rPr>
          <w:spacing w:val="-3"/>
        </w:rPr>
        <w:t> </w:t>
      </w:r>
      <w:r>
        <w:rPr/>
        <w:t>Antitumor</w:t>
      </w:r>
      <w:r>
        <w:rPr>
          <w:spacing w:val="-16"/>
        </w:rPr>
        <w:t> </w:t>
      </w:r>
      <w:r>
        <w:rPr/>
        <w:t>Activity and</w:t>
      </w:r>
      <w:r>
        <w:rPr>
          <w:spacing w:val="-10"/>
        </w:rPr>
        <w:t> </w:t>
      </w:r>
      <w:r>
        <w:rPr/>
        <w:t>Pharmacodynamic</w:t>
      </w:r>
      <w:r>
        <w:rPr>
          <w:spacing w:val="-11"/>
        </w:rPr>
        <w:t> </w:t>
      </w:r>
      <w:r>
        <w:rPr/>
        <w:t>Properties</w:t>
      </w:r>
      <w:r>
        <w:rPr>
          <w:spacing w:val="-9"/>
        </w:rPr>
        <w:t> </w:t>
      </w:r>
      <w:r>
        <w:rPr/>
        <w:t>of</w:t>
      </w:r>
      <w:r>
        <w:rPr>
          <w:spacing w:val="-10"/>
        </w:rPr>
        <w:t> </w:t>
      </w:r>
      <w:r>
        <w:rPr/>
        <w:t>PX-478,</w:t>
      </w:r>
      <w:r>
        <w:rPr>
          <w:spacing w:val="-10"/>
        </w:rPr>
        <w:t> </w:t>
      </w:r>
      <w:r>
        <w:rPr/>
        <w:t>an</w:t>
      </w:r>
      <w:r>
        <w:rPr>
          <w:spacing w:val="-8"/>
        </w:rPr>
        <w:t> </w:t>
      </w:r>
      <w:r>
        <w:rPr/>
        <w:t>Inhibitor</w:t>
      </w:r>
      <w:r>
        <w:rPr>
          <w:spacing w:val="-10"/>
        </w:rPr>
        <w:t> </w:t>
      </w:r>
      <w:r>
        <w:rPr/>
        <w:t>of</w:t>
      </w:r>
      <w:r>
        <w:rPr>
          <w:spacing w:val="-10"/>
        </w:rPr>
        <w:t> </w:t>
      </w:r>
      <w:r>
        <w:rPr/>
        <w:t>Hypoxia-Inducible</w:t>
      </w:r>
      <w:r>
        <w:rPr>
          <w:spacing w:val="-11"/>
        </w:rPr>
        <w:t> </w:t>
      </w:r>
      <w:r>
        <w:rPr/>
        <w:t>Factor- 1alpha </w:t>
      </w:r>
      <w:r>
        <w:rPr>
          <w:spacing w:val="-4"/>
        </w:rPr>
        <w:t>». </w:t>
      </w:r>
      <w:r>
        <w:rPr>
          <w:i/>
        </w:rPr>
        <w:t>Molecular Cancer Therapeutics </w:t>
      </w:r>
      <w:r>
        <w:rPr/>
        <w:t>3 (3):</w:t>
      </w:r>
      <w:r>
        <w:rPr>
          <w:spacing w:val="5"/>
        </w:rPr>
        <w:t> </w:t>
      </w:r>
      <w:r>
        <w:rPr/>
        <w:t>233</w:t>
      </w:r>
      <w:r>
        <w:rPr>
          <w:rFonts w:ascii="Cambria Math" w:hAnsi="Cambria Math"/>
        </w:rPr>
        <w:t>‑</w:t>
      </w:r>
      <w:r>
        <w:rPr/>
        <w:t>44.</w:t>
      </w:r>
    </w:p>
    <w:p>
      <w:pPr>
        <w:spacing w:line="240" w:lineRule="auto" w:before="0"/>
        <w:ind w:left="836" w:right="113" w:hanging="720"/>
        <w:jc w:val="both"/>
        <w:rPr>
          <w:sz w:val="24"/>
        </w:rPr>
      </w:pPr>
      <w:r>
        <w:rPr>
          <w:sz w:val="24"/>
        </w:rPr>
        <w:t>Wenzel</w:t>
      </w:r>
      <w:r>
        <w:rPr>
          <w:spacing w:val="-3"/>
          <w:sz w:val="24"/>
        </w:rPr>
        <w:t> </w:t>
      </w:r>
      <w:r>
        <w:rPr>
          <w:sz w:val="24"/>
        </w:rPr>
        <w:t>U,</w:t>
      </w:r>
      <w:r>
        <w:rPr>
          <w:spacing w:val="-4"/>
          <w:sz w:val="24"/>
        </w:rPr>
        <w:t> </w:t>
      </w:r>
      <w:r>
        <w:rPr>
          <w:sz w:val="24"/>
        </w:rPr>
        <w:t>A</w:t>
      </w:r>
      <w:r>
        <w:rPr>
          <w:spacing w:val="-4"/>
          <w:sz w:val="24"/>
        </w:rPr>
        <w:t> </w:t>
      </w:r>
      <w:r>
        <w:rPr>
          <w:sz w:val="24"/>
        </w:rPr>
        <w:t>Nickel.</w:t>
      </w:r>
      <w:r>
        <w:rPr>
          <w:spacing w:val="-3"/>
          <w:sz w:val="24"/>
        </w:rPr>
        <w:t> </w:t>
      </w:r>
      <w:r>
        <w:rPr>
          <w:sz w:val="24"/>
        </w:rPr>
        <w:t>2005.</w:t>
      </w:r>
      <w:r>
        <w:rPr>
          <w:spacing w:val="0"/>
          <w:sz w:val="24"/>
        </w:rPr>
        <w:t> </w:t>
      </w:r>
      <w:r>
        <w:rPr>
          <w:sz w:val="24"/>
        </w:rPr>
        <w:t>«</w:t>
      </w:r>
      <w:r>
        <w:rPr>
          <w:spacing w:val="-8"/>
          <w:sz w:val="24"/>
        </w:rPr>
        <w:t> </w:t>
      </w:r>
      <w:r>
        <w:rPr>
          <w:sz w:val="24"/>
        </w:rPr>
        <w:t>Alpha-Lipoic</w:t>
      </w:r>
      <w:r>
        <w:rPr>
          <w:spacing w:val="-5"/>
          <w:sz w:val="24"/>
        </w:rPr>
        <w:t> </w:t>
      </w:r>
      <w:r>
        <w:rPr>
          <w:sz w:val="24"/>
        </w:rPr>
        <w:t>acid</w:t>
      </w:r>
      <w:r>
        <w:rPr>
          <w:spacing w:val="-3"/>
          <w:sz w:val="24"/>
        </w:rPr>
        <w:t> </w:t>
      </w:r>
      <w:r>
        <w:rPr>
          <w:sz w:val="24"/>
        </w:rPr>
        <w:t>induces</w:t>
      </w:r>
      <w:r>
        <w:rPr>
          <w:spacing w:val="-4"/>
          <w:sz w:val="24"/>
        </w:rPr>
        <w:t> </w:t>
      </w:r>
      <w:r>
        <w:rPr>
          <w:sz w:val="24"/>
        </w:rPr>
        <w:t>apoptosis</w:t>
      </w:r>
      <w:r>
        <w:rPr>
          <w:spacing w:val="-2"/>
          <w:sz w:val="24"/>
        </w:rPr>
        <w:t> </w:t>
      </w:r>
      <w:r>
        <w:rPr>
          <w:sz w:val="24"/>
        </w:rPr>
        <w:t>in</w:t>
      </w:r>
      <w:r>
        <w:rPr>
          <w:spacing w:val="-3"/>
          <w:sz w:val="24"/>
        </w:rPr>
        <w:t> </w:t>
      </w:r>
      <w:r>
        <w:rPr>
          <w:sz w:val="24"/>
        </w:rPr>
        <w:t>human</w:t>
      </w:r>
      <w:r>
        <w:rPr>
          <w:spacing w:val="-4"/>
          <w:sz w:val="24"/>
        </w:rPr>
        <w:t> </w:t>
      </w:r>
      <w:r>
        <w:rPr>
          <w:sz w:val="24"/>
        </w:rPr>
        <w:t>colon</w:t>
      </w:r>
      <w:r>
        <w:rPr>
          <w:spacing w:val="-3"/>
          <w:sz w:val="24"/>
        </w:rPr>
        <w:t> </w:t>
      </w:r>
      <w:r>
        <w:rPr>
          <w:sz w:val="24"/>
        </w:rPr>
        <w:t>cancer</w:t>
      </w:r>
      <w:r>
        <w:rPr>
          <w:spacing w:val="-5"/>
          <w:sz w:val="24"/>
        </w:rPr>
        <w:t> </w:t>
      </w:r>
      <w:r>
        <w:rPr>
          <w:sz w:val="24"/>
        </w:rPr>
        <w:t>cells by increasing mitochondrial respiration with a concomitant O2-*-generation. Apoptosis </w:t>
      </w:r>
      <w:r>
        <w:rPr>
          <w:spacing w:val="-4"/>
          <w:sz w:val="24"/>
        </w:rPr>
        <w:t>». </w:t>
      </w:r>
      <w:r>
        <w:rPr>
          <w:i/>
          <w:sz w:val="24"/>
        </w:rPr>
        <w:t>Apoptosis : an international journal on programmed cell death </w:t>
      </w:r>
      <w:r>
        <w:rPr>
          <w:sz w:val="24"/>
        </w:rPr>
        <w:t>10 (2): 359</w:t>
      </w:r>
      <w:r>
        <w:rPr>
          <w:rFonts w:ascii="Cambria Math" w:hAnsi="Cambria Math"/>
          <w:sz w:val="24"/>
        </w:rPr>
        <w:t>‑</w:t>
      </w:r>
      <w:r>
        <w:rPr>
          <w:sz w:val="24"/>
        </w:rPr>
        <w:t>68.</w:t>
      </w:r>
    </w:p>
    <w:p>
      <w:pPr>
        <w:pStyle w:val="BodyText"/>
        <w:spacing w:line="242" w:lineRule="auto"/>
        <w:ind w:left="836" w:right="114" w:hanging="720"/>
        <w:jc w:val="both"/>
      </w:pPr>
      <w:r>
        <w:rPr/>
        <w:t>Whitehouse, S, et P J Randle. 1973. « Activation of pyruvate dehydrogenase in perfused rat heart by dichloroacetate ». </w:t>
      </w:r>
      <w:r>
        <w:rPr>
          <w:i/>
        </w:rPr>
        <w:t>Biochemical Journal </w:t>
      </w:r>
      <w:r>
        <w:rPr/>
        <w:t>134 (2): 651</w:t>
      </w:r>
      <w:r>
        <w:rPr>
          <w:rFonts w:ascii="Cambria Math" w:hAnsi="Cambria Math"/>
        </w:rPr>
        <w:t>‑</w:t>
      </w:r>
      <w:r>
        <w:rPr/>
        <w:t>53.</w:t>
      </w:r>
    </w:p>
    <w:p>
      <w:pPr>
        <w:pStyle w:val="BodyText"/>
        <w:spacing w:line="242" w:lineRule="auto"/>
        <w:ind w:left="836" w:right="114" w:hanging="720"/>
        <w:jc w:val="both"/>
      </w:pPr>
      <w:r>
        <w:rPr/>
        <w:t>Wicks, R T, J Azadi, A Mangraviti, I Zhang, L Hwang, A Joshi, H Bow, et al. 2015. « Local delivery</w:t>
      </w:r>
      <w:r>
        <w:rPr>
          <w:spacing w:val="-18"/>
        </w:rPr>
        <w:t> </w:t>
      </w:r>
      <w:r>
        <w:rPr/>
        <w:t>of</w:t>
      </w:r>
      <w:r>
        <w:rPr>
          <w:spacing w:val="-13"/>
        </w:rPr>
        <w:t> </w:t>
      </w:r>
      <w:r>
        <w:rPr/>
        <w:t>cancer-cell</w:t>
      </w:r>
      <w:r>
        <w:rPr>
          <w:spacing w:val="-9"/>
        </w:rPr>
        <w:t> </w:t>
      </w:r>
      <w:r>
        <w:rPr/>
        <w:t>glycolytic</w:t>
      </w:r>
      <w:r>
        <w:rPr>
          <w:spacing w:val="-13"/>
        </w:rPr>
        <w:t> </w:t>
      </w:r>
      <w:r>
        <w:rPr/>
        <w:t>inhibitors</w:t>
      </w:r>
      <w:r>
        <w:rPr>
          <w:spacing w:val="-13"/>
        </w:rPr>
        <w:t> </w:t>
      </w:r>
      <w:r>
        <w:rPr/>
        <w:t>in</w:t>
      </w:r>
      <w:r>
        <w:rPr>
          <w:spacing w:val="-12"/>
        </w:rPr>
        <w:t> </w:t>
      </w:r>
      <w:r>
        <w:rPr/>
        <w:t>high-grade</w:t>
      </w:r>
      <w:r>
        <w:rPr>
          <w:spacing w:val="-11"/>
        </w:rPr>
        <w:t> </w:t>
      </w:r>
      <w:r>
        <w:rPr/>
        <w:t>glioma</w:t>
      </w:r>
      <w:r>
        <w:rPr>
          <w:spacing w:val="1"/>
        </w:rPr>
        <w:t> </w:t>
      </w:r>
      <w:r>
        <w:rPr>
          <w:spacing w:val="-4"/>
        </w:rPr>
        <w:t>».</w:t>
      </w:r>
      <w:r>
        <w:rPr>
          <w:spacing w:val="-10"/>
        </w:rPr>
        <w:t> </w:t>
      </w:r>
      <w:r>
        <w:rPr>
          <w:i/>
        </w:rPr>
        <w:t>Neuro-Oncology</w:t>
      </w:r>
      <w:r>
        <w:rPr>
          <w:i/>
          <w:spacing w:val="-12"/>
        </w:rPr>
        <w:t> </w:t>
      </w:r>
      <w:r>
        <w:rPr/>
        <w:t>17 (1):</w:t>
      </w:r>
      <w:r>
        <w:rPr>
          <w:spacing w:val="-3"/>
        </w:rPr>
        <w:t> </w:t>
      </w:r>
      <w:r>
        <w:rPr/>
        <w:t>70</w:t>
      </w:r>
      <w:r>
        <w:rPr>
          <w:rFonts w:ascii="Cambria Math" w:hAnsi="Cambria Math"/>
        </w:rPr>
        <w:t>‑</w:t>
      </w:r>
      <w:r>
        <w:rPr/>
        <w:t>80.</w:t>
      </w:r>
    </w:p>
    <w:p>
      <w:pPr>
        <w:pStyle w:val="BodyText"/>
        <w:spacing w:line="272" w:lineRule="exact" w:before="7"/>
        <w:ind w:left="116"/>
      </w:pPr>
      <w:r>
        <w:rPr/>
        <w:t>Wise, R, R J DeBerardinis, A Mancuso, N Sayed, X Zhang, H K Pfeiffer, I Nissim, et al. 2008.</w:t>
      </w:r>
    </w:p>
    <w:p>
      <w:pPr>
        <w:spacing w:line="242" w:lineRule="auto" w:before="0"/>
        <w:ind w:left="836" w:right="114" w:firstLine="0"/>
        <w:jc w:val="both"/>
        <w:rPr>
          <w:sz w:val="24"/>
        </w:rPr>
      </w:pPr>
      <w:r>
        <w:rPr>
          <w:sz w:val="24"/>
        </w:rPr>
        <w:t>« Myc Regulates a Transcriptional Program That Stimulates Mitochondrial Glutaminolysis and Leads to Glutamine Addiction ». </w:t>
      </w:r>
      <w:r>
        <w:rPr>
          <w:i/>
          <w:sz w:val="24"/>
        </w:rPr>
        <w:t>Proceedings of the National </w:t>
      </w:r>
      <w:r>
        <w:rPr>
          <w:i/>
          <w:sz w:val="24"/>
        </w:rPr>
        <w:t>Academy of Sciences of the United States of America </w:t>
      </w:r>
      <w:r>
        <w:rPr>
          <w:sz w:val="24"/>
        </w:rPr>
        <w:t>105 (48): 18782</w:t>
      </w:r>
      <w:r>
        <w:rPr>
          <w:rFonts w:ascii="Cambria Math" w:hAnsi="Cambria Math"/>
          <w:sz w:val="24"/>
        </w:rPr>
        <w:t>‑</w:t>
      </w:r>
      <w:r>
        <w:rPr>
          <w:sz w:val="24"/>
        </w:rPr>
        <w:t>87.</w:t>
      </w:r>
    </w:p>
    <w:p>
      <w:pPr>
        <w:pStyle w:val="BodyText"/>
        <w:ind w:left="824" w:right="112" w:hanging="708"/>
        <w:jc w:val="both"/>
      </w:pPr>
      <w:r>
        <w:rPr/>
        <w:t>Withrow, S J, R Page, et D M Vail. 2013. « Withrow and MacEwen's Small Animal Clinical Oncology ». 5th Edition. Elsevier Health Sciences, 750 p. ISBN: 978-1-4377-2362-5</w:t>
      </w:r>
    </w:p>
    <w:p>
      <w:pPr>
        <w:pStyle w:val="BodyText"/>
        <w:spacing w:line="242" w:lineRule="auto" w:before="6"/>
        <w:ind w:left="824" w:right="119" w:hanging="708"/>
        <w:jc w:val="both"/>
      </w:pPr>
      <w:r>
        <w:rPr/>
        <w:t>Witt, O, H E Deubzer, T Milde, et I Oehme. 2009. « HDAC Family: What Are the Cancer Relevant Targets? » </w:t>
      </w:r>
      <w:r>
        <w:rPr>
          <w:i/>
        </w:rPr>
        <w:t>Cancer Letters </w:t>
      </w:r>
      <w:r>
        <w:rPr/>
        <w:t>277 (1): 8</w:t>
      </w:r>
      <w:r>
        <w:rPr>
          <w:rFonts w:ascii="Cambria Math" w:hAnsi="Cambria Math"/>
        </w:rPr>
        <w:t>‑</w:t>
      </w:r>
      <w:r>
        <w:rPr/>
        <w:t>21.</w:t>
      </w:r>
    </w:p>
    <w:p>
      <w:pPr>
        <w:pStyle w:val="BodyText"/>
        <w:spacing w:line="270" w:lineRule="exact"/>
        <w:ind w:left="116"/>
      </w:pPr>
      <w:r>
        <w:rPr/>
        <w:t>Wolff, A C, A A  Lazar,  I Bondarenko,  A M Garin, S Brincat,  L Chow,  Y Sun, et al.  2013.</w:t>
      </w:r>
    </w:p>
    <w:p>
      <w:pPr>
        <w:spacing w:line="240" w:lineRule="auto" w:before="0"/>
        <w:ind w:left="836" w:right="114" w:firstLine="0"/>
        <w:jc w:val="both"/>
        <w:rPr>
          <w:sz w:val="24"/>
        </w:rPr>
      </w:pPr>
      <w:r>
        <w:rPr>
          <w:sz w:val="24"/>
        </w:rPr>
        <w:t>« Randomized Phase III Placebo-Controlled Trial of Letrozole plus Oral Temsirolimus as</w:t>
      </w:r>
      <w:r>
        <w:rPr>
          <w:spacing w:val="-5"/>
          <w:sz w:val="24"/>
        </w:rPr>
        <w:t> </w:t>
      </w:r>
      <w:r>
        <w:rPr>
          <w:sz w:val="24"/>
        </w:rPr>
        <w:t>First-Line</w:t>
      </w:r>
      <w:r>
        <w:rPr>
          <w:spacing w:val="-5"/>
          <w:sz w:val="24"/>
        </w:rPr>
        <w:t> </w:t>
      </w:r>
      <w:r>
        <w:rPr>
          <w:sz w:val="24"/>
        </w:rPr>
        <w:t>Endocrine</w:t>
      </w:r>
      <w:r>
        <w:rPr>
          <w:spacing w:val="-6"/>
          <w:sz w:val="24"/>
        </w:rPr>
        <w:t> </w:t>
      </w:r>
      <w:r>
        <w:rPr>
          <w:sz w:val="24"/>
        </w:rPr>
        <w:t>Therapy</w:t>
      </w:r>
      <w:r>
        <w:rPr>
          <w:spacing w:val="-10"/>
          <w:sz w:val="24"/>
        </w:rPr>
        <w:t> </w:t>
      </w:r>
      <w:r>
        <w:rPr>
          <w:sz w:val="24"/>
        </w:rPr>
        <w:t>in</w:t>
      </w:r>
      <w:r>
        <w:rPr>
          <w:spacing w:val="-4"/>
          <w:sz w:val="24"/>
        </w:rPr>
        <w:t> </w:t>
      </w:r>
      <w:r>
        <w:rPr>
          <w:sz w:val="24"/>
        </w:rPr>
        <w:t>Postmenopausal</w:t>
      </w:r>
      <w:r>
        <w:rPr>
          <w:spacing w:val="-4"/>
          <w:sz w:val="24"/>
        </w:rPr>
        <w:t> </w:t>
      </w:r>
      <w:r>
        <w:rPr>
          <w:sz w:val="24"/>
        </w:rPr>
        <w:t>Women</w:t>
      </w:r>
      <w:r>
        <w:rPr>
          <w:spacing w:val="-5"/>
          <w:sz w:val="24"/>
        </w:rPr>
        <w:t> </w:t>
      </w:r>
      <w:r>
        <w:rPr>
          <w:sz w:val="24"/>
        </w:rPr>
        <w:t>with</w:t>
      </w:r>
      <w:r>
        <w:rPr>
          <w:spacing w:val="-4"/>
          <w:sz w:val="24"/>
        </w:rPr>
        <w:t> </w:t>
      </w:r>
      <w:r>
        <w:rPr>
          <w:sz w:val="24"/>
        </w:rPr>
        <w:t>Locally</w:t>
      </w:r>
      <w:r>
        <w:rPr>
          <w:spacing w:val="-7"/>
          <w:sz w:val="24"/>
        </w:rPr>
        <w:t> </w:t>
      </w:r>
      <w:r>
        <w:rPr>
          <w:sz w:val="24"/>
        </w:rPr>
        <w:t>Advanced</w:t>
      </w:r>
      <w:r>
        <w:rPr>
          <w:spacing w:val="-5"/>
          <w:sz w:val="24"/>
        </w:rPr>
        <w:t> </w:t>
      </w:r>
      <w:r>
        <w:rPr>
          <w:sz w:val="24"/>
        </w:rPr>
        <w:t>or Metastatic Breast Cancer </w:t>
      </w:r>
      <w:r>
        <w:rPr>
          <w:spacing w:val="-4"/>
          <w:sz w:val="24"/>
        </w:rPr>
        <w:t>». </w:t>
      </w:r>
      <w:r>
        <w:rPr>
          <w:i/>
          <w:sz w:val="24"/>
        </w:rPr>
        <w:t>Journal of Clinical Oncology: Official Journal of the </w:t>
      </w:r>
      <w:r>
        <w:rPr>
          <w:i/>
          <w:sz w:val="24"/>
        </w:rPr>
        <w:t>American Society of Clinical Oncology </w:t>
      </w:r>
      <w:r>
        <w:rPr>
          <w:sz w:val="24"/>
        </w:rPr>
        <w:t>31 (2):</w:t>
      </w:r>
      <w:r>
        <w:rPr>
          <w:spacing w:val="-6"/>
          <w:sz w:val="24"/>
        </w:rPr>
        <w:t> </w:t>
      </w:r>
      <w:r>
        <w:rPr>
          <w:sz w:val="24"/>
        </w:rPr>
        <w:t>195</w:t>
      </w:r>
      <w:r>
        <w:rPr>
          <w:rFonts w:ascii="Cambria Math" w:hAnsi="Cambria Math"/>
          <w:sz w:val="24"/>
        </w:rPr>
        <w:t>‑</w:t>
      </w:r>
      <w:r>
        <w:rPr>
          <w:sz w:val="24"/>
        </w:rPr>
        <w:t>202.</w:t>
      </w:r>
    </w:p>
    <w:p>
      <w:pPr>
        <w:pStyle w:val="BodyText"/>
        <w:spacing w:line="242" w:lineRule="auto"/>
        <w:ind w:left="836" w:right="118" w:hanging="720"/>
        <w:jc w:val="both"/>
      </w:pPr>
      <w:r>
        <w:rPr/>
        <w:t>Wong, J Y Y, G S Huggins, M D, N C Munshi, et I De Vivo. 2008. « Dichloroacetate Induces Apoptosis in Endometrial Cancer Cells ». </w:t>
      </w:r>
      <w:r>
        <w:rPr>
          <w:i/>
        </w:rPr>
        <w:t>Gynecologic Oncology </w:t>
      </w:r>
      <w:r>
        <w:rPr/>
        <w:t>109 (3): 394</w:t>
      </w:r>
      <w:r>
        <w:rPr>
          <w:rFonts w:ascii="Cambria Math" w:hAnsi="Cambria Math"/>
        </w:rPr>
        <w:t>‑</w:t>
      </w:r>
      <w:r>
        <w:rPr/>
        <w:t>402.</w:t>
      </w:r>
    </w:p>
    <w:p>
      <w:pPr>
        <w:pStyle w:val="BodyText"/>
        <w:spacing w:line="242" w:lineRule="auto"/>
        <w:ind w:left="836" w:right="115" w:hanging="720"/>
        <w:jc w:val="both"/>
      </w:pPr>
      <w:r>
        <w:rPr/>
        <w:t>Wood, T E, Dalili, C Simpson, R Hurren, X Mao, F S Saiz, M Gronda, et al. 2008. « A Novel Inhibitor of Glucose Uptake Sensitizes Cells to FAS-Induced Cell Death ». </w:t>
      </w:r>
      <w:r>
        <w:rPr>
          <w:i/>
        </w:rPr>
        <w:t>Molecular </w:t>
      </w:r>
      <w:r>
        <w:rPr>
          <w:i/>
        </w:rPr>
        <w:t>Cancer Therapeutics </w:t>
      </w:r>
      <w:r>
        <w:rPr/>
        <w:t>7 (11): 3546</w:t>
      </w:r>
      <w:r>
        <w:rPr>
          <w:rFonts w:ascii="Cambria Math" w:hAnsi="Cambria Math"/>
        </w:rPr>
        <w:t>‑</w:t>
      </w:r>
      <w:r>
        <w:rPr/>
        <w:t>55.</w:t>
      </w:r>
    </w:p>
    <w:p>
      <w:pPr>
        <w:pStyle w:val="BodyText"/>
        <w:ind w:left="836" w:right="114" w:hanging="720"/>
        <w:jc w:val="both"/>
      </w:pPr>
      <w:r>
        <w:rPr/>
        <w:t>Wu, C, Y Ho, C Tsai, Y Wang, H Tseng, P Wei, C Lee, R Liu, et S Lin. 2009. « In Vitro and in Vivo Study of Phloretin-Induced Apoptosis in Human Liver Cancer Cells Involving Inhibition of Type II Glucose Transporter ». </w:t>
      </w:r>
      <w:r>
        <w:rPr>
          <w:i/>
        </w:rPr>
        <w:t>International Journal of Cancer </w:t>
      </w:r>
      <w:r>
        <w:rPr/>
        <w:t>124 (9): 2210</w:t>
      </w:r>
      <w:r>
        <w:rPr>
          <w:rFonts w:ascii="Cambria Math" w:hAnsi="Cambria Math"/>
        </w:rPr>
        <w:t>‑</w:t>
      </w:r>
      <w:r>
        <w:rPr/>
        <w:t>19.</w:t>
      </w:r>
    </w:p>
    <w:p>
      <w:pPr>
        <w:spacing w:after="0"/>
        <w:jc w:val="both"/>
        <w:sectPr>
          <w:pgSz w:w="11910" w:h="16840"/>
          <w:pgMar w:header="0" w:footer="995" w:top="1320" w:bottom="1240" w:left="1300" w:right="1300"/>
        </w:sectPr>
      </w:pPr>
    </w:p>
    <w:p>
      <w:pPr>
        <w:pStyle w:val="BodyText"/>
        <w:spacing w:before="70"/>
        <w:ind w:left="836" w:right="114" w:hanging="720"/>
        <w:jc w:val="both"/>
      </w:pPr>
      <w:r>
        <w:rPr/>
        <w:t>Wu,</w:t>
      </w:r>
      <w:r>
        <w:rPr>
          <w:spacing w:val="-9"/>
        </w:rPr>
        <w:t> </w:t>
      </w:r>
      <w:r>
        <w:rPr/>
        <w:t>H,</w:t>
      </w:r>
      <w:r>
        <w:rPr>
          <w:spacing w:val="-9"/>
        </w:rPr>
        <w:t> </w:t>
      </w:r>
      <w:r>
        <w:rPr/>
        <w:t>J</w:t>
      </w:r>
      <w:r>
        <w:rPr>
          <w:spacing w:val="-6"/>
        </w:rPr>
        <w:t> </w:t>
      </w:r>
      <w:r>
        <w:rPr/>
        <w:t>Walker,</w:t>
      </w:r>
      <w:r>
        <w:rPr>
          <w:spacing w:val="-9"/>
        </w:rPr>
        <w:t> </w:t>
      </w:r>
      <w:r>
        <w:rPr/>
        <w:t>R</w:t>
      </w:r>
      <w:r>
        <w:rPr>
          <w:spacing w:val="-7"/>
        </w:rPr>
        <w:t> </w:t>
      </w:r>
      <w:r>
        <w:rPr/>
        <w:t>Damhuis,</w:t>
      </w:r>
      <w:r>
        <w:rPr>
          <w:spacing w:val="-8"/>
        </w:rPr>
        <w:t> </w:t>
      </w:r>
      <w:r>
        <w:rPr/>
        <w:t>D</w:t>
      </w:r>
      <w:r>
        <w:rPr>
          <w:spacing w:val="-9"/>
        </w:rPr>
        <w:t> </w:t>
      </w:r>
      <w:r>
        <w:rPr/>
        <w:t>H</w:t>
      </w:r>
      <w:r>
        <w:rPr>
          <w:spacing w:val="-7"/>
        </w:rPr>
        <w:t> </w:t>
      </w:r>
      <w:r>
        <w:rPr/>
        <w:t>Brewster,</w:t>
      </w:r>
      <w:r>
        <w:rPr>
          <w:spacing w:val="-7"/>
        </w:rPr>
        <w:t> </w:t>
      </w:r>
      <w:r>
        <w:rPr/>
        <w:t>S</w:t>
      </w:r>
      <w:r>
        <w:rPr>
          <w:spacing w:val="-8"/>
        </w:rPr>
        <w:t> </w:t>
      </w:r>
      <w:r>
        <w:rPr/>
        <w:t>H</w:t>
      </w:r>
      <w:r>
        <w:rPr>
          <w:spacing w:val="-4"/>
        </w:rPr>
        <w:t> </w:t>
      </w:r>
      <w:r>
        <w:rPr/>
        <w:t>Wild,</w:t>
      </w:r>
      <w:r>
        <w:rPr>
          <w:spacing w:val="-9"/>
        </w:rPr>
        <w:t> </w:t>
      </w:r>
      <w:r>
        <w:rPr/>
        <w:t>et</w:t>
      </w:r>
      <w:r>
        <w:rPr>
          <w:spacing w:val="-8"/>
        </w:rPr>
        <w:t> </w:t>
      </w:r>
      <w:r>
        <w:rPr/>
        <w:t>Scottish</w:t>
      </w:r>
      <w:r>
        <w:rPr>
          <w:spacing w:val="-8"/>
        </w:rPr>
        <w:t> </w:t>
      </w:r>
      <w:r>
        <w:rPr/>
        <w:t>Diabetes</w:t>
      </w:r>
      <w:r>
        <w:rPr>
          <w:spacing w:val="-8"/>
        </w:rPr>
        <w:t> </w:t>
      </w:r>
      <w:r>
        <w:rPr/>
        <w:t>Research</w:t>
      </w:r>
      <w:r>
        <w:rPr>
          <w:spacing w:val="-6"/>
        </w:rPr>
        <w:t> </w:t>
      </w:r>
      <w:r>
        <w:rPr/>
        <w:t>Network Epidemiology Group. 2016. « Metformin and Survival of People with Type 2 Diabetes and Pleural Mesothelioma: A Population-Based Retrospective Cohort Study </w:t>
      </w:r>
      <w:r>
        <w:rPr>
          <w:spacing w:val="-4"/>
        </w:rPr>
        <w:t>». </w:t>
      </w:r>
      <w:r>
        <w:rPr>
          <w:i/>
        </w:rPr>
        <w:t>Lung </w:t>
      </w:r>
      <w:r>
        <w:rPr>
          <w:i/>
        </w:rPr>
        <w:t>Cancer (Amsterdam, Netherlands) </w:t>
      </w:r>
      <w:r>
        <w:rPr/>
        <w:t>99 (9):</w:t>
      </w:r>
      <w:r>
        <w:rPr>
          <w:spacing w:val="-7"/>
        </w:rPr>
        <w:t> </w:t>
      </w:r>
      <w:r>
        <w:rPr/>
        <w:t>194</w:t>
      </w:r>
      <w:r>
        <w:rPr>
          <w:rFonts w:ascii="Cambria Math" w:hAnsi="Cambria Math"/>
        </w:rPr>
        <w:t>‑</w:t>
      </w:r>
      <w:r>
        <w:rPr/>
        <w:t>99.</w:t>
      </w:r>
    </w:p>
    <w:p>
      <w:pPr>
        <w:spacing w:before="0"/>
        <w:ind w:left="836" w:right="115" w:hanging="720"/>
        <w:jc w:val="both"/>
        <w:rPr>
          <w:sz w:val="24"/>
        </w:rPr>
      </w:pPr>
      <w:r>
        <w:rPr>
          <w:sz w:val="24"/>
        </w:rPr>
        <w:t>Wypij, J M. 2015. « Pilot Study of Oral Metformin in Cancer-Bearing Cats ». </w:t>
      </w:r>
      <w:r>
        <w:rPr>
          <w:i/>
          <w:sz w:val="24"/>
        </w:rPr>
        <w:t>Veterinary and </w:t>
      </w:r>
      <w:r>
        <w:rPr>
          <w:i/>
          <w:sz w:val="24"/>
        </w:rPr>
        <w:t>Comparative Oncology </w:t>
      </w:r>
      <w:r>
        <w:rPr>
          <w:sz w:val="24"/>
        </w:rPr>
        <w:t>2 (10): 125-36.</w:t>
      </w:r>
    </w:p>
    <w:p>
      <w:pPr>
        <w:pStyle w:val="BodyText"/>
        <w:spacing w:line="242" w:lineRule="auto" w:before="1"/>
        <w:ind w:left="836" w:right="117" w:hanging="720"/>
        <w:jc w:val="both"/>
      </w:pPr>
      <w:r>
        <w:rPr/>
        <w:t>Xian, S, W Cao, X Zhang, et Y Lu. 2015. « 3-Bromopyruvate Inhibits Human Gastric Cancer Tumor</w:t>
      </w:r>
      <w:r>
        <w:rPr>
          <w:spacing w:val="-9"/>
        </w:rPr>
        <w:t> </w:t>
      </w:r>
      <w:r>
        <w:rPr/>
        <w:t>Growth</w:t>
      </w:r>
      <w:r>
        <w:rPr>
          <w:spacing w:val="-7"/>
        </w:rPr>
        <w:t> </w:t>
      </w:r>
      <w:r>
        <w:rPr/>
        <w:t>in</w:t>
      </w:r>
      <w:r>
        <w:rPr>
          <w:spacing w:val="-8"/>
        </w:rPr>
        <w:t> </w:t>
      </w:r>
      <w:r>
        <w:rPr/>
        <w:t>Nude</w:t>
      </w:r>
      <w:r>
        <w:rPr>
          <w:spacing w:val="-7"/>
        </w:rPr>
        <w:t> </w:t>
      </w:r>
      <w:r>
        <w:rPr/>
        <w:t>Mice</w:t>
      </w:r>
      <w:r>
        <w:rPr>
          <w:spacing w:val="-10"/>
        </w:rPr>
        <w:t> </w:t>
      </w:r>
      <w:r>
        <w:rPr/>
        <w:t>via</w:t>
      </w:r>
      <w:r>
        <w:rPr>
          <w:spacing w:val="-7"/>
        </w:rPr>
        <w:t> </w:t>
      </w:r>
      <w:r>
        <w:rPr/>
        <w:t>the</w:t>
      </w:r>
      <w:r>
        <w:rPr>
          <w:spacing w:val="-4"/>
        </w:rPr>
        <w:t> </w:t>
      </w:r>
      <w:r>
        <w:rPr/>
        <w:t>Inhibition</w:t>
      </w:r>
      <w:r>
        <w:rPr>
          <w:spacing w:val="-9"/>
        </w:rPr>
        <w:t> </w:t>
      </w:r>
      <w:r>
        <w:rPr/>
        <w:t>of</w:t>
      </w:r>
      <w:r>
        <w:rPr>
          <w:spacing w:val="-9"/>
        </w:rPr>
        <w:t> </w:t>
      </w:r>
      <w:r>
        <w:rPr/>
        <w:t>Glycolysis</w:t>
      </w:r>
      <w:r>
        <w:rPr>
          <w:spacing w:val="6"/>
        </w:rPr>
        <w:t> </w:t>
      </w:r>
      <w:r>
        <w:rPr>
          <w:spacing w:val="-4"/>
        </w:rPr>
        <w:t>».</w:t>
      </w:r>
      <w:r>
        <w:rPr>
          <w:spacing w:val="-6"/>
        </w:rPr>
        <w:t> </w:t>
      </w:r>
      <w:r>
        <w:rPr>
          <w:i/>
        </w:rPr>
        <w:t>Oncology</w:t>
      </w:r>
      <w:r>
        <w:rPr>
          <w:i/>
          <w:spacing w:val="-7"/>
        </w:rPr>
        <w:t> </w:t>
      </w:r>
      <w:r>
        <w:rPr>
          <w:i/>
        </w:rPr>
        <w:t>Letters</w:t>
      </w:r>
      <w:r>
        <w:rPr>
          <w:i/>
          <w:spacing w:val="-7"/>
        </w:rPr>
        <w:t> </w:t>
      </w:r>
      <w:r>
        <w:rPr/>
        <w:t>9</w:t>
      </w:r>
      <w:r>
        <w:rPr>
          <w:spacing w:val="-9"/>
        </w:rPr>
        <w:t> </w:t>
      </w:r>
      <w:r>
        <w:rPr/>
        <w:t>(2): 739</w:t>
      </w:r>
      <w:r>
        <w:rPr>
          <w:rFonts w:ascii="Cambria Math" w:hAnsi="Cambria Math"/>
        </w:rPr>
        <w:t>‑</w:t>
      </w:r>
      <w:r>
        <w:rPr/>
        <w:t>44.</w:t>
      </w:r>
    </w:p>
    <w:p>
      <w:pPr>
        <w:pStyle w:val="BodyText"/>
        <w:spacing w:line="242" w:lineRule="auto"/>
        <w:ind w:left="836" w:right="114" w:hanging="720"/>
        <w:jc w:val="both"/>
      </w:pPr>
      <w:r>
        <w:rPr/>
        <w:t>Xiang, T, Y Jia, D Sherris, S Li, H Wang, D Lu, et Q Yang. 2011. « Targeting the Akt/MTOR Pathway in Brca1-Deficient Cancers ». </w:t>
      </w:r>
      <w:r>
        <w:rPr>
          <w:i/>
        </w:rPr>
        <w:t>Oncogene </w:t>
      </w:r>
      <w:r>
        <w:rPr/>
        <w:t>30 (21): 2443</w:t>
      </w:r>
      <w:r>
        <w:rPr>
          <w:rFonts w:ascii="Cambria Math" w:hAnsi="Cambria Math"/>
        </w:rPr>
        <w:t>‑</w:t>
      </w:r>
      <w:r>
        <w:rPr/>
        <w:t>50.</w:t>
      </w:r>
    </w:p>
    <w:p>
      <w:pPr>
        <w:pStyle w:val="BodyText"/>
        <w:spacing w:line="242" w:lineRule="auto"/>
        <w:ind w:left="836" w:right="114" w:hanging="720"/>
        <w:jc w:val="both"/>
      </w:pPr>
      <w:r>
        <w:rPr/>
        <w:t>Xie, C, J Jin, X Bao, W Zhan, T Han, M Gan, C Zhang, et J Wang. 2016. « Inhibition of Mitochondrial Glutaminase Activity Reverses Acquired Erlotinib Resistance in Non- Small Cell Lung Cancer ». </w:t>
      </w:r>
      <w:r>
        <w:rPr>
          <w:i/>
        </w:rPr>
        <w:t>Oncotarget </w:t>
      </w:r>
      <w:r>
        <w:rPr/>
        <w:t>7 (1): 610</w:t>
      </w:r>
      <w:r>
        <w:rPr>
          <w:rFonts w:ascii="Cambria Math" w:hAnsi="Cambria Math"/>
        </w:rPr>
        <w:t>‑</w:t>
      </w:r>
      <w:r>
        <w:rPr/>
        <w:t>21.</w:t>
      </w:r>
    </w:p>
    <w:p>
      <w:pPr>
        <w:pStyle w:val="BodyText"/>
        <w:spacing w:line="270" w:lineRule="exact"/>
        <w:ind w:left="116"/>
        <w:rPr>
          <w:i/>
        </w:rPr>
      </w:pPr>
      <w:r>
        <w:rPr/>
        <w:t>Xie, J, X Wang, et C G Proud. 2016. « MTOR Inhibitors in Cancer Therapy ». </w:t>
      </w:r>
      <w:r>
        <w:rPr>
          <w:i/>
        </w:rPr>
        <w:t>F1000Research</w:t>
      </w:r>
    </w:p>
    <w:p>
      <w:pPr>
        <w:pStyle w:val="BodyText"/>
        <w:ind w:left="836"/>
        <w:jc w:val="both"/>
      </w:pPr>
      <w:r>
        <w:rPr/>
        <w:t>5 (4): 207-17.</w:t>
      </w:r>
    </w:p>
    <w:p>
      <w:pPr>
        <w:pStyle w:val="BodyText"/>
        <w:spacing w:line="242" w:lineRule="auto"/>
        <w:ind w:left="836" w:right="116" w:hanging="720"/>
        <w:jc w:val="both"/>
      </w:pPr>
      <w:r>
        <w:rPr/>
        <w:t>Xintaropoulou, C, C Ward, A Wise, H Marston, A Turnbull, et S P Langdon. 2015. « A Comparative Analysis of Inhibitors of the Glycolysis Pathway in Breast and Ovarian Cancer Cell Line Models ». </w:t>
      </w:r>
      <w:r>
        <w:rPr>
          <w:i/>
        </w:rPr>
        <w:t>Oncotarget </w:t>
      </w:r>
      <w:r>
        <w:rPr/>
        <w:t>6 (28): 25677</w:t>
      </w:r>
      <w:r>
        <w:rPr>
          <w:rFonts w:ascii="Cambria Math" w:hAnsi="Cambria Math"/>
        </w:rPr>
        <w:t>‑</w:t>
      </w:r>
      <w:r>
        <w:rPr/>
        <w:t>95.</w:t>
      </w:r>
    </w:p>
    <w:p>
      <w:pPr>
        <w:spacing w:line="240" w:lineRule="auto" w:before="0"/>
        <w:ind w:left="836" w:right="115" w:hanging="720"/>
        <w:jc w:val="both"/>
        <w:rPr>
          <w:sz w:val="24"/>
        </w:rPr>
      </w:pPr>
      <w:r>
        <w:rPr>
          <w:sz w:val="24"/>
        </w:rPr>
        <w:t>Xu, I M, R K Lai, S Lin, A P Tse, D K Chiu, H Koh, C Law, et al. 2016. « Transketolase Counteracts Oxidative Stress to Drive Cancer Development ». </w:t>
      </w:r>
      <w:r>
        <w:rPr>
          <w:i/>
          <w:sz w:val="24"/>
        </w:rPr>
        <w:t>Proceedings of the </w:t>
      </w:r>
      <w:r>
        <w:rPr>
          <w:i/>
          <w:sz w:val="24"/>
        </w:rPr>
        <w:t>National Academy of Sciences of the United States of America </w:t>
      </w:r>
      <w:r>
        <w:rPr>
          <w:sz w:val="24"/>
        </w:rPr>
        <w:t>113 (6): 725-734.</w:t>
      </w:r>
    </w:p>
    <w:p>
      <w:pPr>
        <w:pStyle w:val="BodyText"/>
        <w:spacing w:before="6"/>
        <w:ind w:left="116"/>
      </w:pPr>
      <w:r>
        <w:rPr/>
        <w:t>Xu, R, H Pelicano, Y Zhou, J S Carew, L Feng, K N Bhalla, M J Keating, et P Huang. 2005.</w:t>
      </w:r>
    </w:p>
    <w:p>
      <w:pPr>
        <w:pStyle w:val="BodyText"/>
        <w:spacing w:line="242" w:lineRule="auto"/>
        <w:ind w:left="836" w:right="115"/>
        <w:jc w:val="both"/>
      </w:pPr>
      <w:r>
        <w:rPr/>
        <w:t>« Inhibition of Glycolysis in Cancer Cells: A Novel Strategy to Overcome Drug Resistance Associated with Mitochondrial Respiratory Defect and Hypoxia ». </w:t>
      </w:r>
      <w:r>
        <w:rPr>
          <w:i/>
        </w:rPr>
        <w:t>Cancer </w:t>
      </w:r>
      <w:r>
        <w:rPr>
          <w:i/>
        </w:rPr>
        <w:t>Research </w:t>
      </w:r>
      <w:r>
        <w:rPr/>
        <w:t>65 (2): 613</w:t>
      </w:r>
      <w:r>
        <w:rPr>
          <w:rFonts w:ascii="Cambria Math" w:hAnsi="Cambria Math"/>
        </w:rPr>
        <w:t>‑</w:t>
      </w:r>
      <w:r>
        <w:rPr/>
        <w:t>21.</w:t>
      </w:r>
    </w:p>
    <w:p>
      <w:pPr>
        <w:pStyle w:val="BodyText"/>
        <w:spacing w:line="242" w:lineRule="auto"/>
        <w:ind w:left="836" w:right="114" w:hanging="720"/>
        <w:jc w:val="both"/>
      </w:pPr>
      <w:r>
        <w:rPr/>
        <w:t>Xue,</w:t>
      </w:r>
      <w:r>
        <w:rPr>
          <w:spacing w:val="-7"/>
        </w:rPr>
        <w:t> </w:t>
      </w:r>
      <w:r>
        <w:rPr/>
        <w:t>X,</w:t>
      </w:r>
      <w:r>
        <w:rPr>
          <w:spacing w:val="-7"/>
        </w:rPr>
        <w:t> </w:t>
      </w:r>
      <w:r>
        <w:rPr/>
        <w:t>S</w:t>
      </w:r>
      <w:r>
        <w:rPr>
          <w:spacing w:val="-7"/>
        </w:rPr>
        <w:t> </w:t>
      </w:r>
      <w:r>
        <w:rPr/>
        <w:t>You,</w:t>
      </w:r>
      <w:r>
        <w:rPr>
          <w:spacing w:val="-8"/>
        </w:rPr>
        <w:t> </w:t>
      </w:r>
      <w:r>
        <w:rPr/>
        <w:t>Q</w:t>
      </w:r>
      <w:r>
        <w:rPr>
          <w:spacing w:val="-3"/>
        </w:rPr>
        <w:t> </w:t>
      </w:r>
      <w:r>
        <w:rPr/>
        <w:t>Zhang,</w:t>
      </w:r>
      <w:r>
        <w:rPr>
          <w:spacing w:val="-5"/>
        </w:rPr>
        <w:t> </w:t>
      </w:r>
      <w:r>
        <w:rPr/>
        <w:t>Y</w:t>
      </w:r>
      <w:r>
        <w:rPr>
          <w:spacing w:val="-8"/>
        </w:rPr>
        <w:t> </w:t>
      </w:r>
      <w:r>
        <w:rPr/>
        <w:t>Wu,</w:t>
      </w:r>
      <w:r>
        <w:rPr>
          <w:spacing w:val="-7"/>
        </w:rPr>
        <w:t> </w:t>
      </w:r>
      <w:r>
        <w:rPr/>
        <w:t>G</w:t>
      </w:r>
      <w:r>
        <w:rPr>
          <w:spacing w:val="-8"/>
        </w:rPr>
        <w:t> </w:t>
      </w:r>
      <w:r>
        <w:rPr/>
        <w:t>Zou,</w:t>
      </w:r>
      <w:r>
        <w:rPr>
          <w:spacing w:val="-5"/>
        </w:rPr>
        <w:t> </w:t>
      </w:r>
      <w:r>
        <w:rPr/>
        <w:t>P</w:t>
      </w:r>
      <w:r>
        <w:rPr>
          <w:spacing w:val="-7"/>
        </w:rPr>
        <w:t> </w:t>
      </w:r>
      <w:r>
        <w:rPr/>
        <w:t>C</w:t>
      </w:r>
      <w:r>
        <w:rPr>
          <w:spacing w:val="-7"/>
        </w:rPr>
        <w:t> </w:t>
      </w:r>
      <w:r>
        <w:rPr/>
        <w:t>Wang,</w:t>
      </w:r>
      <w:r>
        <w:rPr>
          <w:spacing w:val="-7"/>
        </w:rPr>
        <w:t> </w:t>
      </w:r>
      <w:r>
        <w:rPr/>
        <w:t>Y</w:t>
      </w:r>
      <w:r>
        <w:rPr>
          <w:spacing w:val="-5"/>
        </w:rPr>
        <w:t> </w:t>
      </w:r>
      <w:r>
        <w:rPr/>
        <w:t>Zhao,</w:t>
      </w:r>
      <w:r>
        <w:rPr>
          <w:spacing w:val="-7"/>
        </w:rPr>
        <w:t> </w:t>
      </w:r>
      <w:r>
        <w:rPr/>
        <w:t>et</w:t>
      </w:r>
      <w:r>
        <w:rPr>
          <w:spacing w:val="-4"/>
        </w:rPr>
        <w:t> </w:t>
      </w:r>
      <w:r>
        <w:rPr/>
        <w:t>al.</w:t>
      </w:r>
      <w:r>
        <w:rPr>
          <w:spacing w:val="-7"/>
        </w:rPr>
        <w:t> </w:t>
      </w:r>
      <w:r>
        <w:rPr/>
        <w:t>2012.</w:t>
      </w:r>
      <w:r>
        <w:rPr>
          <w:spacing w:val="0"/>
        </w:rPr>
        <w:t> </w:t>
      </w:r>
      <w:r>
        <w:rPr/>
        <w:t>«</w:t>
      </w:r>
      <w:r>
        <w:rPr>
          <w:spacing w:val="-5"/>
        </w:rPr>
        <w:t> </w:t>
      </w:r>
      <w:r>
        <w:rPr/>
        <w:t>Mitaplatin</w:t>
      </w:r>
      <w:r>
        <w:rPr>
          <w:spacing w:val="-4"/>
        </w:rPr>
        <w:t> </w:t>
      </w:r>
      <w:r>
        <w:rPr/>
        <w:t>Increases Sensitivity of Tumor Cells to Cisplatin by Inducing Mitochondrial Dysfunction </w:t>
      </w:r>
      <w:r>
        <w:rPr>
          <w:spacing w:val="-4"/>
        </w:rPr>
        <w:t>». </w:t>
      </w:r>
      <w:r>
        <w:rPr>
          <w:i/>
        </w:rPr>
        <w:t>Molecular Pharmaceutics </w:t>
      </w:r>
      <w:r>
        <w:rPr/>
        <w:t>9 (3):</w:t>
      </w:r>
      <w:r>
        <w:rPr>
          <w:spacing w:val="-5"/>
        </w:rPr>
        <w:t> </w:t>
      </w:r>
      <w:r>
        <w:rPr/>
        <w:t>634</w:t>
      </w:r>
      <w:r>
        <w:rPr>
          <w:rFonts w:ascii="Cambria Math" w:hAnsi="Cambria Math"/>
        </w:rPr>
        <w:t>‑</w:t>
      </w:r>
      <w:r>
        <w:rPr/>
        <w:t>44.</w:t>
      </w:r>
    </w:p>
    <w:p>
      <w:pPr>
        <w:pStyle w:val="BodyText"/>
        <w:spacing w:line="242" w:lineRule="auto"/>
        <w:ind w:left="836" w:right="115" w:hanging="720"/>
        <w:jc w:val="both"/>
      </w:pPr>
      <w:r>
        <w:rPr/>
        <w:t>Yalcin, A, S Telang, B Clem, et J Chesney. 2009. « Regulation of Glucose Metabolism by 6- Phosphofructo-2-Kinase/Fructose-2,6-Bisphosphatases in Cancer ». </w:t>
      </w:r>
      <w:r>
        <w:rPr>
          <w:i/>
        </w:rPr>
        <w:t>Experimental and </w:t>
      </w:r>
      <w:r>
        <w:rPr>
          <w:i/>
        </w:rPr>
        <w:t>Molecular Pathology </w:t>
      </w:r>
      <w:r>
        <w:rPr/>
        <w:t>86 (3): 174</w:t>
      </w:r>
      <w:r>
        <w:rPr>
          <w:rFonts w:ascii="Cambria Math" w:hAnsi="Cambria Math"/>
        </w:rPr>
        <w:t>‑</w:t>
      </w:r>
      <w:r>
        <w:rPr/>
        <w:t>79.</w:t>
      </w:r>
    </w:p>
    <w:p>
      <w:pPr>
        <w:pStyle w:val="BodyText"/>
        <w:spacing w:line="270" w:lineRule="exact" w:before="2"/>
        <w:ind w:left="116"/>
      </w:pPr>
      <w:r>
        <w:rPr/>
        <w:t>Yang, C, J Sudderth, T Dang, R G Bachoo, J G McDonald, et R J DeBerardinis. 2009.</w:t>
      </w:r>
    </w:p>
    <w:p>
      <w:pPr>
        <w:pStyle w:val="BodyText"/>
        <w:spacing w:line="242" w:lineRule="auto"/>
        <w:ind w:left="836" w:right="120"/>
        <w:jc w:val="both"/>
      </w:pPr>
      <w:r>
        <w:rPr/>
        <w:t>« Glioblastoma Cells Require Glutamate Dehydrogenase to Survive Impairments of Glucose Metabolism or Akt Signaling ». </w:t>
      </w:r>
      <w:r>
        <w:rPr>
          <w:i/>
        </w:rPr>
        <w:t>Cancer Research </w:t>
      </w:r>
      <w:r>
        <w:rPr/>
        <w:t>69 (20): 7986</w:t>
      </w:r>
      <w:r>
        <w:rPr>
          <w:rFonts w:ascii="Cambria Math" w:hAnsi="Cambria Math"/>
        </w:rPr>
        <w:t>‑</w:t>
      </w:r>
      <w:r>
        <w:rPr/>
        <w:t>93.</w:t>
      </w:r>
    </w:p>
    <w:p>
      <w:pPr>
        <w:pStyle w:val="BodyText"/>
        <w:spacing w:line="242" w:lineRule="auto"/>
        <w:ind w:left="836" w:right="112" w:hanging="720"/>
        <w:jc w:val="both"/>
      </w:pPr>
      <w:r>
        <w:rPr/>
        <w:t>Yang, Y, D Su, L Zhao, D Zhang, J Xu, J Wan, S Fan, et M Chen. 2014. « Different Effects</w:t>
      </w:r>
      <w:r>
        <w:rPr>
          <w:spacing w:val="-24"/>
        </w:rPr>
        <w:t> </w:t>
      </w:r>
      <w:r>
        <w:rPr/>
        <w:t>of LDH-A Inhibition by Oxamate in Non-Small Cell Lung Cancer Cells </w:t>
      </w:r>
      <w:r>
        <w:rPr>
          <w:spacing w:val="-4"/>
        </w:rPr>
        <w:t>». </w:t>
      </w:r>
      <w:r>
        <w:rPr>
          <w:i/>
        </w:rPr>
        <w:t>Oncotarget </w:t>
      </w:r>
      <w:r>
        <w:rPr/>
        <w:t>5 (23):</w:t>
      </w:r>
      <w:r>
        <w:rPr>
          <w:spacing w:val="-3"/>
        </w:rPr>
        <w:t> </w:t>
      </w:r>
      <w:r>
        <w:rPr/>
        <w:t>11886</w:t>
      </w:r>
      <w:r>
        <w:rPr>
          <w:rFonts w:ascii="Cambria Math" w:hAnsi="Cambria Math"/>
        </w:rPr>
        <w:t>‑</w:t>
      </w:r>
      <w:r>
        <w:rPr/>
        <w:t>96.</w:t>
      </w:r>
    </w:p>
    <w:p>
      <w:pPr>
        <w:pStyle w:val="BodyText"/>
        <w:spacing w:before="1"/>
        <w:ind w:left="836" w:right="114" w:hanging="720"/>
        <w:jc w:val="both"/>
      </w:pPr>
      <w:r>
        <w:rPr/>
        <w:t>You, A, M Cao, Z Guo, B Zuo, J Gao, H Zhou, H Li, et al. 2016. « Metformin Sensitizes Sorafenib to Inhibit Postoperative Recurrence and Metastasis of Hepatocellular Carcinoma in Orthotopic Mouse Models ». </w:t>
      </w:r>
      <w:r>
        <w:rPr>
          <w:i/>
        </w:rPr>
        <w:t>Journal of Hematology &amp; Oncology </w:t>
      </w:r>
      <w:r>
        <w:rPr/>
        <w:t>4 (9): 20-29.</w:t>
      </w:r>
    </w:p>
    <w:p>
      <w:pPr>
        <w:pStyle w:val="BodyText"/>
        <w:spacing w:line="242" w:lineRule="auto"/>
        <w:ind w:left="836" w:right="114" w:hanging="720"/>
        <w:jc w:val="both"/>
      </w:pPr>
      <w:r>
        <w:rPr/>
        <w:t>Yu, M, C Lee, M Wang, et I F Tannock. 2015. « Influence of the Proton Pump Inhibitor Lansoprazole on Distribution and Activity of Doxorubicin in Solid Tumors ». </w:t>
      </w:r>
      <w:r>
        <w:rPr>
          <w:i/>
        </w:rPr>
        <w:t>Cancer </w:t>
      </w:r>
      <w:r>
        <w:rPr>
          <w:i/>
        </w:rPr>
        <w:t>Science </w:t>
      </w:r>
      <w:r>
        <w:rPr/>
        <w:t>106 (10): 1438</w:t>
      </w:r>
      <w:r>
        <w:rPr>
          <w:rFonts w:ascii="Cambria Math" w:hAnsi="Cambria Math"/>
        </w:rPr>
        <w:t>‑</w:t>
      </w:r>
      <w:r>
        <w:rPr/>
        <w:t>47.</w:t>
      </w:r>
    </w:p>
    <w:p>
      <w:pPr>
        <w:pStyle w:val="BodyText"/>
        <w:ind w:left="836" w:right="112" w:hanging="720"/>
        <w:jc w:val="both"/>
      </w:pPr>
      <w:r>
        <w:rPr/>
        <w:t>Zatovicova,</w:t>
      </w:r>
      <w:r>
        <w:rPr>
          <w:spacing w:val="-8"/>
        </w:rPr>
        <w:t> </w:t>
      </w:r>
      <w:r>
        <w:rPr/>
        <w:t>M,</w:t>
      </w:r>
      <w:r>
        <w:rPr>
          <w:spacing w:val="-6"/>
        </w:rPr>
        <w:t> </w:t>
      </w:r>
      <w:r>
        <w:rPr/>
        <w:t>L</w:t>
      </w:r>
      <w:r>
        <w:rPr>
          <w:spacing w:val="-14"/>
        </w:rPr>
        <w:t> </w:t>
      </w:r>
      <w:r>
        <w:rPr/>
        <w:t>Jelenska,</w:t>
      </w:r>
      <w:r>
        <w:rPr>
          <w:spacing w:val="-9"/>
        </w:rPr>
        <w:t> </w:t>
      </w:r>
      <w:r>
        <w:rPr/>
        <w:t>A</w:t>
      </w:r>
      <w:r>
        <w:rPr>
          <w:spacing w:val="-9"/>
        </w:rPr>
        <w:t> </w:t>
      </w:r>
      <w:r>
        <w:rPr/>
        <w:t>Hulikova,</w:t>
      </w:r>
      <w:r>
        <w:rPr>
          <w:spacing w:val="-9"/>
        </w:rPr>
        <w:t> </w:t>
      </w:r>
      <w:r>
        <w:rPr/>
        <w:t>L</w:t>
      </w:r>
      <w:r>
        <w:rPr>
          <w:spacing w:val="-13"/>
        </w:rPr>
        <w:t> </w:t>
      </w:r>
      <w:r>
        <w:rPr/>
        <w:t>Csaderova,</w:t>
      </w:r>
      <w:r>
        <w:rPr>
          <w:spacing w:val="-9"/>
        </w:rPr>
        <w:t> </w:t>
      </w:r>
      <w:r>
        <w:rPr/>
        <w:t>Z</w:t>
      </w:r>
      <w:r>
        <w:rPr>
          <w:spacing w:val="-11"/>
        </w:rPr>
        <w:t> </w:t>
      </w:r>
      <w:r>
        <w:rPr/>
        <w:t>Ditte,</w:t>
      </w:r>
      <w:r>
        <w:rPr>
          <w:spacing w:val="-9"/>
        </w:rPr>
        <w:t> </w:t>
      </w:r>
      <w:r>
        <w:rPr/>
        <w:t>P</w:t>
      </w:r>
      <w:r>
        <w:rPr>
          <w:spacing w:val="-8"/>
        </w:rPr>
        <w:t> </w:t>
      </w:r>
      <w:r>
        <w:rPr/>
        <w:t>Ditte,</w:t>
      </w:r>
      <w:r>
        <w:rPr>
          <w:spacing w:val="-6"/>
        </w:rPr>
        <w:t> </w:t>
      </w:r>
      <w:r>
        <w:rPr/>
        <w:t>T</w:t>
      </w:r>
      <w:r>
        <w:rPr>
          <w:spacing w:val="-11"/>
        </w:rPr>
        <w:t> </w:t>
      </w:r>
      <w:r>
        <w:rPr/>
        <w:t>Goliasova,</w:t>
      </w:r>
      <w:r>
        <w:rPr>
          <w:spacing w:val="-9"/>
        </w:rPr>
        <w:t> </w:t>
      </w:r>
      <w:r>
        <w:rPr/>
        <w:t>J</w:t>
      </w:r>
      <w:r>
        <w:rPr>
          <w:spacing w:val="-8"/>
        </w:rPr>
        <w:t> </w:t>
      </w:r>
      <w:r>
        <w:rPr/>
        <w:t>Pastorek, et S Pastorekova. 2010. « Carbonic Anhydrase IX as an Anticancer Therapy Target: Preclinical Evaluation of Internalizing Monoclonal Antibody Directed to Catalytic Domain </w:t>
      </w:r>
      <w:r>
        <w:rPr>
          <w:spacing w:val="-4"/>
        </w:rPr>
        <w:t>». </w:t>
      </w:r>
      <w:r>
        <w:rPr>
          <w:i/>
        </w:rPr>
        <w:t>Current Pharmaceutical Design </w:t>
      </w:r>
      <w:r>
        <w:rPr/>
        <w:t>16 (29):</w:t>
      </w:r>
      <w:r>
        <w:rPr>
          <w:spacing w:val="5"/>
        </w:rPr>
        <w:t> </w:t>
      </w:r>
      <w:r>
        <w:rPr/>
        <w:t>3255</w:t>
      </w:r>
      <w:r>
        <w:rPr>
          <w:rFonts w:ascii="Cambria Math" w:hAnsi="Cambria Math"/>
        </w:rPr>
        <w:t>‑</w:t>
      </w:r>
      <w:r>
        <w:rPr/>
        <w:t>63.</w:t>
      </w:r>
    </w:p>
    <w:p>
      <w:pPr>
        <w:spacing w:after="0"/>
        <w:jc w:val="both"/>
        <w:sectPr>
          <w:pgSz w:w="11910" w:h="16840"/>
          <w:pgMar w:header="0" w:footer="1055" w:top="1320" w:bottom="1240" w:left="1300" w:right="1300"/>
        </w:sectPr>
      </w:pPr>
    </w:p>
    <w:p>
      <w:pPr>
        <w:pStyle w:val="BodyText"/>
        <w:spacing w:line="242" w:lineRule="auto" w:before="70"/>
        <w:ind w:left="836" w:right="114" w:hanging="720"/>
        <w:jc w:val="both"/>
      </w:pPr>
      <w:r>
        <w:rPr/>
        <w:t>Zhan, T, M Digel, E Küch, W Stremmel, et J Füllekrug. 2011. « Silybin and Dehydrosilybin Decrease Glucose Uptake by Inhibiting GLUT Proteins </w:t>
      </w:r>
      <w:r>
        <w:rPr>
          <w:spacing w:val="-4"/>
        </w:rPr>
        <w:t>».</w:t>
      </w:r>
      <w:r>
        <w:rPr>
          <w:spacing w:val="51"/>
        </w:rPr>
        <w:t> </w:t>
      </w:r>
      <w:r>
        <w:rPr>
          <w:i/>
        </w:rPr>
        <w:t>Journal of Cellular </w:t>
      </w:r>
      <w:r>
        <w:rPr>
          <w:i/>
        </w:rPr>
        <w:t>Biochemistry </w:t>
      </w:r>
      <w:r>
        <w:rPr/>
        <w:t>112 (3): 849</w:t>
      </w:r>
      <w:r>
        <w:rPr>
          <w:rFonts w:ascii="Cambria Math" w:hAnsi="Cambria Math"/>
        </w:rPr>
        <w:t>‑</w:t>
      </w:r>
      <w:r>
        <w:rPr/>
        <w:t>59.</w:t>
      </w:r>
    </w:p>
    <w:p>
      <w:pPr>
        <w:spacing w:line="240" w:lineRule="auto" w:before="0"/>
        <w:ind w:left="836" w:right="112" w:hanging="720"/>
        <w:jc w:val="both"/>
        <w:rPr>
          <w:sz w:val="24"/>
        </w:rPr>
      </w:pPr>
      <w:r>
        <w:rPr>
          <w:sz w:val="24"/>
        </w:rPr>
        <w:t>Zhang, H, D Qian, Y Tan, K Lee, P Gao, Y Ren, S Rey, et al. 2008. « Digoxin and Other Cardiac Glycosides Inhibit HIF-1alpha Synthesis and Block Tumor Growth ». </w:t>
      </w:r>
      <w:r>
        <w:rPr>
          <w:i/>
          <w:sz w:val="24"/>
        </w:rPr>
        <w:t>Proceedings of the National Academy of Sciences of the United States of America, </w:t>
      </w:r>
      <w:r>
        <w:rPr>
          <w:sz w:val="24"/>
        </w:rPr>
        <w:t>105 (50): 19579</w:t>
      </w:r>
      <w:r>
        <w:rPr>
          <w:rFonts w:ascii="Cambria Math" w:hAnsi="Cambria Math"/>
          <w:sz w:val="24"/>
        </w:rPr>
        <w:t>‑</w:t>
      </w:r>
      <w:r>
        <w:rPr>
          <w:sz w:val="24"/>
        </w:rPr>
        <w:t>86.</w:t>
      </w:r>
    </w:p>
    <w:p>
      <w:pPr>
        <w:spacing w:line="242" w:lineRule="auto" w:before="0"/>
        <w:ind w:left="836" w:right="114" w:hanging="720"/>
        <w:jc w:val="both"/>
        <w:rPr>
          <w:sz w:val="24"/>
        </w:rPr>
      </w:pPr>
      <w:r>
        <w:rPr>
          <w:sz w:val="24"/>
        </w:rPr>
        <w:t>Zhang, Q, J Pan, P E North, S Yang, R A Lubet, Y Wang, et M You. 2012. « Aerosolized 3- Bromopyruvate</w:t>
      </w:r>
      <w:r>
        <w:rPr>
          <w:spacing w:val="-13"/>
          <w:sz w:val="24"/>
        </w:rPr>
        <w:t> </w:t>
      </w:r>
      <w:r>
        <w:rPr>
          <w:sz w:val="24"/>
        </w:rPr>
        <w:t>Inhibits</w:t>
      </w:r>
      <w:r>
        <w:rPr>
          <w:spacing w:val="-14"/>
          <w:sz w:val="24"/>
        </w:rPr>
        <w:t> </w:t>
      </w:r>
      <w:r>
        <w:rPr>
          <w:sz w:val="24"/>
        </w:rPr>
        <w:t>Lung</w:t>
      </w:r>
      <w:r>
        <w:rPr>
          <w:spacing w:val="-17"/>
          <w:sz w:val="24"/>
        </w:rPr>
        <w:t> </w:t>
      </w:r>
      <w:r>
        <w:rPr>
          <w:sz w:val="24"/>
        </w:rPr>
        <w:t>Tumorigenesis</w:t>
      </w:r>
      <w:r>
        <w:rPr>
          <w:spacing w:val="-14"/>
          <w:sz w:val="24"/>
        </w:rPr>
        <w:t> </w:t>
      </w:r>
      <w:r>
        <w:rPr>
          <w:sz w:val="24"/>
        </w:rPr>
        <w:t>without</w:t>
      </w:r>
      <w:r>
        <w:rPr>
          <w:spacing w:val="-14"/>
          <w:sz w:val="24"/>
        </w:rPr>
        <w:t> </w:t>
      </w:r>
      <w:r>
        <w:rPr>
          <w:sz w:val="24"/>
        </w:rPr>
        <w:t>Causing</w:t>
      </w:r>
      <w:r>
        <w:rPr>
          <w:spacing w:val="-14"/>
          <w:sz w:val="24"/>
        </w:rPr>
        <w:t> </w:t>
      </w:r>
      <w:r>
        <w:rPr>
          <w:sz w:val="24"/>
        </w:rPr>
        <w:t>Liver</w:t>
      </w:r>
      <w:r>
        <w:rPr>
          <w:spacing w:val="-15"/>
          <w:sz w:val="24"/>
        </w:rPr>
        <w:t> </w:t>
      </w:r>
      <w:r>
        <w:rPr>
          <w:sz w:val="24"/>
        </w:rPr>
        <w:t>Toxicity</w:t>
      </w:r>
      <w:r>
        <w:rPr>
          <w:spacing w:val="3"/>
          <w:sz w:val="24"/>
        </w:rPr>
        <w:t> </w:t>
      </w:r>
      <w:r>
        <w:rPr>
          <w:spacing w:val="-4"/>
          <w:sz w:val="24"/>
        </w:rPr>
        <w:t>».</w:t>
      </w:r>
      <w:r>
        <w:rPr>
          <w:spacing w:val="-12"/>
          <w:sz w:val="24"/>
        </w:rPr>
        <w:t> </w:t>
      </w:r>
      <w:r>
        <w:rPr>
          <w:i/>
          <w:sz w:val="24"/>
        </w:rPr>
        <w:t>Cancer </w:t>
      </w:r>
      <w:r>
        <w:rPr>
          <w:i/>
          <w:sz w:val="24"/>
        </w:rPr>
        <w:t>Prevention Research (Philadelphia, Pa.) </w:t>
      </w:r>
      <w:r>
        <w:rPr>
          <w:sz w:val="24"/>
        </w:rPr>
        <w:t>5 (5):</w:t>
      </w:r>
      <w:r>
        <w:rPr>
          <w:spacing w:val="-10"/>
          <w:sz w:val="24"/>
        </w:rPr>
        <w:t> </w:t>
      </w:r>
      <w:r>
        <w:rPr>
          <w:sz w:val="24"/>
        </w:rPr>
        <w:t>717</w:t>
      </w:r>
      <w:r>
        <w:rPr>
          <w:rFonts w:ascii="Cambria Math" w:hAnsi="Cambria Math"/>
          <w:sz w:val="24"/>
        </w:rPr>
        <w:t>‑</w:t>
      </w:r>
      <w:r>
        <w:rPr>
          <w:sz w:val="24"/>
        </w:rPr>
        <w:t>25.</w:t>
      </w:r>
    </w:p>
    <w:p>
      <w:pPr>
        <w:spacing w:line="240" w:lineRule="auto" w:before="0"/>
        <w:ind w:left="836" w:right="114" w:hanging="720"/>
        <w:jc w:val="both"/>
        <w:rPr>
          <w:sz w:val="24"/>
        </w:rPr>
      </w:pPr>
      <w:r>
        <w:rPr>
          <w:sz w:val="24"/>
        </w:rPr>
        <w:t>Zhang,</w:t>
      </w:r>
      <w:r>
        <w:rPr>
          <w:spacing w:val="-14"/>
          <w:sz w:val="24"/>
        </w:rPr>
        <w:t> </w:t>
      </w:r>
      <w:r>
        <w:rPr>
          <w:sz w:val="24"/>
        </w:rPr>
        <w:t>Q,</w:t>
      </w:r>
      <w:r>
        <w:rPr>
          <w:spacing w:val="-14"/>
          <w:sz w:val="24"/>
        </w:rPr>
        <w:t> </w:t>
      </w:r>
      <w:r>
        <w:rPr>
          <w:sz w:val="24"/>
        </w:rPr>
        <w:t>J</w:t>
      </w:r>
      <w:r>
        <w:rPr>
          <w:spacing w:val="-13"/>
          <w:sz w:val="24"/>
        </w:rPr>
        <w:t> </w:t>
      </w:r>
      <w:r>
        <w:rPr>
          <w:sz w:val="24"/>
        </w:rPr>
        <w:t>Pan,</w:t>
      </w:r>
      <w:r>
        <w:rPr>
          <w:spacing w:val="-16"/>
          <w:sz w:val="24"/>
        </w:rPr>
        <w:t> </w:t>
      </w:r>
      <w:r>
        <w:rPr>
          <w:sz w:val="24"/>
        </w:rPr>
        <w:t>R</w:t>
      </w:r>
      <w:r>
        <w:rPr>
          <w:spacing w:val="-15"/>
          <w:sz w:val="24"/>
        </w:rPr>
        <w:t> </w:t>
      </w:r>
      <w:r>
        <w:rPr>
          <w:sz w:val="24"/>
        </w:rPr>
        <w:t>A</w:t>
      </w:r>
      <w:r>
        <w:rPr>
          <w:spacing w:val="-14"/>
          <w:sz w:val="24"/>
        </w:rPr>
        <w:t> </w:t>
      </w:r>
      <w:r>
        <w:rPr>
          <w:sz w:val="24"/>
        </w:rPr>
        <w:t>Lubet,</w:t>
      </w:r>
      <w:r>
        <w:rPr>
          <w:spacing w:val="-15"/>
          <w:sz w:val="24"/>
        </w:rPr>
        <w:t> </w:t>
      </w:r>
      <w:r>
        <w:rPr>
          <w:sz w:val="24"/>
        </w:rPr>
        <w:t>S</w:t>
      </w:r>
      <w:r>
        <w:rPr>
          <w:spacing w:val="-14"/>
          <w:sz w:val="24"/>
        </w:rPr>
        <w:t> </w:t>
      </w:r>
      <w:r>
        <w:rPr>
          <w:sz w:val="24"/>
        </w:rPr>
        <w:t>M</w:t>
      </w:r>
      <w:r>
        <w:rPr>
          <w:spacing w:val="-16"/>
          <w:sz w:val="24"/>
        </w:rPr>
        <w:t> </w:t>
      </w:r>
      <w:r>
        <w:rPr>
          <w:sz w:val="24"/>
        </w:rPr>
        <w:t>Komas,</w:t>
      </w:r>
      <w:r>
        <w:rPr>
          <w:spacing w:val="-13"/>
          <w:sz w:val="24"/>
        </w:rPr>
        <w:t> </w:t>
      </w:r>
      <w:r>
        <w:rPr>
          <w:sz w:val="24"/>
        </w:rPr>
        <w:t>B</w:t>
      </w:r>
      <w:r>
        <w:rPr>
          <w:spacing w:val="-17"/>
          <w:sz w:val="24"/>
        </w:rPr>
        <w:t> </w:t>
      </w:r>
      <w:r>
        <w:rPr>
          <w:sz w:val="24"/>
        </w:rPr>
        <w:t>K,</w:t>
      </w:r>
      <w:r>
        <w:rPr>
          <w:spacing w:val="-14"/>
          <w:sz w:val="24"/>
        </w:rPr>
        <w:t> </w:t>
      </w:r>
      <w:r>
        <w:rPr>
          <w:sz w:val="24"/>
        </w:rPr>
        <w:t>Y</w:t>
      </w:r>
      <w:r>
        <w:rPr>
          <w:spacing w:val="-16"/>
          <w:sz w:val="24"/>
        </w:rPr>
        <w:t> </w:t>
      </w:r>
      <w:r>
        <w:rPr>
          <w:sz w:val="24"/>
        </w:rPr>
        <w:t>Wang,</w:t>
      </w:r>
      <w:r>
        <w:rPr>
          <w:spacing w:val="-14"/>
          <w:sz w:val="24"/>
        </w:rPr>
        <w:t> </w:t>
      </w:r>
      <w:r>
        <w:rPr>
          <w:sz w:val="24"/>
        </w:rPr>
        <w:t>et</w:t>
      </w:r>
      <w:r>
        <w:rPr>
          <w:spacing w:val="-15"/>
          <w:sz w:val="24"/>
        </w:rPr>
        <w:t> </w:t>
      </w:r>
      <w:r>
        <w:rPr>
          <w:sz w:val="24"/>
        </w:rPr>
        <w:t>M</w:t>
      </w:r>
      <w:r>
        <w:rPr>
          <w:spacing w:val="-13"/>
          <w:sz w:val="24"/>
        </w:rPr>
        <w:t> </w:t>
      </w:r>
      <w:r>
        <w:rPr>
          <w:sz w:val="24"/>
        </w:rPr>
        <w:t>You.</w:t>
      </w:r>
      <w:r>
        <w:rPr>
          <w:spacing w:val="-14"/>
          <w:sz w:val="24"/>
        </w:rPr>
        <w:t> </w:t>
      </w:r>
      <w:r>
        <w:rPr>
          <w:sz w:val="24"/>
        </w:rPr>
        <w:t>2015.</w:t>
      </w:r>
      <w:r>
        <w:rPr>
          <w:spacing w:val="-11"/>
          <w:sz w:val="24"/>
        </w:rPr>
        <w:t> </w:t>
      </w:r>
      <w:r>
        <w:rPr>
          <w:sz w:val="24"/>
        </w:rPr>
        <w:t>«</w:t>
      </w:r>
      <w:r>
        <w:rPr>
          <w:spacing w:val="-5"/>
          <w:sz w:val="24"/>
        </w:rPr>
        <w:t> </w:t>
      </w:r>
      <w:r>
        <w:rPr>
          <w:sz w:val="24"/>
        </w:rPr>
        <w:t>Enhanced</w:t>
      </w:r>
      <w:r>
        <w:rPr>
          <w:spacing w:val="-14"/>
          <w:sz w:val="24"/>
        </w:rPr>
        <w:t> </w:t>
      </w:r>
      <w:r>
        <w:rPr>
          <w:sz w:val="24"/>
        </w:rPr>
        <w:t>Antitumor Activity of 3-Bromopyruvate in Combination with Rapamycin in Vivo and in Vitro </w:t>
      </w:r>
      <w:r>
        <w:rPr>
          <w:spacing w:val="-4"/>
          <w:sz w:val="24"/>
        </w:rPr>
        <w:t>». </w:t>
      </w:r>
      <w:r>
        <w:rPr>
          <w:i/>
          <w:sz w:val="24"/>
        </w:rPr>
        <w:t>Cancer Prevention Research (Philadelphia, Pa.) </w:t>
      </w:r>
      <w:r>
        <w:rPr>
          <w:sz w:val="24"/>
        </w:rPr>
        <w:t>8 (4):</w:t>
      </w:r>
      <w:r>
        <w:rPr>
          <w:spacing w:val="-9"/>
          <w:sz w:val="24"/>
        </w:rPr>
        <w:t> </w:t>
      </w:r>
      <w:r>
        <w:rPr>
          <w:sz w:val="24"/>
        </w:rPr>
        <w:t>318-26.</w:t>
      </w:r>
    </w:p>
    <w:p>
      <w:pPr>
        <w:pStyle w:val="BodyText"/>
        <w:spacing w:line="242" w:lineRule="auto" w:before="6"/>
        <w:ind w:left="836" w:right="116" w:hanging="720"/>
        <w:jc w:val="both"/>
      </w:pPr>
      <w:r>
        <w:rPr/>
        <w:t>Zhang, X D, E Deslandes, M Villedieu, L Poulain, M Duval, P Gauduchon, L Schwartz, et P Icard. 2006. « Effect of 2-Deoxy-D-Glucose on Various Malignant Cell  Lines  In Vitro ». </w:t>
      </w:r>
      <w:r>
        <w:rPr>
          <w:i/>
        </w:rPr>
        <w:t>Anticancer Research </w:t>
      </w:r>
      <w:r>
        <w:rPr/>
        <w:t>26 (5A): 3561</w:t>
      </w:r>
      <w:r>
        <w:rPr>
          <w:rFonts w:ascii="Cambria Math" w:hAnsi="Cambria Math"/>
        </w:rPr>
        <w:t>‑</w:t>
      </w:r>
      <w:r>
        <w:rPr/>
        <w:t>66.</w:t>
      </w:r>
    </w:p>
    <w:p>
      <w:pPr>
        <w:pStyle w:val="BodyText"/>
        <w:spacing w:line="242" w:lineRule="auto"/>
        <w:ind w:left="836" w:right="116" w:hanging="720"/>
        <w:jc w:val="both"/>
      </w:pPr>
      <w:r>
        <w:rPr/>
        <w:t>Zhang, X, E Varin, S Allouche, Y Lu, L Poulain, et P Icard. 2009. « Effect of Citrate on Malignant Pleural Mesothelioma Cells: A Synergistic Effect with Cisplatin </w:t>
      </w:r>
      <w:r>
        <w:rPr>
          <w:spacing w:val="-4"/>
        </w:rPr>
        <w:t>».</w:t>
      </w:r>
      <w:r>
        <w:rPr>
          <w:spacing w:val="51"/>
        </w:rPr>
        <w:t> </w:t>
      </w:r>
      <w:r>
        <w:rPr>
          <w:i/>
        </w:rPr>
        <w:t>Anticancer Research </w:t>
      </w:r>
      <w:r>
        <w:rPr/>
        <w:t>29 (4): 1249</w:t>
      </w:r>
      <w:r>
        <w:rPr>
          <w:rFonts w:ascii="Cambria Math" w:hAnsi="Cambria Math"/>
        </w:rPr>
        <w:t>‑</w:t>
      </w:r>
      <w:r>
        <w:rPr/>
        <w:t>54.</w:t>
      </w:r>
    </w:p>
    <w:p>
      <w:pPr>
        <w:pStyle w:val="BodyText"/>
        <w:spacing w:line="242" w:lineRule="auto"/>
        <w:ind w:left="836" w:right="115" w:hanging="720"/>
        <w:jc w:val="both"/>
      </w:pPr>
      <w:r>
        <w:rPr/>
        <w:t>Zhao, Y, H Liu, Z L, Y D, S P LeDoux, G L Wilson, R Voellmy, et al. 2011a. « Overcoming Trastuzumab Resistance in Breast Cancer by Targeting Dysregulated Glucose Metabolism ». </w:t>
      </w:r>
      <w:r>
        <w:rPr>
          <w:i/>
        </w:rPr>
        <w:t>Cancer research </w:t>
      </w:r>
      <w:r>
        <w:rPr/>
        <w:t>71 (13): 4585</w:t>
      </w:r>
      <w:r>
        <w:rPr>
          <w:rFonts w:ascii="Cambria Math" w:hAnsi="Cambria Math"/>
        </w:rPr>
        <w:t>‑</w:t>
      </w:r>
      <w:r>
        <w:rPr/>
        <w:t>97.</w:t>
      </w:r>
    </w:p>
    <w:p>
      <w:pPr>
        <w:pStyle w:val="BodyText"/>
        <w:ind w:left="836" w:right="112" w:hanging="720"/>
        <w:jc w:val="both"/>
      </w:pPr>
      <w:r>
        <w:rPr/>
        <w:t>Zhao, Y, M Gounder, H Lin, K H Addo, K T Levinson, M LaRosiliere, S Goodin, R A Moss, A</w:t>
      </w:r>
      <w:r>
        <w:rPr>
          <w:spacing w:val="-15"/>
        </w:rPr>
        <w:t> </w:t>
      </w:r>
      <w:r>
        <w:rPr/>
        <w:t>R</w:t>
      </w:r>
      <w:r>
        <w:rPr>
          <w:spacing w:val="-14"/>
        </w:rPr>
        <w:t> </w:t>
      </w:r>
      <w:r>
        <w:rPr/>
        <w:t>Tan,</w:t>
      </w:r>
      <w:r>
        <w:rPr>
          <w:spacing w:val="-13"/>
        </w:rPr>
        <w:t> </w:t>
      </w:r>
      <w:r>
        <w:rPr/>
        <w:t>et</w:t>
      </w:r>
      <w:r>
        <w:rPr>
          <w:spacing w:val="-14"/>
        </w:rPr>
        <w:t> </w:t>
      </w:r>
      <w:r>
        <w:rPr/>
        <w:t>M</w:t>
      </w:r>
      <w:r>
        <w:rPr>
          <w:spacing w:val="-12"/>
        </w:rPr>
        <w:t> </w:t>
      </w:r>
      <w:r>
        <w:rPr/>
        <w:t>N</w:t>
      </w:r>
      <w:r>
        <w:rPr>
          <w:spacing w:val="-12"/>
        </w:rPr>
        <w:t> </w:t>
      </w:r>
      <w:r>
        <w:rPr/>
        <w:t>Stein.</w:t>
      </w:r>
      <w:r>
        <w:rPr>
          <w:spacing w:val="-15"/>
        </w:rPr>
        <w:t> </w:t>
      </w:r>
      <w:r>
        <w:rPr/>
        <w:t>2011b.</w:t>
      </w:r>
      <w:r>
        <w:rPr>
          <w:spacing w:val="-10"/>
        </w:rPr>
        <w:t> </w:t>
      </w:r>
      <w:r>
        <w:rPr/>
        <w:t>«</w:t>
      </w:r>
      <w:r>
        <w:rPr>
          <w:spacing w:val="-8"/>
        </w:rPr>
        <w:t> </w:t>
      </w:r>
      <w:r>
        <w:rPr/>
        <w:t>Phase</w:t>
      </w:r>
      <w:r>
        <w:rPr>
          <w:spacing w:val="-11"/>
        </w:rPr>
        <w:t> </w:t>
      </w:r>
      <w:r>
        <w:rPr/>
        <w:t>I</w:t>
      </w:r>
      <w:r>
        <w:rPr>
          <w:spacing w:val="-18"/>
        </w:rPr>
        <w:t> </w:t>
      </w:r>
      <w:r>
        <w:rPr/>
        <w:t>study</w:t>
      </w:r>
      <w:r>
        <w:rPr>
          <w:spacing w:val="-20"/>
        </w:rPr>
        <w:t> </w:t>
      </w:r>
      <w:r>
        <w:rPr/>
        <w:t>of</w:t>
      </w:r>
      <w:r>
        <w:rPr>
          <w:spacing w:val="-16"/>
        </w:rPr>
        <w:t> </w:t>
      </w:r>
      <w:r>
        <w:rPr/>
        <w:t>at-101</w:t>
      </w:r>
      <w:r>
        <w:rPr>
          <w:spacing w:val="-15"/>
        </w:rPr>
        <w:t> </w:t>
      </w:r>
      <w:r>
        <w:rPr/>
        <w:t>(R-(-)-gossypol)</w:t>
      </w:r>
      <w:r>
        <w:rPr>
          <w:spacing w:val="-15"/>
        </w:rPr>
        <w:t> </w:t>
      </w:r>
      <w:r>
        <w:rPr/>
        <w:t>in</w:t>
      </w:r>
      <w:r>
        <w:rPr>
          <w:spacing w:val="-12"/>
        </w:rPr>
        <w:t> </w:t>
      </w:r>
      <w:r>
        <w:rPr/>
        <w:t>combination with paclitaxel (P) and carboplatin (C) in solid tumors including castrate-resistant prostate cancer (CRPC). » </w:t>
      </w:r>
      <w:r>
        <w:rPr>
          <w:i/>
        </w:rPr>
        <w:t>Journal of Clinical Oncology </w:t>
      </w:r>
      <w:r>
        <w:rPr/>
        <w:t>29 (7):</w:t>
      </w:r>
      <w:r>
        <w:rPr>
          <w:spacing w:val="-11"/>
        </w:rPr>
        <w:t> </w:t>
      </w:r>
      <w:r>
        <w:rPr/>
        <w:t>169</w:t>
      </w:r>
      <w:r>
        <w:rPr>
          <w:rFonts w:ascii="Cambria Math" w:hAnsi="Cambria Math"/>
        </w:rPr>
        <w:t>‑</w:t>
      </w:r>
      <w:r>
        <w:rPr/>
        <w:t>79.</w:t>
      </w:r>
    </w:p>
    <w:p>
      <w:pPr>
        <w:pStyle w:val="BodyText"/>
        <w:spacing w:before="1"/>
        <w:ind w:left="836" w:right="112" w:hanging="720"/>
        <w:jc w:val="both"/>
      </w:pPr>
      <w:r>
        <w:rPr/>
        <w:t>Zhao, Z, M Wu, C Zou, Q Tang, J Lu, D Liu, Y Wu, et al. 2014. « Downregulation of MCT1 Inhibits Tumor Growth, Metastasis and Enhances Chemotherapeutic Efficacy in Osteosarcoma through Regulation of the NF-ΚB Pathway ». </w:t>
      </w:r>
      <w:r>
        <w:rPr>
          <w:i/>
        </w:rPr>
        <w:t>Cancer Letters </w:t>
      </w:r>
      <w:r>
        <w:rPr/>
        <w:t>342 (1): 150</w:t>
      </w:r>
      <w:r>
        <w:rPr>
          <w:rFonts w:ascii="Cambria Math" w:hAnsi="Cambria Math"/>
        </w:rPr>
        <w:t>‑</w:t>
      </w:r>
      <w:r>
        <w:rPr/>
        <w:t>58.</w:t>
      </w:r>
    </w:p>
    <w:p>
      <w:pPr>
        <w:pStyle w:val="BodyText"/>
        <w:ind w:left="836" w:right="114" w:hanging="720"/>
        <w:jc w:val="both"/>
      </w:pPr>
      <w:r>
        <w:rPr/>
        <w:t>Zhou,</w:t>
      </w:r>
      <w:r>
        <w:rPr>
          <w:spacing w:val="-5"/>
        </w:rPr>
        <w:t> </w:t>
      </w:r>
      <w:r>
        <w:rPr/>
        <w:t>M,</w:t>
      </w:r>
      <w:r>
        <w:rPr>
          <w:spacing w:val="-5"/>
        </w:rPr>
        <w:t> </w:t>
      </w:r>
      <w:r>
        <w:rPr/>
        <w:t>Y</w:t>
      </w:r>
      <w:r>
        <w:rPr>
          <w:spacing w:val="-5"/>
        </w:rPr>
        <w:t> </w:t>
      </w:r>
      <w:r>
        <w:rPr/>
        <w:t>Zhao,</w:t>
      </w:r>
      <w:r>
        <w:rPr>
          <w:spacing w:val="-5"/>
        </w:rPr>
        <w:t> </w:t>
      </w:r>
      <w:r>
        <w:rPr/>
        <w:t>Y</w:t>
      </w:r>
      <w:r>
        <w:rPr>
          <w:spacing w:val="-5"/>
        </w:rPr>
        <w:t> </w:t>
      </w:r>
      <w:r>
        <w:rPr/>
        <w:t>Ding,</w:t>
      </w:r>
      <w:r>
        <w:rPr>
          <w:spacing w:val="-5"/>
        </w:rPr>
        <w:t> </w:t>
      </w:r>
      <w:r>
        <w:rPr/>
        <w:t>H</w:t>
      </w:r>
      <w:r>
        <w:rPr>
          <w:spacing w:val="-2"/>
        </w:rPr>
        <w:t> </w:t>
      </w:r>
      <w:r>
        <w:rPr/>
        <w:t>Liu,</w:t>
      </w:r>
      <w:r>
        <w:rPr>
          <w:spacing w:val="-2"/>
        </w:rPr>
        <w:t> </w:t>
      </w:r>
      <w:r>
        <w:rPr/>
        <w:t>Z</w:t>
      </w:r>
      <w:r>
        <w:rPr>
          <w:spacing w:val="-5"/>
        </w:rPr>
        <w:t> </w:t>
      </w:r>
      <w:r>
        <w:rPr/>
        <w:t>Liu,</w:t>
      </w:r>
      <w:r>
        <w:rPr>
          <w:spacing w:val="-4"/>
        </w:rPr>
        <w:t> </w:t>
      </w:r>
      <w:r>
        <w:rPr/>
        <w:t>O</w:t>
      </w:r>
      <w:r>
        <w:rPr>
          <w:spacing w:val="-5"/>
        </w:rPr>
        <w:t> </w:t>
      </w:r>
      <w:r>
        <w:rPr/>
        <w:t>Fodstad,</w:t>
      </w:r>
      <w:r>
        <w:rPr>
          <w:spacing w:val="-5"/>
        </w:rPr>
        <w:t> </w:t>
      </w:r>
      <w:r>
        <w:rPr/>
        <w:t>A</w:t>
      </w:r>
      <w:r>
        <w:rPr>
          <w:spacing w:val="-2"/>
        </w:rPr>
        <w:t> </w:t>
      </w:r>
      <w:r>
        <w:rPr/>
        <w:t>I</w:t>
      </w:r>
      <w:r>
        <w:rPr>
          <w:spacing w:val="-9"/>
        </w:rPr>
        <w:t> </w:t>
      </w:r>
      <w:r>
        <w:rPr/>
        <w:t>Riker,</w:t>
      </w:r>
      <w:r>
        <w:rPr>
          <w:spacing w:val="-5"/>
        </w:rPr>
        <w:t> </w:t>
      </w:r>
      <w:r>
        <w:rPr/>
        <w:t>et</w:t>
      </w:r>
      <w:r>
        <w:rPr>
          <w:spacing w:val="-4"/>
        </w:rPr>
        <w:t> </w:t>
      </w:r>
      <w:r>
        <w:rPr/>
        <w:t>al.</w:t>
      </w:r>
      <w:r>
        <w:rPr>
          <w:spacing w:val="-4"/>
        </w:rPr>
        <w:t> </w:t>
      </w:r>
      <w:r>
        <w:rPr/>
        <w:t>2010.</w:t>
      </w:r>
      <w:r>
        <w:rPr>
          <w:spacing w:val="-5"/>
        </w:rPr>
        <w:t> </w:t>
      </w:r>
      <w:r>
        <w:rPr/>
        <w:t>«</w:t>
      </w:r>
      <w:r>
        <w:rPr>
          <w:spacing w:val="-6"/>
        </w:rPr>
        <w:t> </w:t>
      </w:r>
      <w:r>
        <w:rPr/>
        <w:t>Warburg</w:t>
      </w:r>
      <w:r>
        <w:rPr>
          <w:spacing w:val="-6"/>
        </w:rPr>
        <w:t> </w:t>
      </w:r>
      <w:r>
        <w:rPr/>
        <w:t>effect</w:t>
      </w:r>
      <w:r>
        <w:rPr>
          <w:spacing w:val="-4"/>
        </w:rPr>
        <w:t> </w:t>
      </w:r>
      <w:r>
        <w:rPr/>
        <w:t>in chemosensitivity: Targeting lactate dehydrogenase-A re-sensitizes Taxol-resistant cancer cells to Taxol </w:t>
      </w:r>
      <w:r>
        <w:rPr>
          <w:spacing w:val="-4"/>
        </w:rPr>
        <w:t>». </w:t>
      </w:r>
      <w:r>
        <w:rPr>
          <w:i/>
        </w:rPr>
        <w:t>Molecular Cancer </w:t>
      </w:r>
      <w:r>
        <w:rPr/>
        <w:t>4 (9):</w:t>
      </w:r>
      <w:r>
        <w:rPr>
          <w:spacing w:val="1"/>
        </w:rPr>
        <w:t> </w:t>
      </w:r>
      <w:r>
        <w:rPr/>
        <w:t>33-42.</w:t>
      </w:r>
    </w:p>
    <w:p>
      <w:pPr>
        <w:pStyle w:val="BodyText"/>
        <w:spacing w:before="3"/>
        <w:ind w:left="836" w:right="116" w:hanging="720"/>
        <w:jc w:val="both"/>
      </w:pPr>
      <w:r>
        <w:rPr/>
        <w:t>Zhou,</w:t>
      </w:r>
      <w:r>
        <w:rPr>
          <w:spacing w:val="-10"/>
        </w:rPr>
        <w:t> </w:t>
      </w:r>
      <w:r>
        <w:rPr/>
        <w:t>X,</w:t>
      </w:r>
      <w:r>
        <w:rPr>
          <w:spacing w:val="-8"/>
        </w:rPr>
        <w:t> </w:t>
      </w:r>
      <w:r>
        <w:rPr/>
        <w:t>R</w:t>
      </w:r>
      <w:r>
        <w:rPr>
          <w:spacing w:val="-9"/>
        </w:rPr>
        <w:t> </w:t>
      </w:r>
      <w:r>
        <w:rPr/>
        <w:t>Chen,</w:t>
      </w:r>
      <w:r>
        <w:rPr>
          <w:spacing w:val="-7"/>
        </w:rPr>
        <w:t> </w:t>
      </w:r>
      <w:r>
        <w:rPr/>
        <w:t>Z</w:t>
      </w:r>
      <w:r>
        <w:rPr>
          <w:spacing w:val="-12"/>
        </w:rPr>
        <w:t> </w:t>
      </w:r>
      <w:r>
        <w:rPr/>
        <w:t>Yu,</w:t>
      </w:r>
      <w:r>
        <w:rPr>
          <w:spacing w:val="-8"/>
        </w:rPr>
        <w:t> </w:t>
      </w:r>
      <w:r>
        <w:rPr/>
        <w:t>R</w:t>
      </w:r>
      <w:r>
        <w:rPr>
          <w:spacing w:val="-7"/>
        </w:rPr>
        <w:t> </w:t>
      </w:r>
      <w:r>
        <w:rPr/>
        <w:t>Li,</w:t>
      </w:r>
      <w:r>
        <w:rPr>
          <w:spacing w:val="-9"/>
        </w:rPr>
        <w:t> </w:t>
      </w:r>
      <w:r>
        <w:rPr/>
        <w:t>J</w:t>
      </w:r>
      <w:r>
        <w:rPr>
          <w:spacing w:val="-4"/>
        </w:rPr>
        <w:t> </w:t>
      </w:r>
      <w:r>
        <w:rPr/>
        <w:t>Li,</w:t>
      </w:r>
      <w:r>
        <w:rPr>
          <w:spacing w:val="-9"/>
        </w:rPr>
        <w:t> </w:t>
      </w:r>
      <w:r>
        <w:rPr/>
        <w:t>X</w:t>
      </w:r>
      <w:r>
        <w:rPr>
          <w:spacing w:val="-8"/>
        </w:rPr>
        <w:t> </w:t>
      </w:r>
      <w:r>
        <w:rPr/>
        <w:t>Zhao,</w:t>
      </w:r>
      <w:r>
        <w:rPr>
          <w:spacing w:val="-10"/>
        </w:rPr>
        <w:t> </w:t>
      </w:r>
      <w:r>
        <w:rPr/>
        <w:t>S</w:t>
      </w:r>
      <w:r>
        <w:rPr>
          <w:spacing w:val="-9"/>
        </w:rPr>
        <w:t> </w:t>
      </w:r>
      <w:r>
        <w:rPr/>
        <w:t>Song,</w:t>
      </w:r>
      <w:r>
        <w:rPr>
          <w:spacing w:val="-10"/>
        </w:rPr>
        <w:t> </w:t>
      </w:r>
      <w:r>
        <w:rPr/>
        <w:t>J</w:t>
      </w:r>
      <w:r>
        <w:rPr>
          <w:spacing w:val="-5"/>
        </w:rPr>
        <w:t> </w:t>
      </w:r>
      <w:r>
        <w:rPr/>
        <w:t>Liu,</w:t>
      </w:r>
      <w:r>
        <w:rPr>
          <w:spacing w:val="-7"/>
        </w:rPr>
        <w:t> </w:t>
      </w:r>
      <w:r>
        <w:rPr/>
        <w:t>et</w:t>
      </w:r>
      <w:r>
        <w:rPr>
          <w:spacing w:val="-9"/>
        </w:rPr>
        <w:t> </w:t>
      </w:r>
      <w:r>
        <w:rPr/>
        <w:t>G</w:t>
      </w:r>
      <w:r>
        <w:rPr>
          <w:spacing w:val="-10"/>
        </w:rPr>
        <w:t> </w:t>
      </w:r>
      <w:r>
        <w:rPr/>
        <w:t>Huang.</w:t>
      </w:r>
      <w:r>
        <w:rPr>
          <w:spacing w:val="-10"/>
        </w:rPr>
        <w:t> </w:t>
      </w:r>
      <w:r>
        <w:rPr/>
        <w:t>2015.</w:t>
      </w:r>
      <w:r>
        <w:rPr>
          <w:spacing w:val="-5"/>
        </w:rPr>
        <w:t> </w:t>
      </w:r>
      <w:r>
        <w:rPr/>
        <w:t>«</w:t>
      </w:r>
      <w:r>
        <w:rPr>
          <w:spacing w:val="-8"/>
        </w:rPr>
        <w:t> </w:t>
      </w:r>
      <w:r>
        <w:rPr/>
        <w:t>Dichloroacetate Restores Drug Sensitivity in Paclitaxel-Resistant Cells by Inducing Citric Acid Accumulation </w:t>
      </w:r>
      <w:r>
        <w:rPr>
          <w:spacing w:val="-4"/>
        </w:rPr>
        <w:t>». </w:t>
      </w:r>
      <w:r>
        <w:rPr>
          <w:i/>
        </w:rPr>
        <w:t>Molecular Cancer </w:t>
      </w:r>
      <w:r>
        <w:rPr/>
        <w:t>5 (14):</w:t>
      </w:r>
      <w:r>
        <w:rPr>
          <w:spacing w:val="0"/>
        </w:rPr>
        <w:t> </w:t>
      </w:r>
      <w:r>
        <w:rPr/>
        <w:t>63-72.</w:t>
      </w:r>
    </w:p>
    <w:p>
      <w:pPr>
        <w:spacing w:line="240" w:lineRule="auto" w:before="0"/>
        <w:ind w:left="836" w:right="113" w:hanging="720"/>
        <w:jc w:val="both"/>
        <w:rPr>
          <w:sz w:val="24"/>
        </w:rPr>
      </w:pPr>
      <w:r>
        <w:rPr>
          <w:sz w:val="24"/>
        </w:rPr>
        <w:t>Zhu, H, B Chen, X Cai, F Wang, C Gao, J Cheng, X Zhang, et al. 2015. « Effects of Garcinia Acid</w:t>
      </w:r>
      <w:r>
        <w:rPr>
          <w:spacing w:val="-12"/>
          <w:sz w:val="24"/>
        </w:rPr>
        <w:t> </w:t>
      </w:r>
      <w:r>
        <w:rPr>
          <w:sz w:val="24"/>
        </w:rPr>
        <w:t>Combined</w:t>
      </w:r>
      <w:r>
        <w:rPr>
          <w:spacing w:val="-12"/>
          <w:sz w:val="24"/>
        </w:rPr>
        <w:t> </w:t>
      </w:r>
      <w:r>
        <w:rPr>
          <w:sz w:val="24"/>
        </w:rPr>
        <w:t>with</w:t>
      </w:r>
      <w:r>
        <w:rPr>
          <w:spacing w:val="-12"/>
          <w:sz w:val="24"/>
        </w:rPr>
        <w:t> </w:t>
      </w:r>
      <w:r>
        <w:rPr>
          <w:sz w:val="24"/>
        </w:rPr>
        <w:t>Daunorubicin</w:t>
      </w:r>
      <w:r>
        <w:rPr>
          <w:spacing w:val="-12"/>
          <w:sz w:val="24"/>
        </w:rPr>
        <w:t> </w:t>
      </w:r>
      <w:r>
        <w:rPr>
          <w:sz w:val="24"/>
        </w:rPr>
        <w:t>on</w:t>
      </w:r>
      <w:r>
        <w:rPr>
          <w:spacing w:val="-12"/>
          <w:sz w:val="24"/>
        </w:rPr>
        <w:t> </w:t>
      </w:r>
      <w:r>
        <w:rPr>
          <w:sz w:val="24"/>
        </w:rPr>
        <w:t>Expression</w:t>
      </w:r>
      <w:r>
        <w:rPr>
          <w:spacing w:val="-12"/>
          <w:sz w:val="24"/>
        </w:rPr>
        <w:t> </w:t>
      </w:r>
      <w:r>
        <w:rPr>
          <w:sz w:val="24"/>
        </w:rPr>
        <w:t>of</w:t>
      </w:r>
      <w:r>
        <w:rPr>
          <w:spacing w:val="-13"/>
          <w:sz w:val="24"/>
        </w:rPr>
        <w:t> </w:t>
      </w:r>
      <w:r>
        <w:rPr>
          <w:sz w:val="24"/>
        </w:rPr>
        <w:t>Pregnane</w:t>
      </w:r>
      <w:r>
        <w:rPr>
          <w:spacing w:val="-11"/>
          <w:sz w:val="24"/>
        </w:rPr>
        <w:t> </w:t>
      </w:r>
      <w:r>
        <w:rPr>
          <w:sz w:val="24"/>
        </w:rPr>
        <w:t>X</w:t>
      </w:r>
      <w:r>
        <w:rPr>
          <w:spacing w:val="-13"/>
          <w:sz w:val="24"/>
        </w:rPr>
        <w:t> </w:t>
      </w:r>
      <w:r>
        <w:rPr>
          <w:sz w:val="24"/>
        </w:rPr>
        <w:t>Receptor</w:t>
      </w:r>
      <w:r>
        <w:rPr>
          <w:spacing w:val="-8"/>
          <w:sz w:val="24"/>
        </w:rPr>
        <w:t> </w:t>
      </w:r>
      <w:r>
        <w:rPr>
          <w:sz w:val="24"/>
        </w:rPr>
        <w:t>in</w:t>
      </w:r>
      <w:r>
        <w:rPr>
          <w:spacing w:val="-9"/>
          <w:sz w:val="24"/>
        </w:rPr>
        <w:t> </w:t>
      </w:r>
      <w:r>
        <w:rPr>
          <w:sz w:val="24"/>
        </w:rPr>
        <w:t>Leukemia Cell</w:t>
      </w:r>
      <w:r>
        <w:rPr>
          <w:spacing w:val="-7"/>
          <w:sz w:val="24"/>
        </w:rPr>
        <w:t> </w:t>
      </w:r>
      <w:r>
        <w:rPr>
          <w:sz w:val="24"/>
        </w:rPr>
        <w:t>Line</w:t>
      </w:r>
      <w:r>
        <w:rPr>
          <w:spacing w:val="-8"/>
          <w:sz w:val="24"/>
        </w:rPr>
        <w:t> </w:t>
      </w:r>
      <w:r>
        <w:rPr>
          <w:sz w:val="24"/>
        </w:rPr>
        <w:t>K562/A02</w:t>
      </w:r>
      <w:r>
        <w:rPr>
          <w:spacing w:val="5"/>
          <w:sz w:val="24"/>
        </w:rPr>
        <w:t> </w:t>
      </w:r>
      <w:r>
        <w:rPr>
          <w:spacing w:val="-4"/>
          <w:sz w:val="24"/>
        </w:rPr>
        <w:t>».</w:t>
      </w:r>
      <w:r>
        <w:rPr>
          <w:spacing w:val="-8"/>
          <w:sz w:val="24"/>
        </w:rPr>
        <w:t> </w:t>
      </w:r>
      <w:r>
        <w:rPr>
          <w:i/>
          <w:sz w:val="24"/>
        </w:rPr>
        <w:t>Zhongguo</w:t>
      </w:r>
      <w:r>
        <w:rPr>
          <w:i/>
          <w:spacing w:val="-10"/>
          <w:sz w:val="24"/>
        </w:rPr>
        <w:t> </w:t>
      </w:r>
      <w:r>
        <w:rPr>
          <w:i/>
          <w:sz w:val="24"/>
        </w:rPr>
        <w:t>Shi</w:t>
      </w:r>
      <w:r>
        <w:rPr>
          <w:i/>
          <w:spacing w:val="-10"/>
          <w:sz w:val="24"/>
        </w:rPr>
        <w:t> </w:t>
      </w:r>
      <w:r>
        <w:rPr>
          <w:i/>
          <w:sz w:val="24"/>
        </w:rPr>
        <w:t>Yan</w:t>
      </w:r>
      <w:r>
        <w:rPr>
          <w:i/>
          <w:spacing w:val="-10"/>
          <w:sz w:val="24"/>
        </w:rPr>
        <w:t> </w:t>
      </w:r>
      <w:r>
        <w:rPr>
          <w:i/>
          <w:sz w:val="24"/>
        </w:rPr>
        <w:t>Xue</w:t>
      </w:r>
      <w:r>
        <w:rPr>
          <w:i/>
          <w:spacing w:val="-11"/>
          <w:sz w:val="24"/>
        </w:rPr>
        <w:t> </w:t>
      </w:r>
      <w:r>
        <w:rPr>
          <w:i/>
          <w:sz w:val="24"/>
        </w:rPr>
        <w:t>Ye</w:t>
      </w:r>
      <w:r>
        <w:rPr>
          <w:i/>
          <w:spacing w:val="-13"/>
          <w:sz w:val="24"/>
        </w:rPr>
        <w:t> </w:t>
      </w:r>
      <w:r>
        <w:rPr>
          <w:i/>
          <w:sz w:val="24"/>
        </w:rPr>
        <w:t>Xue</w:t>
      </w:r>
      <w:r>
        <w:rPr>
          <w:i/>
          <w:spacing w:val="-11"/>
          <w:sz w:val="24"/>
        </w:rPr>
        <w:t> </w:t>
      </w:r>
      <w:r>
        <w:rPr>
          <w:i/>
          <w:sz w:val="24"/>
        </w:rPr>
        <w:t>Za</w:t>
      </w:r>
      <w:r>
        <w:rPr>
          <w:i/>
          <w:spacing w:val="-10"/>
          <w:sz w:val="24"/>
        </w:rPr>
        <w:t> </w:t>
      </w:r>
      <w:r>
        <w:rPr>
          <w:i/>
          <w:sz w:val="24"/>
        </w:rPr>
        <w:t>Zhi</w:t>
      </w:r>
      <w:r>
        <w:rPr>
          <w:i/>
          <w:spacing w:val="-10"/>
          <w:sz w:val="24"/>
        </w:rPr>
        <w:t> </w:t>
      </w:r>
      <w:r>
        <w:rPr>
          <w:i/>
          <w:sz w:val="24"/>
        </w:rPr>
        <w:t>/</w:t>
      </w:r>
      <w:r>
        <w:rPr>
          <w:i/>
          <w:spacing w:val="-10"/>
          <w:sz w:val="24"/>
        </w:rPr>
        <w:t> </w:t>
      </w:r>
      <w:r>
        <w:rPr>
          <w:i/>
          <w:sz w:val="24"/>
        </w:rPr>
        <w:t>Zhongguo</w:t>
      </w:r>
      <w:r>
        <w:rPr>
          <w:i/>
          <w:spacing w:val="-10"/>
          <w:sz w:val="24"/>
        </w:rPr>
        <w:t> </w:t>
      </w:r>
      <w:r>
        <w:rPr>
          <w:i/>
          <w:sz w:val="24"/>
        </w:rPr>
        <w:t>Bing</w:t>
      </w:r>
      <w:r>
        <w:rPr>
          <w:i/>
          <w:spacing w:val="-10"/>
          <w:sz w:val="24"/>
        </w:rPr>
        <w:t> </w:t>
      </w:r>
      <w:r>
        <w:rPr>
          <w:i/>
          <w:sz w:val="24"/>
        </w:rPr>
        <w:t>Li</w:t>
      </w:r>
      <w:r>
        <w:rPr>
          <w:i/>
          <w:spacing w:val="-10"/>
          <w:sz w:val="24"/>
        </w:rPr>
        <w:t> </w:t>
      </w:r>
      <w:r>
        <w:rPr>
          <w:i/>
          <w:sz w:val="24"/>
        </w:rPr>
        <w:t>Sheng </w:t>
      </w:r>
      <w:r>
        <w:rPr>
          <w:i/>
          <w:sz w:val="24"/>
        </w:rPr>
        <w:t>Li Xue Hui = Journal of Experimental Hematology / Chinese Association of Pathophysiology </w:t>
      </w:r>
      <w:r>
        <w:rPr>
          <w:sz w:val="24"/>
        </w:rPr>
        <w:t>23 (4):</w:t>
      </w:r>
      <w:r>
        <w:rPr>
          <w:spacing w:val="-4"/>
          <w:sz w:val="24"/>
        </w:rPr>
        <w:t> </w:t>
      </w:r>
      <w:r>
        <w:rPr>
          <w:sz w:val="24"/>
        </w:rPr>
        <w:t>956</w:t>
      </w:r>
      <w:r>
        <w:rPr>
          <w:rFonts w:ascii="Cambria Math" w:hAnsi="Cambria Math"/>
          <w:sz w:val="24"/>
        </w:rPr>
        <w:t>‑</w:t>
      </w:r>
      <w:r>
        <w:rPr>
          <w:sz w:val="24"/>
        </w:rPr>
        <w:t>61.</w:t>
      </w:r>
    </w:p>
    <w:p>
      <w:pPr>
        <w:pStyle w:val="BodyText"/>
        <w:ind w:left="836" w:right="107" w:hanging="720"/>
        <w:jc w:val="both"/>
      </w:pPr>
      <w:r>
        <w:rPr/>
        <w:t>Ziegler,</w:t>
      </w:r>
      <w:r>
        <w:rPr>
          <w:spacing w:val="-13"/>
        </w:rPr>
        <w:t> </w:t>
      </w:r>
      <w:r>
        <w:rPr/>
        <w:t>D,</w:t>
      </w:r>
      <w:r>
        <w:rPr>
          <w:spacing w:val="-13"/>
        </w:rPr>
        <w:t> </w:t>
      </w:r>
      <w:r>
        <w:rPr/>
        <w:t>M</w:t>
      </w:r>
      <w:r>
        <w:rPr>
          <w:spacing w:val="-12"/>
        </w:rPr>
        <w:t> </w:t>
      </w:r>
      <w:r>
        <w:rPr/>
        <w:t>Hanefeld,</w:t>
      </w:r>
      <w:r>
        <w:rPr>
          <w:spacing w:val="-9"/>
        </w:rPr>
        <w:t> </w:t>
      </w:r>
      <w:r>
        <w:rPr/>
        <w:t>K</w:t>
      </w:r>
      <w:r>
        <w:rPr>
          <w:spacing w:val="-13"/>
        </w:rPr>
        <w:t> </w:t>
      </w:r>
      <w:r>
        <w:rPr/>
        <w:t>J</w:t>
      </w:r>
      <w:r>
        <w:rPr>
          <w:spacing w:val="-12"/>
        </w:rPr>
        <w:t> </w:t>
      </w:r>
      <w:r>
        <w:rPr/>
        <w:t>Ruhnau,</w:t>
      </w:r>
      <w:r>
        <w:rPr>
          <w:spacing w:val="-12"/>
        </w:rPr>
        <w:t> </w:t>
      </w:r>
      <w:r>
        <w:rPr/>
        <w:t>H</w:t>
      </w:r>
      <w:r>
        <w:rPr>
          <w:spacing w:val="-13"/>
        </w:rPr>
        <w:t> </w:t>
      </w:r>
      <w:r>
        <w:rPr/>
        <w:t>Hasche,</w:t>
      </w:r>
      <w:r>
        <w:rPr>
          <w:spacing w:val="-12"/>
        </w:rPr>
        <w:t> </w:t>
      </w:r>
      <w:r>
        <w:rPr/>
        <w:t>M</w:t>
      </w:r>
      <w:r>
        <w:rPr>
          <w:spacing w:val="-9"/>
        </w:rPr>
        <w:t> </w:t>
      </w:r>
      <w:r>
        <w:rPr/>
        <w:t>Lobisch,</w:t>
      </w:r>
      <w:r>
        <w:rPr>
          <w:spacing w:val="-12"/>
        </w:rPr>
        <w:t> </w:t>
      </w:r>
      <w:r>
        <w:rPr/>
        <w:t>K</w:t>
      </w:r>
      <w:r>
        <w:rPr>
          <w:spacing w:val="-13"/>
        </w:rPr>
        <w:t> </w:t>
      </w:r>
      <w:r>
        <w:rPr/>
        <w:t>Schütte,</w:t>
      </w:r>
      <w:r>
        <w:rPr>
          <w:spacing w:val="-12"/>
        </w:rPr>
        <w:t> </w:t>
      </w:r>
      <w:r>
        <w:rPr/>
        <w:t>G</w:t>
      </w:r>
      <w:r>
        <w:rPr>
          <w:spacing w:val="-13"/>
        </w:rPr>
        <w:t> </w:t>
      </w:r>
      <w:r>
        <w:rPr/>
        <w:t>Kerum,</w:t>
      </w:r>
      <w:r>
        <w:rPr>
          <w:spacing w:val="-12"/>
        </w:rPr>
        <w:t> </w:t>
      </w:r>
      <w:r>
        <w:rPr/>
        <w:t>et</w:t>
      </w:r>
      <w:r>
        <w:rPr>
          <w:spacing w:val="-12"/>
        </w:rPr>
        <w:t> </w:t>
      </w:r>
      <w:r>
        <w:rPr/>
        <w:t>R</w:t>
      </w:r>
      <w:r>
        <w:rPr>
          <w:spacing w:val="-8"/>
        </w:rPr>
        <w:t> </w:t>
      </w:r>
      <w:r>
        <w:rPr/>
        <w:t>Malessa. 1999. « Treatment of Symptomatic Diabetic Polyneuropathy with the Antioxidant Alpha-Lipoic</w:t>
      </w:r>
      <w:r>
        <w:rPr>
          <w:spacing w:val="-13"/>
        </w:rPr>
        <w:t> </w:t>
      </w:r>
      <w:r>
        <w:rPr/>
        <w:t>Acid:</w:t>
      </w:r>
      <w:r>
        <w:rPr>
          <w:spacing w:val="-11"/>
        </w:rPr>
        <w:t> </w:t>
      </w:r>
      <w:r>
        <w:rPr/>
        <w:t>A</w:t>
      </w:r>
      <w:r>
        <w:rPr>
          <w:spacing w:val="-13"/>
        </w:rPr>
        <w:t> </w:t>
      </w:r>
      <w:r>
        <w:rPr/>
        <w:t>7-Month</w:t>
      </w:r>
      <w:r>
        <w:rPr>
          <w:spacing w:val="-12"/>
        </w:rPr>
        <w:t> </w:t>
      </w:r>
      <w:r>
        <w:rPr/>
        <w:t>Multicenter</w:t>
      </w:r>
      <w:r>
        <w:rPr>
          <w:spacing w:val="-13"/>
        </w:rPr>
        <w:t> </w:t>
      </w:r>
      <w:r>
        <w:rPr/>
        <w:t>Randomized</w:t>
      </w:r>
      <w:r>
        <w:rPr>
          <w:spacing w:val="-12"/>
        </w:rPr>
        <w:t> </w:t>
      </w:r>
      <w:r>
        <w:rPr/>
        <w:t>Controlled</w:t>
      </w:r>
      <w:r>
        <w:rPr>
          <w:spacing w:val="-13"/>
        </w:rPr>
        <w:t> </w:t>
      </w:r>
      <w:r>
        <w:rPr/>
        <w:t>Trial</w:t>
      </w:r>
      <w:r>
        <w:rPr>
          <w:spacing w:val="-12"/>
        </w:rPr>
        <w:t> </w:t>
      </w:r>
      <w:r>
        <w:rPr/>
        <w:t>(ALADIN</w:t>
      </w:r>
      <w:r>
        <w:rPr>
          <w:spacing w:val="-10"/>
        </w:rPr>
        <w:t> </w:t>
      </w:r>
      <w:r>
        <w:rPr/>
        <w:t>III Study). ALADIN III Study Group. Alpha-Lipoic Acid in Diabetic Neuropathy. » </w:t>
      </w:r>
      <w:r>
        <w:rPr>
          <w:i/>
        </w:rPr>
        <w:t>Diabetes Care </w:t>
      </w:r>
      <w:r>
        <w:rPr/>
        <w:t>22 (8):</w:t>
      </w:r>
      <w:r>
        <w:rPr>
          <w:spacing w:val="-4"/>
        </w:rPr>
        <w:t> </w:t>
      </w:r>
      <w:r>
        <w:rPr/>
        <w:t>1296</w:t>
      </w:r>
      <w:r>
        <w:rPr>
          <w:rFonts w:ascii="Cambria Math" w:hAnsi="Cambria Math"/>
        </w:rPr>
        <w:t>‑</w:t>
      </w:r>
      <w:r>
        <w:rPr/>
        <w:t>1301.</w:t>
      </w:r>
    </w:p>
    <w:p>
      <w:pPr>
        <w:spacing w:after="0"/>
        <w:jc w:val="both"/>
        <w:sectPr>
          <w:pgSz w:w="11910" w:h="16840"/>
          <w:pgMar w:header="0" w:footer="995" w:top="1320" w:bottom="1240" w:left="1300" w:right="1300"/>
        </w:sectPr>
      </w:pPr>
    </w:p>
    <w:p>
      <w:pPr>
        <w:pStyle w:val="Heading1"/>
        <w:ind w:left="1479" w:right="1479"/>
        <w:rPr>
          <w:u w:val="none"/>
        </w:rPr>
      </w:pPr>
      <w:bookmarkStart w:name="_bookmark231" w:id="405"/>
      <w:bookmarkEnd w:id="405"/>
      <w:r>
        <w:rPr>
          <w:b w:val="0"/>
          <w:u w:val="none"/>
        </w:rPr>
      </w:r>
      <w:r>
        <w:rPr>
          <w:u w:val="thick"/>
        </w:rPr>
        <w:t>Annexes</w:t>
      </w:r>
    </w:p>
    <w:p>
      <w:pPr>
        <w:pStyle w:val="BodyText"/>
        <w:rPr>
          <w:b/>
          <w:sz w:val="20"/>
        </w:rPr>
      </w:pPr>
    </w:p>
    <w:p>
      <w:pPr>
        <w:pStyle w:val="Heading3"/>
        <w:spacing w:before="264"/>
        <w:ind w:left="2194" w:firstLine="0"/>
      </w:pPr>
      <w:bookmarkStart w:name="_bookmark232" w:id="406"/>
      <w:bookmarkEnd w:id="406"/>
      <w:r>
        <w:rPr>
          <w:b w:val="0"/>
        </w:rPr>
      </w:r>
      <w:r>
        <w:rPr>
          <w:u w:val="thick"/>
        </w:rPr>
        <w:t>Annexe 1 : Les mécanismes de l’apoptose</w:t>
      </w:r>
    </w:p>
    <w:p>
      <w:pPr>
        <w:pStyle w:val="BodyText"/>
        <w:rPr>
          <w:b/>
          <w:sz w:val="20"/>
        </w:rPr>
      </w:pPr>
    </w:p>
    <w:p>
      <w:pPr>
        <w:pStyle w:val="BodyText"/>
        <w:spacing w:before="9"/>
        <w:rPr>
          <w:b/>
          <w:sz w:val="21"/>
        </w:rPr>
      </w:pPr>
    </w:p>
    <w:p>
      <w:pPr>
        <w:pStyle w:val="BodyText"/>
        <w:spacing w:line="276" w:lineRule="auto"/>
        <w:ind w:left="116" w:right="116" w:firstLine="707"/>
        <w:jc w:val="both"/>
      </w:pPr>
      <w:r>
        <w:rPr/>
        <w:t>L’apoptose est un processus normal d’autodestruction d’une cellule en réponse à un signal interne. L’apoptose est aussi appelée mort cellulaire programmée ou suicide cellulaire. Un des « Hallmarks of Cancer » est la résistance de la cellule cancéreuse à l’apoptose. C’est</w:t>
      </w:r>
      <w:r>
        <w:rPr>
          <w:spacing w:val="-26"/>
        </w:rPr>
        <w:t> </w:t>
      </w:r>
      <w:r>
        <w:rPr/>
        <w:t>la forme la plus courante de mort cellulaire. Les autres formes sont par exemple la nécrose ou la mort</w:t>
      </w:r>
      <w:r>
        <w:rPr>
          <w:spacing w:val="-8"/>
        </w:rPr>
        <w:t> </w:t>
      </w:r>
      <w:r>
        <w:rPr/>
        <w:t>cellulaire</w:t>
      </w:r>
      <w:r>
        <w:rPr>
          <w:spacing w:val="-9"/>
        </w:rPr>
        <w:t> </w:t>
      </w:r>
      <w:r>
        <w:rPr/>
        <w:t>autophagique.</w:t>
      </w:r>
      <w:r>
        <w:rPr>
          <w:spacing w:val="-8"/>
        </w:rPr>
        <w:t> </w:t>
      </w:r>
      <w:r>
        <w:rPr/>
        <w:t>Voyons</w:t>
      </w:r>
      <w:r>
        <w:rPr>
          <w:spacing w:val="-8"/>
        </w:rPr>
        <w:t> </w:t>
      </w:r>
      <w:r>
        <w:rPr/>
        <w:t>quels</w:t>
      </w:r>
      <w:r>
        <w:rPr>
          <w:spacing w:val="-7"/>
        </w:rPr>
        <w:t> </w:t>
      </w:r>
      <w:r>
        <w:rPr/>
        <w:t>sont</w:t>
      </w:r>
      <w:r>
        <w:rPr>
          <w:spacing w:val="-8"/>
        </w:rPr>
        <w:t> </w:t>
      </w:r>
      <w:r>
        <w:rPr/>
        <w:t>les</w:t>
      </w:r>
      <w:r>
        <w:rPr>
          <w:spacing w:val="-8"/>
        </w:rPr>
        <w:t> </w:t>
      </w:r>
      <w:r>
        <w:rPr/>
        <w:t>principaux</w:t>
      </w:r>
      <w:r>
        <w:rPr>
          <w:spacing w:val="-9"/>
        </w:rPr>
        <w:t> </w:t>
      </w:r>
      <w:r>
        <w:rPr/>
        <w:t>mécanismes</w:t>
      </w:r>
      <w:r>
        <w:rPr>
          <w:spacing w:val="-8"/>
        </w:rPr>
        <w:t> </w:t>
      </w:r>
      <w:r>
        <w:rPr/>
        <w:t>de</w:t>
      </w:r>
      <w:r>
        <w:rPr>
          <w:spacing w:val="-9"/>
        </w:rPr>
        <w:t> </w:t>
      </w:r>
      <w:r>
        <w:rPr/>
        <w:t>l’apoptose,</w:t>
      </w:r>
      <w:r>
        <w:rPr>
          <w:spacing w:val="-8"/>
        </w:rPr>
        <w:t> </w:t>
      </w:r>
      <w:r>
        <w:rPr/>
        <w:t>afin de</w:t>
      </w:r>
      <w:r>
        <w:rPr>
          <w:spacing w:val="-10"/>
        </w:rPr>
        <w:t> </w:t>
      </w:r>
      <w:r>
        <w:rPr/>
        <w:t>mieux</w:t>
      </w:r>
      <w:r>
        <w:rPr>
          <w:spacing w:val="-7"/>
        </w:rPr>
        <w:t> </w:t>
      </w:r>
      <w:r>
        <w:rPr/>
        <w:t>comprendre</w:t>
      </w:r>
      <w:r>
        <w:rPr>
          <w:spacing w:val="-10"/>
        </w:rPr>
        <w:t> </w:t>
      </w:r>
      <w:r>
        <w:rPr/>
        <w:t>les</w:t>
      </w:r>
      <w:r>
        <w:rPr>
          <w:spacing w:val="-6"/>
        </w:rPr>
        <w:t> </w:t>
      </w:r>
      <w:r>
        <w:rPr/>
        <w:t>mécanismes</w:t>
      </w:r>
      <w:r>
        <w:rPr>
          <w:spacing w:val="-9"/>
        </w:rPr>
        <w:t> </w:t>
      </w:r>
      <w:r>
        <w:rPr/>
        <w:t>d’action</w:t>
      </w:r>
      <w:r>
        <w:rPr>
          <w:spacing w:val="-9"/>
        </w:rPr>
        <w:t> </w:t>
      </w:r>
      <w:r>
        <w:rPr/>
        <w:t>des</w:t>
      </w:r>
      <w:r>
        <w:rPr>
          <w:spacing w:val="-4"/>
        </w:rPr>
        <w:t> </w:t>
      </w:r>
      <w:r>
        <w:rPr/>
        <w:t>molécules</w:t>
      </w:r>
      <w:r>
        <w:rPr>
          <w:spacing w:val="-9"/>
        </w:rPr>
        <w:t> </w:t>
      </w:r>
      <w:r>
        <w:rPr/>
        <w:t>développées</w:t>
      </w:r>
      <w:r>
        <w:rPr>
          <w:spacing w:val="-8"/>
        </w:rPr>
        <w:t> </w:t>
      </w:r>
      <w:r>
        <w:rPr/>
        <w:t>dans</w:t>
      </w:r>
      <w:r>
        <w:rPr>
          <w:spacing w:val="-8"/>
        </w:rPr>
        <w:t> </w:t>
      </w:r>
      <w:r>
        <w:rPr/>
        <w:t>ce</w:t>
      </w:r>
      <w:r>
        <w:rPr>
          <w:spacing w:val="-7"/>
        </w:rPr>
        <w:t> </w:t>
      </w:r>
      <w:r>
        <w:rPr/>
        <w:t>travail,</w:t>
      </w:r>
      <w:r>
        <w:rPr>
          <w:spacing w:val="-9"/>
        </w:rPr>
        <w:t> </w:t>
      </w:r>
      <w:r>
        <w:rPr/>
        <w:t>dont certains déclenchent des phénomènes</w:t>
      </w:r>
      <w:r>
        <w:rPr>
          <w:spacing w:val="-10"/>
        </w:rPr>
        <w:t> </w:t>
      </w:r>
      <w:r>
        <w:rPr/>
        <w:t>d’apoptose.</w:t>
      </w:r>
    </w:p>
    <w:p>
      <w:pPr>
        <w:pStyle w:val="BodyText"/>
        <w:spacing w:before="161"/>
        <w:ind w:left="116"/>
      </w:pPr>
      <w:r>
        <w:rPr/>
        <w:t>Le phénomène d’apoptose est possible selon deux voies principales :</w:t>
      </w:r>
    </w:p>
    <w:p>
      <w:pPr>
        <w:pStyle w:val="Heading4"/>
        <w:numPr>
          <w:ilvl w:val="0"/>
          <w:numId w:val="23"/>
        </w:numPr>
        <w:tabs>
          <w:tab w:pos="836" w:val="left" w:leader="none"/>
          <w:tab w:pos="837" w:val="left" w:leader="none"/>
        </w:tabs>
        <w:spacing w:line="240" w:lineRule="auto" w:before="182" w:after="0"/>
        <w:ind w:left="836" w:right="0" w:hanging="360"/>
        <w:jc w:val="left"/>
      </w:pPr>
      <w:r>
        <w:rPr>
          <w:u w:val="thick"/>
        </w:rPr>
        <w:t>une voie</w:t>
      </w:r>
      <w:r>
        <w:rPr>
          <w:spacing w:val="-6"/>
          <w:u w:val="thick"/>
        </w:rPr>
        <w:t> </w:t>
      </w:r>
      <w:r>
        <w:rPr>
          <w:u w:val="thick"/>
        </w:rPr>
        <w:t>extrinsèque</w:t>
      </w:r>
    </w:p>
    <w:p>
      <w:pPr>
        <w:pStyle w:val="BodyText"/>
        <w:spacing w:line="276" w:lineRule="auto" w:before="181"/>
        <w:ind w:left="116" w:right="116" w:firstLine="707"/>
        <w:jc w:val="both"/>
      </w:pPr>
      <w:r>
        <w:rPr/>
        <w:t>Elle implique des récepteurs au facteur de nécrose tumorale, comme par exemple le récepteur Fas. Elle est déclenchée par un signal extérieur à la cellule (ligand du récepteur). L’interaction</w:t>
      </w:r>
      <w:r>
        <w:rPr>
          <w:spacing w:val="-6"/>
        </w:rPr>
        <w:t> </w:t>
      </w:r>
      <w:r>
        <w:rPr/>
        <w:t>ligand/récepteur</w:t>
      </w:r>
      <w:r>
        <w:rPr>
          <w:spacing w:val="-7"/>
        </w:rPr>
        <w:t> </w:t>
      </w:r>
      <w:r>
        <w:rPr/>
        <w:t>déclenche</w:t>
      </w:r>
      <w:r>
        <w:rPr>
          <w:spacing w:val="-7"/>
        </w:rPr>
        <w:t> </w:t>
      </w:r>
      <w:r>
        <w:rPr/>
        <w:t>une</w:t>
      </w:r>
      <w:r>
        <w:rPr>
          <w:spacing w:val="-7"/>
        </w:rPr>
        <w:t> </w:t>
      </w:r>
      <w:r>
        <w:rPr/>
        <w:t>cascade</w:t>
      </w:r>
      <w:r>
        <w:rPr>
          <w:spacing w:val="-7"/>
        </w:rPr>
        <w:t> </w:t>
      </w:r>
      <w:r>
        <w:rPr/>
        <w:t>d’activation</w:t>
      </w:r>
      <w:r>
        <w:rPr>
          <w:spacing w:val="-6"/>
        </w:rPr>
        <w:t> </w:t>
      </w:r>
      <w:r>
        <w:rPr/>
        <w:t>des</w:t>
      </w:r>
      <w:r>
        <w:rPr>
          <w:spacing w:val="-6"/>
        </w:rPr>
        <w:t> </w:t>
      </w:r>
      <w:r>
        <w:rPr/>
        <w:t>caspases</w:t>
      </w:r>
      <w:r>
        <w:rPr>
          <w:spacing w:val="-6"/>
        </w:rPr>
        <w:t> </w:t>
      </w:r>
      <w:r>
        <w:rPr/>
        <w:t>effectrices.</w:t>
      </w:r>
      <w:r>
        <w:rPr>
          <w:spacing w:val="-4"/>
        </w:rPr>
        <w:t> </w:t>
      </w:r>
      <w:r>
        <w:rPr/>
        <w:t>Les caspases initiatrices peuvent alors activer la voie intrinsèque et ainsi amplifier le signal apoptotique.</w:t>
      </w:r>
    </w:p>
    <w:p>
      <w:pPr>
        <w:pStyle w:val="Heading4"/>
        <w:numPr>
          <w:ilvl w:val="0"/>
          <w:numId w:val="23"/>
        </w:numPr>
        <w:tabs>
          <w:tab w:pos="836" w:val="left" w:leader="none"/>
          <w:tab w:pos="837" w:val="left" w:leader="none"/>
        </w:tabs>
        <w:spacing w:line="240" w:lineRule="auto" w:before="165" w:after="0"/>
        <w:ind w:left="836" w:right="0" w:hanging="360"/>
        <w:jc w:val="left"/>
      </w:pPr>
      <w:r>
        <w:rPr>
          <w:u w:val="thick"/>
        </w:rPr>
        <w:t>une voie intrinsèque (impliquant la</w:t>
      </w:r>
      <w:r>
        <w:rPr>
          <w:spacing w:val="-18"/>
          <w:u w:val="thick"/>
        </w:rPr>
        <w:t> </w:t>
      </w:r>
      <w:r>
        <w:rPr>
          <w:u w:val="thick"/>
        </w:rPr>
        <w:t>mitochondrie)</w:t>
      </w:r>
    </w:p>
    <w:p>
      <w:pPr>
        <w:pStyle w:val="BodyText"/>
        <w:spacing w:line="276" w:lineRule="auto" w:before="178"/>
        <w:ind w:left="116" w:right="116" w:firstLine="707"/>
        <w:jc w:val="both"/>
      </w:pPr>
      <w:r>
        <w:rPr/>
        <w:t>En temps normal, la stabilité de la mitochondrie est assurée par la formation d’hétérodimères entre les membres anti-apoptotiques (Bcl-2, Bcl-x</w:t>
      </w:r>
      <w:r>
        <w:rPr>
          <w:position w:val="-1"/>
          <w:sz w:val="16"/>
        </w:rPr>
        <w:t>L</w:t>
      </w:r>
      <w:r>
        <w:rPr/>
        <w:t>, Mcl-1) et les membres pro-apoptotiques Bak et Bax. Les activateurs initiaux sont les </w:t>
      </w:r>
      <w:r>
        <w:rPr>
          <w:b/>
        </w:rPr>
        <w:t>protéines BH3 (pro apoptotiques)</w:t>
      </w:r>
      <w:r>
        <w:rPr/>
        <w:t>, qui se lient à </w:t>
      </w:r>
      <w:r>
        <w:rPr>
          <w:b/>
        </w:rPr>
        <w:t>Bcl-2 (facteur anti apoptotique), </w:t>
      </w:r>
      <w:r>
        <w:rPr/>
        <w:t>qui est alors inhibé. Les protéines BH3 sont des sentinelles des conditions environnementales et intègrent beaucoup d’informations qualitatives et quantitatives qui déterminent le moment de la mort cellulaire.</w:t>
      </w:r>
    </w:p>
    <w:p>
      <w:pPr>
        <w:pStyle w:val="BodyText"/>
        <w:spacing w:line="276" w:lineRule="auto" w:before="163"/>
        <w:ind w:left="116" w:right="113" w:firstLine="707"/>
        <w:jc w:val="both"/>
      </w:pPr>
      <w:r>
        <w:rPr/>
        <w:t>L’inhibition du facteur </w:t>
      </w:r>
      <w:r>
        <w:rPr>
          <w:b/>
        </w:rPr>
        <w:t>Bcl-2 </w:t>
      </w:r>
      <w:r>
        <w:rPr/>
        <w:t>entraîne une concentration des protéines pro apoptotiques </w:t>
      </w:r>
      <w:r>
        <w:rPr>
          <w:b/>
        </w:rPr>
        <w:t>Bax </w:t>
      </w:r>
      <w:r>
        <w:rPr/>
        <w:t>et </w:t>
      </w:r>
      <w:r>
        <w:rPr>
          <w:b/>
        </w:rPr>
        <w:t>Bak </w:t>
      </w:r>
      <w:r>
        <w:rPr/>
        <w:t>au niveau de la membrane mitochondriale, qui devient alors perméable : il y a libération du </w:t>
      </w:r>
      <w:r>
        <w:rPr>
          <w:b/>
        </w:rPr>
        <w:t>cytochrome C</w:t>
      </w:r>
      <w:r>
        <w:rPr/>
        <w:t>. Le cytochrome C se lie à </w:t>
      </w:r>
      <w:r>
        <w:rPr>
          <w:b/>
        </w:rPr>
        <w:t>APAF-1 </w:t>
      </w:r>
      <w:r>
        <w:rPr/>
        <w:t>et l’active. APAF-1 se lie à la </w:t>
      </w:r>
      <w:r>
        <w:rPr>
          <w:b/>
        </w:rPr>
        <w:t>caspase 9 </w:t>
      </w:r>
      <w:r>
        <w:rPr/>
        <w:t>en présence d’ATP. La </w:t>
      </w:r>
      <w:r>
        <w:rPr>
          <w:b/>
        </w:rPr>
        <w:t>protéine Smac/DIABLO </w:t>
      </w:r>
      <w:r>
        <w:rPr/>
        <w:t>se lie au IAP (inhibiteur des caspases indispensable lors de la vie de la cellule), levant ainsi l’inhibition sur les caspases. L’activation des caspases est un processus complexe (la caspase 9 par exemple est capable de se dimériser et de s’auto cliver et de cliver d’autres caspases).</w:t>
      </w:r>
    </w:p>
    <w:p>
      <w:pPr>
        <w:spacing w:after="0" w:line="276" w:lineRule="auto"/>
        <w:jc w:val="both"/>
        <w:sectPr>
          <w:pgSz w:w="11910" w:h="16840"/>
          <w:pgMar w:header="0" w:footer="1055" w:top="1340" w:bottom="1240" w:left="1300" w:right="1300"/>
        </w:sectPr>
      </w:pPr>
    </w:p>
    <w:p>
      <w:pPr>
        <w:pStyle w:val="BodyText"/>
        <w:ind w:left="477"/>
        <w:rPr>
          <w:sz w:val="20"/>
        </w:rPr>
      </w:pPr>
      <w:r>
        <w:rPr>
          <w:sz w:val="20"/>
        </w:rPr>
        <w:drawing>
          <wp:inline distT="0" distB="0" distL="0" distR="0">
            <wp:extent cx="5763560" cy="3027902"/>
            <wp:effectExtent l="0" t="0" r="0" b="0"/>
            <wp:docPr id="67" name="image37.jpeg" descr=""/>
            <wp:cNvGraphicFramePr>
              <a:graphicFrameLocks noChangeAspect="1"/>
            </wp:cNvGraphicFramePr>
            <a:graphic>
              <a:graphicData uri="http://schemas.openxmlformats.org/drawingml/2006/picture">
                <pic:pic>
                  <pic:nvPicPr>
                    <pic:cNvPr id="68" name="image37.jpeg"/>
                    <pic:cNvPicPr/>
                  </pic:nvPicPr>
                  <pic:blipFill>
                    <a:blip r:embed="rId79" cstate="print"/>
                    <a:stretch>
                      <a:fillRect/>
                    </a:stretch>
                  </pic:blipFill>
                  <pic:spPr>
                    <a:xfrm>
                      <a:off x="0" y="0"/>
                      <a:ext cx="5763560" cy="3027902"/>
                    </a:xfrm>
                    <a:prstGeom prst="rect">
                      <a:avLst/>
                    </a:prstGeom>
                  </pic:spPr>
                </pic:pic>
              </a:graphicData>
            </a:graphic>
          </wp:inline>
        </w:drawing>
      </w:r>
      <w:r>
        <w:rPr>
          <w:sz w:val="20"/>
        </w:rPr>
      </w:r>
    </w:p>
    <w:p>
      <w:pPr>
        <w:pStyle w:val="BodyText"/>
        <w:spacing w:before="7"/>
        <w:rPr>
          <w:sz w:val="7"/>
        </w:rPr>
      </w:pPr>
    </w:p>
    <w:p>
      <w:pPr>
        <w:spacing w:before="90"/>
        <w:ind w:left="478" w:right="0" w:firstLine="0"/>
        <w:jc w:val="left"/>
        <w:rPr>
          <w:i/>
          <w:sz w:val="24"/>
        </w:rPr>
      </w:pPr>
      <w:r>
        <w:rPr>
          <w:i/>
          <w:sz w:val="24"/>
        </w:rPr>
        <w:t>Les différentes voies aboutissant au phénomène d’apoptose. Modifié d’après Sarvothaman</w:t>
      </w:r>
    </w:p>
    <w:p>
      <w:pPr>
        <w:spacing w:before="19"/>
        <w:ind w:left="4096" w:right="4454" w:firstLine="0"/>
        <w:jc w:val="center"/>
        <w:rPr>
          <w:i/>
          <w:sz w:val="24"/>
        </w:rPr>
      </w:pPr>
      <w:r>
        <w:rPr>
          <w:i/>
          <w:sz w:val="24"/>
        </w:rPr>
        <w:t>et al., 2015</w:t>
      </w:r>
    </w:p>
    <w:p>
      <w:pPr>
        <w:pStyle w:val="BodyText"/>
        <w:spacing w:line="276" w:lineRule="auto" w:before="184"/>
        <w:ind w:left="116" w:right="469" w:firstLine="707"/>
        <w:jc w:val="both"/>
      </w:pPr>
      <w:r>
        <w:rPr/>
        <w:t>L’apoptose se termine par un démantèlement de la cellule : signaux « mange-moi » comme l’exposition de la phosphatidylsérine à la surface de la membrane cellulaire, arrêt de la réplication, fragmentation du cytosquelette et du noyau entraînant la formation de corps apoptotiques. Ces derniers sont phagocytés par les cellules environnantes (importance du système immunitaire).</w:t>
      </w:r>
    </w:p>
    <w:p>
      <w:pPr>
        <w:pStyle w:val="BodyText"/>
        <w:spacing w:line="276" w:lineRule="auto" w:before="163"/>
        <w:ind w:left="116" w:firstLine="566"/>
      </w:pPr>
      <w:r>
        <w:rPr/>
        <w:t>Les</w:t>
      </w:r>
      <w:r>
        <w:rPr>
          <w:spacing w:val="-9"/>
        </w:rPr>
        <w:t> </w:t>
      </w:r>
      <w:r>
        <w:rPr/>
        <w:t>gènes</w:t>
      </w:r>
      <w:r>
        <w:rPr>
          <w:spacing w:val="-12"/>
        </w:rPr>
        <w:t> </w:t>
      </w:r>
      <w:r>
        <w:rPr/>
        <w:t>Bcl-2</w:t>
      </w:r>
      <w:r>
        <w:rPr>
          <w:spacing w:val="-12"/>
        </w:rPr>
        <w:t> </w:t>
      </w:r>
      <w:r>
        <w:rPr/>
        <w:t>sont</w:t>
      </w:r>
      <w:r>
        <w:rPr>
          <w:spacing w:val="-12"/>
        </w:rPr>
        <w:t> </w:t>
      </w:r>
      <w:r>
        <w:rPr/>
        <w:t>surexprimés</w:t>
      </w:r>
      <w:r>
        <w:rPr>
          <w:spacing w:val="-12"/>
        </w:rPr>
        <w:t> </w:t>
      </w:r>
      <w:r>
        <w:rPr/>
        <w:t>dans</w:t>
      </w:r>
      <w:r>
        <w:rPr>
          <w:spacing w:val="-14"/>
        </w:rPr>
        <w:t> </w:t>
      </w:r>
      <w:r>
        <w:rPr/>
        <w:t>les</w:t>
      </w:r>
      <w:r>
        <w:rPr>
          <w:spacing w:val="-12"/>
        </w:rPr>
        <w:t> </w:t>
      </w:r>
      <w:r>
        <w:rPr/>
        <w:t>cellules</w:t>
      </w:r>
      <w:r>
        <w:rPr>
          <w:spacing w:val="-15"/>
        </w:rPr>
        <w:t> </w:t>
      </w:r>
      <w:r>
        <w:rPr/>
        <w:t>tumorales.</w:t>
      </w:r>
      <w:r>
        <w:rPr>
          <w:spacing w:val="-12"/>
        </w:rPr>
        <w:t> </w:t>
      </w:r>
      <w:r>
        <w:rPr/>
        <w:t>De</w:t>
      </w:r>
      <w:r>
        <w:rPr>
          <w:spacing w:val="-14"/>
        </w:rPr>
        <w:t> </w:t>
      </w:r>
      <w:r>
        <w:rPr/>
        <w:t>nombreux</w:t>
      </w:r>
      <w:r>
        <w:rPr>
          <w:spacing w:val="-12"/>
        </w:rPr>
        <w:t> </w:t>
      </w:r>
      <w:r>
        <w:rPr/>
        <w:t>médicaments ciblant Bcl-2 sont en développement (pour inhiber sa fonction anti</w:t>
      </w:r>
      <w:r>
        <w:rPr>
          <w:spacing w:val="-14"/>
        </w:rPr>
        <w:t> </w:t>
      </w:r>
      <w:r>
        <w:rPr/>
        <w:t>apoptotique).</w:t>
      </w:r>
    </w:p>
    <w:p>
      <w:pPr>
        <w:spacing w:after="0" w:line="276" w:lineRule="auto"/>
        <w:sectPr>
          <w:pgSz w:w="11910" w:h="16840"/>
          <w:pgMar w:header="0" w:footer="995" w:top="1400" w:bottom="1240" w:left="1300" w:right="940"/>
        </w:sectPr>
      </w:pPr>
    </w:p>
    <w:p>
      <w:pPr>
        <w:pStyle w:val="Heading3"/>
        <w:spacing w:before="73"/>
        <w:ind w:left="2043" w:firstLine="0"/>
      </w:pPr>
      <w:bookmarkStart w:name="_bookmark233" w:id="407"/>
      <w:bookmarkEnd w:id="407"/>
      <w:r>
        <w:rPr>
          <w:b w:val="0"/>
        </w:rPr>
      </w:r>
      <w:r>
        <w:rPr>
          <w:u w:val="thick"/>
        </w:rPr>
        <w:t>Annexe 2 : Résultats complémentaires ALA</w:t>
      </w:r>
    </w:p>
    <w:p>
      <w:pPr>
        <w:pStyle w:val="BodyText"/>
        <w:rPr>
          <w:b/>
          <w:sz w:val="20"/>
        </w:rPr>
      </w:pPr>
    </w:p>
    <w:p>
      <w:pPr>
        <w:pStyle w:val="BodyText"/>
        <w:rPr>
          <w:b/>
          <w:sz w:val="22"/>
        </w:rPr>
      </w:pPr>
    </w:p>
    <w:p>
      <w:pPr>
        <w:pStyle w:val="BodyText"/>
        <w:spacing w:line="276" w:lineRule="auto"/>
        <w:ind w:left="116" w:right="113" w:firstLine="707"/>
        <w:jc w:val="both"/>
      </w:pPr>
      <w:r>
        <w:rPr/>
        <w:t>Les</w:t>
      </w:r>
      <w:r>
        <w:rPr>
          <w:spacing w:val="-13"/>
        </w:rPr>
        <w:t> </w:t>
      </w:r>
      <w:r>
        <w:rPr/>
        <w:t>résultats</w:t>
      </w:r>
      <w:r>
        <w:rPr>
          <w:spacing w:val="-14"/>
        </w:rPr>
        <w:t> </w:t>
      </w:r>
      <w:r>
        <w:rPr/>
        <w:t>présentés</w:t>
      </w:r>
      <w:r>
        <w:rPr>
          <w:spacing w:val="-14"/>
        </w:rPr>
        <w:t> </w:t>
      </w:r>
      <w:r>
        <w:rPr/>
        <w:t>sont</w:t>
      </w:r>
      <w:r>
        <w:rPr>
          <w:spacing w:val="-14"/>
        </w:rPr>
        <w:t> </w:t>
      </w:r>
      <w:r>
        <w:rPr/>
        <w:t>issus</w:t>
      </w:r>
      <w:r>
        <w:rPr>
          <w:spacing w:val="-14"/>
        </w:rPr>
        <w:t> </w:t>
      </w:r>
      <w:r>
        <w:rPr/>
        <w:t>d’expériences</w:t>
      </w:r>
      <w:r>
        <w:rPr>
          <w:spacing w:val="-13"/>
        </w:rPr>
        <w:t> </w:t>
      </w:r>
      <w:r>
        <w:rPr/>
        <w:t>réalisées</w:t>
      </w:r>
      <w:r>
        <w:rPr>
          <w:spacing w:val="-14"/>
        </w:rPr>
        <w:t> </w:t>
      </w:r>
      <w:r>
        <w:rPr/>
        <w:t>lors</w:t>
      </w:r>
      <w:r>
        <w:rPr>
          <w:spacing w:val="-14"/>
        </w:rPr>
        <w:t> </w:t>
      </w:r>
      <w:r>
        <w:rPr/>
        <w:t>d’un</w:t>
      </w:r>
      <w:r>
        <w:rPr>
          <w:spacing w:val="-10"/>
        </w:rPr>
        <w:t> </w:t>
      </w:r>
      <w:r>
        <w:rPr/>
        <w:t>stage</w:t>
      </w:r>
      <w:r>
        <w:rPr>
          <w:spacing w:val="-13"/>
        </w:rPr>
        <w:t> </w:t>
      </w:r>
      <w:r>
        <w:rPr/>
        <w:t>au</w:t>
      </w:r>
      <w:r>
        <w:rPr>
          <w:spacing w:val="-13"/>
        </w:rPr>
        <w:t> </w:t>
      </w:r>
      <w:r>
        <w:rPr/>
        <w:t>CRCL.</w:t>
      </w:r>
      <w:r>
        <w:rPr>
          <w:spacing w:val="-13"/>
        </w:rPr>
        <w:t> </w:t>
      </w:r>
      <w:r>
        <w:rPr/>
        <w:t>Nous nous sommes concentrés sur l’étude de l’action de l’ALA sur deux lignées adhérentes de cellules de cancer du sein : la lignée T47D (ER+) et la lignée MDA-MB-468 (ER-). Afin d’évaluer l’action de l’ALA sur la survie des cellules cancéreuses, le protocole suivant a été réalisé.</w:t>
      </w:r>
    </w:p>
    <w:p>
      <w:pPr>
        <w:pStyle w:val="ListParagraph"/>
        <w:numPr>
          <w:ilvl w:val="0"/>
          <w:numId w:val="33"/>
        </w:numPr>
        <w:tabs>
          <w:tab w:pos="837" w:val="left" w:leader="none"/>
        </w:tabs>
        <w:spacing w:line="276" w:lineRule="auto" w:before="162" w:after="0"/>
        <w:ind w:left="836" w:right="116" w:hanging="360"/>
        <w:jc w:val="both"/>
        <w:rPr>
          <w:sz w:val="24"/>
        </w:rPr>
      </w:pPr>
      <w:r>
        <w:rPr>
          <w:sz w:val="24"/>
        </w:rPr>
        <w:t>J-1 : Ensemencement 400 000 cellules par boîte (19 boîtes par lignée), 24 heures avant le traitement à l’ALA pour que les cellules soient</w:t>
      </w:r>
      <w:r>
        <w:rPr>
          <w:spacing w:val="-9"/>
          <w:sz w:val="24"/>
        </w:rPr>
        <w:t> </w:t>
      </w:r>
      <w:r>
        <w:rPr>
          <w:sz w:val="24"/>
        </w:rPr>
        <w:t>adhérentes.</w:t>
      </w:r>
    </w:p>
    <w:p>
      <w:pPr>
        <w:pStyle w:val="ListParagraph"/>
        <w:numPr>
          <w:ilvl w:val="0"/>
          <w:numId w:val="33"/>
        </w:numPr>
        <w:tabs>
          <w:tab w:pos="837" w:val="left" w:leader="none"/>
        </w:tabs>
        <w:spacing w:line="276" w:lineRule="auto" w:before="0" w:after="0"/>
        <w:ind w:left="836" w:right="112" w:hanging="360"/>
        <w:jc w:val="both"/>
        <w:rPr>
          <w:sz w:val="24"/>
        </w:rPr>
      </w:pPr>
      <w:r>
        <w:rPr>
          <w:sz w:val="24"/>
        </w:rPr>
        <w:t>J0 : Comptage des cellules et traitement des cellules avec de l’ALA (0,5 mM, 1 mM, 2 mM, 5 mM)</w:t>
      </w:r>
    </w:p>
    <w:p>
      <w:pPr>
        <w:pStyle w:val="ListParagraph"/>
        <w:numPr>
          <w:ilvl w:val="0"/>
          <w:numId w:val="33"/>
        </w:numPr>
        <w:tabs>
          <w:tab w:pos="837" w:val="left" w:leader="none"/>
        </w:tabs>
        <w:spacing w:line="276" w:lineRule="auto" w:before="0" w:after="0"/>
        <w:ind w:left="836" w:right="116" w:hanging="360"/>
        <w:jc w:val="both"/>
        <w:rPr>
          <w:sz w:val="24"/>
        </w:rPr>
      </w:pPr>
      <w:r>
        <w:rPr>
          <w:sz w:val="24"/>
        </w:rPr>
        <w:t>A J1, J2 et J3 : comptage des cellules – clichés photographiques. Pour les temps J2 et J3, les cellules ont été centrifugées pour récupérer les protéines et procéder à des Western</w:t>
      </w:r>
      <w:r>
        <w:rPr>
          <w:spacing w:val="-4"/>
          <w:sz w:val="24"/>
        </w:rPr>
        <w:t> </w:t>
      </w:r>
      <w:r>
        <w:rPr>
          <w:sz w:val="24"/>
        </w:rPr>
        <w:t>Blots.</w:t>
      </w:r>
    </w:p>
    <w:p>
      <w:pPr>
        <w:pStyle w:val="BodyText"/>
        <w:spacing w:line="276" w:lineRule="auto" w:before="161"/>
        <w:ind w:left="116" w:right="116" w:firstLine="707"/>
        <w:jc w:val="both"/>
      </w:pPr>
      <w:r>
        <w:rPr/>
        <w:t>Pour</w:t>
      </w:r>
      <w:r>
        <w:rPr>
          <w:spacing w:val="-9"/>
        </w:rPr>
        <w:t> </w:t>
      </w:r>
      <w:r>
        <w:rPr/>
        <w:t>la</w:t>
      </w:r>
      <w:r>
        <w:rPr>
          <w:spacing w:val="-9"/>
        </w:rPr>
        <w:t> </w:t>
      </w:r>
      <w:r>
        <w:rPr/>
        <w:t>lignée</w:t>
      </w:r>
      <w:r>
        <w:rPr>
          <w:spacing w:val="-10"/>
        </w:rPr>
        <w:t> </w:t>
      </w:r>
      <w:r>
        <w:rPr/>
        <w:t>MDA-MB-468,</w:t>
      </w:r>
      <w:r>
        <w:rPr>
          <w:spacing w:val="-9"/>
        </w:rPr>
        <w:t> </w:t>
      </w:r>
      <w:r>
        <w:rPr/>
        <w:t>il</w:t>
      </w:r>
      <w:r>
        <w:rPr>
          <w:spacing w:val="-8"/>
        </w:rPr>
        <w:t> </w:t>
      </w:r>
      <w:r>
        <w:rPr/>
        <w:t>est</w:t>
      </w:r>
      <w:r>
        <w:rPr>
          <w:spacing w:val="-8"/>
        </w:rPr>
        <w:t> </w:t>
      </w:r>
      <w:r>
        <w:rPr/>
        <w:t>apparu</w:t>
      </w:r>
      <w:r>
        <w:rPr>
          <w:spacing w:val="-9"/>
        </w:rPr>
        <w:t> </w:t>
      </w:r>
      <w:r>
        <w:rPr/>
        <w:t>que</w:t>
      </w:r>
      <w:r>
        <w:rPr>
          <w:spacing w:val="-10"/>
        </w:rPr>
        <w:t> </w:t>
      </w:r>
      <w:r>
        <w:rPr/>
        <w:t>l’éthanol</w:t>
      </w:r>
      <w:r>
        <w:rPr>
          <w:spacing w:val="-9"/>
        </w:rPr>
        <w:t> </w:t>
      </w:r>
      <w:r>
        <w:rPr/>
        <w:t>limite</w:t>
      </w:r>
      <w:r>
        <w:rPr>
          <w:spacing w:val="-9"/>
        </w:rPr>
        <w:t> </w:t>
      </w:r>
      <w:r>
        <w:rPr/>
        <w:t>en</w:t>
      </w:r>
      <w:r>
        <w:rPr>
          <w:spacing w:val="-9"/>
        </w:rPr>
        <w:t> </w:t>
      </w:r>
      <w:r>
        <w:rPr/>
        <w:t>partie</w:t>
      </w:r>
      <w:r>
        <w:rPr>
          <w:spacing w:val="-9"/>
        </w:rPr>
        <w:t> </w:t>
      </w:r>
      <w:r>
        <w:rPr/>
        <w:t>la</w:t>
      </w:r>
      <w:r>
        <w:rPr>
          <w:spacing w:val="-9"/>
        </w:rPr>
        <w:t> </w:t>
      </w:r>
      <w:r>
        <w:rPr/>
        <w:t>prolifération cellulaire. L’effet de l’ALA dissout dans l’éthanol ne peut donc pas être interprété pour cette lignée et les résultats ne seront pas</w:t>
      </w:r>
      <w:r>
        <w:rPr>
          <w:spacing w:val="-11"/>
        </w:rPr>
        <w:t> </w:t>
      </w:r>
      <w:r>
        <w:rPr/>
        <w:t>présentés.</w:t>
      </w:r>
    </w:p>
    <w:p>
      <w:pPr>
        <w:pStyle w:val="ListParagraph"/>
        <w:numPr>
          <w:ilvl w:val="0"/>
          <w:numId w:val="34"/>
        </w:numPr>
        <w:tabs>
          <w:tab w:pos="837" w:val="left" w:leader="none"/>
        </w:tabs>
        <w:spacing w:line="240" w:lineRule="auto" w:before="161" w:after="0"/>
        <w:ind w:left="836" w:right="0" w:hanging="360"/>
        <w:jc w:val="left"/>
        <w:rPr>
          <w:sz w:val="24"/>
        </w:rPr>
      </w:pPr>
      <w:r>
        <w:rPr>
          <w:sz w:val="24"/>
          <w:u w:val="single"/>
        </w:rPr>
        <w:t>Comptage des</w:t>
      </w:r>
      <w:r>
        <w:rPr>
          <w:spacing w:val="-7"/>
          <w:sz w:val="24"/>
          <w:u w:val="single"/>
        </w:rPr>
        <w:t> </w:t>
      </w:r>
      <w:r>
        <w:rPr>
          <w:sz w:val="24"/>
          <w:u w:val="single"/>
        </w:rPr>
        <w:t>cellules</w:t>
      </w:r>
    </w:p>
    <w:p>
      <w:pPr>
        <w:pStyle w:val="BodyText"/>
        <w:spacing w:line="276" w:lineRule="auto" w:before="204"/>
        <w:ind w:left="116" w:right="117" w:firstLine="707"/>
        <w:jc w:val="both"/>
      </w:pPr>
      <w:r>
        <w:rPr/>
        <w:t>La technologie IncuCyte® ZOOM permet de déterminer la confluence des cellules en culture en temps réel, soit pour des cellules fluorescentes soit en contraste de phase, par acquisition d’image toutes les 30 min. 3000 cellules sont déposées par puits dans des plaques 96 puits. 6 h après ce dépôt, le traitement des cellules est réalisé. Le logiciel enregistre alors une image toutes les 30 min et dénombre les cellules adhérentes.</w:t>
      </w:r>
    </w:p>
    <w:p>
      <w:pPr>
        <w:pStyle w:val="ListParagraph"/>
        <w:numPr>
          <w:ilvl w:val="0"/>
          <w:numId w:val="34"/>
        </w:numPr>
        <w:tabs>
          <w:tab w:pos="837" w:val="left" w:leader="none"/>
        </w:tabs>
        <w:spacing w:line="240" w:lineRule="auto" w:before="162" w:after="0"/>
        <w:ind w:left="836" w:right="0" w:hanging="360"/>
        <w:jc w:val="left"/>
        <w:rPr>
          <w:sz w:val="24"/>
        </w:rPr>
      </w:pPr>
      <w:r>
        <w:rPr>
          <w:sz w:val="24"/>
          <w:u w:val="single"/>
        </w:rPr>
        <w:t>Traitement des</w:t>
      </w:r>
      <w:r>
        <w:rPr>
          <w:spacing w:val="-5"/>
          <w:sz w:val="24"/>
          <w:u w:val="single"/>
        </w:rPr>
        <w:t> </w:t>
      </w:r>
      <w:r>
        <w:rPr>
          <w:sz w:val="24"/>
          <w:u w:val="single"/>
        </w:rPr>
        <w:t>cellules</w:t>
      </w:r>
    </w:p>
    <w:p>
      <w:pPr>
        <w:pStyle w:val="BodyText"/>
        <w:spacing w:line="276" w:lineRule="auto" w:before="201"/>
        <w:ind w:left="116" w:right="115" w:firstLine="707"/>
        <w:jc w:val="both"/>
      </w:pPr>
      <w:r>
        <w:rPr/>
        <w:t>Les</w:t>
      </w:r>
      <w:r>
        <w:rPr>
          <w:spacing w:val="-12"/>
        </w:rPr>
        <w:t> </w:t>
      </w:r>
      <w:r>
        <w:rPr/>
        <w:t>boîtes</w:t>
      </w:r>
      <w:r>
        <w:rPr>
          <w:spacing w:val="-12"/>
        </w:rPr>
        <w:t> </w:t>
      </w:r>
      <w:r>
        <w:rPr/>
        <w:t>ensemencées</w:t>
      </w:r>
      <w:r>
        <w:rPr>
          <w:spacing w:val="-12"/>
        </w:rPr>
        <w:t> </w:t>
      </w:r>
      <w:r>
        <w:rPr/>
        <w:t>la</w:t>
      </w:r>
      <w:r>
        <w:rPr>
          <w:spacing w:val="-13"/>
        </w:rPr>
        <w:t> </w:t>
      </w:r>
      <w:r>
        <w:rPr/>
        <w:t>veille</w:t>
      </w:r>
      <w:r>
        <w:rPr>
          <w:spacing w:val="-11"/>
        </w:rPr>
        <w:t> </w:t>
      </w:r>
      <w:r>
        <w:rPr/>
        <w:t>sont</w:t>
      </w:r>
      <w:r>
        <w:rPr>
          <w:spacing w:val="-12"/>
        </w:rPr>
        <w:t> </w:t>
      </w:r>
      <w:r>
        <w:rPr/>
        <w:t>réparties</w:t>
      </w:r>
      <w:r>
        <w:rPr>
          <w:spacing w:val="-11"/>
        </w:rPr>
        <w:t> </w:t>
      </w:r>
      <w:r>
        <w:rPr/>
        <w:t>de</w:t>
      </w:r>
      <w:r>
        <w:rPr>
          <w:spacing w:val="-13"/>
        </w:rPr>
        <w:t> </w:t>
      </w:r>
      <w:r>
        <w:rPr/>
        <w:t>manière</w:t>
      </w:r>
      <w:r>
        <w:rPr>
          <w:spacing w:val="-14"/>
        </w:rPr>
        <w:t> </w:t>
      </w:r>
      <w:r>
        <w:rPr/>
        <w:t>à</w:t>
      </w:r>
      <w:r>
        <w:rPr>
          <w:spacing w:val="-13"/>
        </w:rPr>
        <w:t> </w:t>
      </w:r>
      <w:r>
        <w:rPr/>
        <w:t>avoir</w:t>
      </w:r>
      <w:r>
        <w:rPr>
          <w:spacing w:val="-12"/>
        </w:rPr>
        <w:t> </w:t>
      </w:r>
      <w:r>
        <w:rPr/>
        <w:t>3</w:t>
      </w:r>
      <w:r>
        <w:rPr>
          <w:spacing w:val="-12"/>
        </w:rPr>
        <w:t> </w:t>
      </w:r>
      <w:r>
        <w:rPr/>
        <w:t>boîtes</w:t>
      </w:r>
      <w:r>
        <w:rPr>
          <w:spacing w:val="-12"/>
        </w:rPr>
        <w:t> </w:t>
      </w:r>
      <w:r>
        <w:rPr/>
        <w:t>par</w:t>
      </w:r>
      <w:r>
        <w:rPr>
          <w:spacing w:val="-13"/>
        </w:rPr>
        <w:t> </w:t>
      </w:r>
      <w:r>
        <w:rPr/>
        <w:t>condition. Les</w:t>
      </w:r>
      <w:r>
        <w:rPr>
          <w:spacing w:val="-7"/>
        </w:rPr>
        <w:t> </w:t>
      </w:r>
      <w:r>
        <w:rPr/>
        <w:t>différentes</w:t>
      </w:r>
      <w:r>
        <w:rPr>
          <w:spacing w:val="-8"/>
        </w:rPr>
        <w:t> </w:t>
      </w:r>
      <w:r>
        <w:rPr/>
        <w:t>conditions</w:t>
      </w:r>
      <w:r>
        <w:rPr>
          <w:spacing w:val="-9"/>
        </w:rPr>
        <w:t> </w:t>
      </w:r>
      <w:r>
        <w:rPr/>
        <w:t>sont</w:t>
      </w:r>
      <w:r>
        <w:rPr>
          <w:spacing w:val="-9"/>
        </w:rPr>
        <w:t> </w:t>
      </w:r>
      <w:r>
        <w:rPr/>
        <w:t>les</w:t>
      </w:r>
      <w:r>
        <w:rPr>
          <w:spacing w:val="-10"/>
        </w:rPr>
        <w:t> </w:t>
      </w:r>
      <w:r>
        <w:rPr/>
        <w:t>suivantes :</w:t>
      </w:r>
      <w:r>
        <w:rPr>
          <w:spacing w:val="-9"/>
        </w:rPr>
        <w:t> </w:t>
      </w:r>
      <w:r>
        <w:rPr/>
        <w:t>Témoin</w:t>
      </w:r>
      <w:r>
        <w:rPr>
          <w:spacing w:val="-1"/>
        </w:rPr>
        <w:t> </w:t>
      </w:r>
      <w:r>
        <w:rPr/>
        <w:t>;</w:t>
      </w:r>
      <w:r>
        <w:rPr>
          <w:spacing w:val="-9"/>
        </w:rPr>
        <w:t> </w:t>
      </w:r>
      <w:r>
        <w:rPr/>
        <w:t>ALA</w:t>
      </w:r>
      <w:r>
        <w:rPr>
          <w:spacing w:val="-8"/>
        </w:rPr>
        <w:t> </w:t>
      </w:r>
      <w:r>
        <w:rPr/>
        <w:t>0,5</w:t>
      </w:r>
      <w:r>
        <w:rPr>
          <w:spacing w:val="-10"/>
        </w:rPr>
        <w:t> </w:t>
      </w:r>
      <w:r>
        <w:rPr/>
        <w:t>mM</w:t>
      </w:r>
      <w:r>
        <w:rPr>
          <w:spacing w:val="-9"/>
        </w:rPr>
        <w:t> </w:t>
      </w:r>
      <w:r>
        <w:rPr/>
        <w:t>(cellules</w:t>
      </w:r>
      <w:r>
        <w:rPr>
          <w:spacing w:val="-10"/>
        </w:rPr>
        <w:t> </w:t>
      </w:r>
      <w:r>
        <w:rPr/>
        <w:t>traitées</w:t>
      </w:r>
      <w:r>
        <w:rPr>
          <w:spacing w:val="-7"/>
        </w:rPr>
        <w:t> </w:t>
      </w:r>
      <w:r>
        <w:rPr/>
        <w:t>à</w:t>
      </w:r>
      <w:r>
        <w:rPr>
          <w:spacing w:val="-11"/>
        </w:rPr>
        <w:t> </w:t>
      </w:r>
      <w:r>
        <w:rPr/>
        <w:t>l’ALA 0,5 mM) ; ALA 1 mM ; ALA 2 mM ; ALA 5</w:t>
      </w:r>
      <w:r>
        <w:rPr>
          <w:spacing w:val="-11"/>
        </w:rPr>
        <w:t> </w:t>
      </w:r>
      <w:r>
        <w:rPr/>
        <w:t>mM</w:t>
      </w:r>
    </w:p>
    <w:p>
      <w:pPr>
        <w:pStyle w:val="BodyText"/>
        <w:rPr>
          <w:sz w:val="26"/>
        </w:rPr>
      </w:pPr>
    </w:p>
    <w:p>
      <w:pPr>
        <w:pStyle w:val="ListParagraph"/>
        <w:numPr>
          <w:ilvl w:val="0"/>
          <w:numId w:val="34"/>
        </w:numPr>
        <w:tabs>
          <w:tab w:pos="837" w:val="left" w:leader="none"/>
        </w:tabs>
        <w:spacing w:line="273" w:lineRule="auto" w:before="182" w:after="0"/>
        <w:ind w:left="836" w:right="114" w:hanging="360"/>
        <w:jc w:val="both"/>
        <w:rPr>
          <w:sz w:val="24"/>
        </w:rPr>
      </w:pPr>
      <w:r>
        <w:rPr>
          <w:sz w:val="24"/>
          <w:u w:val="single"/>
        </w:rPr>
        <w:t>Synthèse</w:t>
      </w:r>
      <w:r>
        <w:rPr>
          <w:spacing w:val="-13"/>
          <w:sz w:val="24"/>
          <w:u w:val="single"/>
        </w:rPr>
        <w:t> </w:t>
      </w:r>
      <w:r>
        <w:rPr>
          <w:sz w:val="24"/>
          <w:u w:val="single"/>
        </w:rPr>
        <w:t>des</w:t>
      </w:r>
      <w:r>
        <w:rPr>
          <w:spacing w:val="-11"/>
          <w:sz w:val="24"/>
          <w:u w:val="single"/>
        </w:rPr>
        <w:t> </w:t>
      </w:r>
      <w:r>
        <w:rPr>
          <w:sz w:val="24"/>
          <w:u w:val="single"/>
        </w:rPr>
        <w:t>comptages :</w:t>
      </w:r>
      <w:r>
        <w:rPr>
          <w:spacing w:val="-11"/>
          <w:sz w:val="24"/>
          <w:u w:val="single"/>
        </w:rPr>
        <w:t> </w:t>
      </w:r>
      <w:r>
        <w:rPr>
          <w:sz w:val="24"/>
          <w:u w:val="single"/>
        </w:rPr>
        <w:t>Courbe</w:t>
      </w:r>
      <w:r>
        <w:rPr>
          <w:spacing w:val="-15"/>
          <w:sz w:val="24"/>
          <w:u w:val="single"/>
        </w:rPr>
        <w:t> </w:t>
      </w:r>
      <w:r>
        <w:rPr>
          <w:sz w:val="24"/>
          <w:u w:val="single"/>
        </w:rPr>
        <w:t>de</w:t>
      </w:r>
      <w:r>
        <w:rPr>
          <w:spacing w:val="-14"/>
          <w:sz w:val="24"/>
          <w:u w:val="single"/>
        </w:rPr>
        <w:t> </w:t>
      </w:r>
      <w:r>
        <w:rPr>
          <w:sz w:val="24"/>
          <w:u w:val="single"/>
        </w:rPr>
        <w:t>prolifération</w:t>
      </w:r>
      <w:r>
        <w:rPr>
          <w:spacing w:val="-11"/>
          <w:sz w:val="24"/>
          <w:u w:val="single"/>
        </w:rPr>
        <w:t> </w:t>
      </w:r>
      <w:r>
        <w:rPr>
          <w:sz w:val="24"/>
          <w:u w:val="single"/>
        </w:rPr>
        <w:t>cellulaire</w:t>
      </w:r>
      <w:r>
        <w:rPr>
          <w:spacing w:val="-14"/>
          <w:sz w:val="24"/>
          <w:u w:val="single"/>
        </w:rPr>
        <w:t> </w:t>
      </w:r>
      <w:r>
        <w:rPr>
          <w:sz w:val="24"/>
          <w:u w:val="single"/>
        </w:rPr>
        <w:t>et</w:t>
      </w:r>
      <w:r>
        <w:rPr>
          <w:spacing w:val="-11"/>
          <w:sz w:val="24"/>
          <w:u w:val="single"/>
        </w:rPr>
        <w:t> </w:t>
      </w:r>
      <w:r>
        <w:rPr>
          <w:sz w:val="24"/>
          <w:u w:val="single"/>
        </w:rPr>
        <w:t>étude</w:t>
      </w:r>
      <w:r>
        <w:rPr>
          <w:spacing w:val="-12"/>
          <w:sz w:val="24"/>
          <w:u w:val="single"/>
        </w:rPr>
        <w:t> </w:t>
      </w:r>
      <w:r>
        <w:rPr>
          <w:sz w:val="24"/>
          <w:u w:val="single"/>
        </w:rPr>
        <w:t>de</w:t>
      </w:r>
      <w:r>
        <w:rPr>
          <w:spacing w:val="-12"/>
          <w:sz w:val="24"/>
          <w:u w:val="single"/>
        </w:rPr>
        <w:t> </w:t>
      </w:r>
      <w:r>
        <w:rPr>
          <w:sz w:val="24"/>
          <w:u w:val="single"/>
        </w:rPr>
        <w:t>la</w:t>
      </w:r>
      <w:r>
        <w:rPr>
          <w:spacing w:val="-14"/>
          <w:sz w:val="24"/>
          <w:u w:val="single"/>
        </w:rPr>
        <w:t> </w:t>
      </w:r>
      <w:r>
        <w:rPr>
          <w:sz w:val="24"/>
          <w:u w:val="single"/>
        </w:rPr>
        <w:t>mortalité</w:t>
      </w:r>
      <w:r>
        <w:rPr>
          <w:spacing w:val="-9"/>
          <w:sz w:val="24"/>
          <w:u w:val="single"/>
        </w:rPr>
        <w:t> </w:t>
      </w:r>
      <w:r>
        <w:rPr>
          <w:sz w:val="24"/>
          <w:u w:val="single"/>
        </w:rPr>
        <w:t>dans les cellules de la lignée T47D en réponse à une exposition à</w:t>
      </w:r>
      <w:r>
        <w:rPr>
          <w:spacing w:val="-12"/>
          <w:sz w:val="24"/>
          <w:u w:val="single"/>
        </w:rPr>
        <w:t> </w:t>
      </w:r>
      <w:r>
        <w:rPr>
          <w:sz w:val="24"/>
          <w:u w:val="single"/>
        </w:rPr>
        <w:t>l’ALA</w:t>
      </w:r>
    </w:p>
    <w:p>
      <w:pPr>
        <w:pStyle w:val="BodyText"/>
        <w:spacing w:line="276" w:lineRule="auto" w:before="167"/>
        <w:ind w:left="116" w:right="118" w:firstLine="707"/>
        <w:jc w:val="both"/>
      </w:pPr>
      <w:r>
        <w:rPr/>
        <w:t>La réalisation de courbe de croissance cellulaire permet de comparer l’action de</w:t>
      </w:r>
      <w:r>
        <w:rPr>
          <w:spacing w:val="-19"/>
        </w:rPr>
        <w:t> </w:t>
      </w:r>
      <w:r>
        <w:rPr/>
        <w:t>l’ALA en différentes concentrations en fonction du temps (Figures A et B). Nous pouvons reporter le nombre de cellules vivantes pour chaque concentration par rapport au nombre de cellules vivantes du témoin (100%) pour évaluer la mortalité</w:t>
      </w:r>
      <w:r>
        <w:rPr>
          <w:spacing w:val="-11"/>
        </w:rPr>
        <w:t> </w:t>
      </w:r>
      <w:r>
        <w:rPr/>
        <w:t>cellulaire.</w:t>
      </w:r>
    </w:p>
    <w:p>
      <w:pPr>
        <w:spacing w:after="0" w:line="276" w:lineRule="auto"/>
        <w:jc w:val="both"/>
        <w:sectPr>
          <w:pgSz w:w="11910" w:h="16840"/>
          <w:pgMar w:header="0" w:footer="1055" w:top="1320" w:bottom="1240" w:left="1300" w:right="1300"/>
        </w:sectPr>
      </w:pPr>
    </w:p>
    <w:p>
      <w:pPr>
        <w:pStyle w:val="BodyText"/>
        <w:rPr>
          <w:sz w:val="20"/>
        </w:rPr>
      </w:pPr>
      <w:r>
        <w:rPr>
          <w:sz w:val="20"/>
        </w:rPr>
        <w:drawing>
          <wp:inline distT="0" distB="0" distL="0" distR="0">
            <wp:extent cx="7431133" cy="2001678"/>
            <wp:effectExtent l="0" t="0" r="0" b="0"/>
            <wp:docPr id="69" name="image38.png" descr=""/>
            <wp:cNvGraphicFramePr>
              <a:graphicFrameLocks noChangeAspect="1"/>
            </wp:cNvGraphicFramePr>
            <a:graphic>
              <a:graphicData uri="http://schemas.openxmlformats.org/drawingml/2006/picture">
                <pic:pic>
                  <pic:nvPicPr>
                    <pic:cNvPr id="70" name="image38.png"/>
                    <pic:cNvPicPr/>
                  </pic:nvPicPr>
                  <pic:blipFill>
                    <a:blip r:embed="rId80" cstate="print"/>
                    <a:stretch>
                      <a:fillRect/>
                    </a:stretch>
                  </pic:blipFill>
                  <pic:spPr>
                    <a:xfrm>
                      <a:off x="0" y="0"/>
                      <a:ext cx="7431133" cy="2001678"/>
                    </a:xfrm>
                    <a:prstGeom prst="rect">
                      <a:avLst/>
                    </a:prstGeom>
                  </pic:spPr>
                </pic:pic>
              </a:graphicData>
            </a:graphic>
          </wp:inline>
        </w:drawing>
      </w:r>
      <w:r>
        <w:rPr>
          <w:sz w:val="20"/>
        </w:rPr>
      </w:r>
    </w:p>
    <w:p>
      <w:pPr>
        <w:spacing w:before="19"/>
        <w:ind w:left="1424" w:right="1425" w:firstLine="0"/>
        <w:jc w:val="center"/>
        <w:rPr>
          <w:i/>
          <w:sz w:val="24"/>
        </w:rPr>
      </w:pPr>
      <w:r>
        <w:rPr>
          <w:i/>
          <w:sz w:val="24"/>
        </w:rPr>
        <w:t>Effet de l’acide lipoïque (ALA=LA) en fonction du temps et de la concentration dans la lignée</w:t>
      </w:r>
    </w:p>
    <w:p>
      <w:pPr>
        <w:spacing w:before="22"/>
        <w:ind w:left="1423" w:right="1425" w:firstLine="0"/>
        <w:jc w:val="center"/>
        <w:rPr>
          <w:i/>
          <w:sz w:val="24"/>
        </w:rPr>
      </w:pPr>
      <w:r>
        <w:rPr>
          <w:b/>
          <w:i/>
          <w:sz w:val="24"/>
        </w:rPr>
        <w:t>T47D. (A) </w:t>
      </w:r>
      <w:r>
        <w:rPr>
          <w:i/>
          <w:sz w:val="24"/>
        </w:rPr>
        <w:t>Courbe de prolifération </w:t>
      </w:r>
      <w:r>
        <w:rPr>
          <w:b/>
          <w:i/>
          <w:sz w:val="24"/>
        </w:rPr>
        <w:t>; (B) </w:t>
      </w:r>
      <w:r>
        <w:rPr>
          <w:i/>
          <w:sz w:val="24"/>
        </w:rPr>
        <w:t>Pourcentage de mortalité cellulaire</w:t>
      </w:r>
    </w:p>
    <w:p>
      <w:pPr>
        <w:pStyle w:val="BodyText"/>
        <w:spacing w:line="276" w:lineRule="auto" w:before="182"/>
        <w:ind w:left="1416" w:right="1418" w:firstLine="707"/>
        <w:jc w:val="both"/>
      </w:pPr>
      <w:r>
        <w:rPr/>
        <w:t>Pour</w:t>
      </w:r>
      <w:r>
        <w:rPr>
          <w:spacing w:val="-6"/>
        </w:rPr>
        <w:t> </w:t>
      </w:r>
      <w:r>
        <w:rPr/>
        <w:t>la</w:t>
      </w:r>
      <w:r>
        <w:rPr>
          <w:spacing w:val="-5"/>
        </w:rPr>
        <w:t> </w:t>
      </w:r>
      <w:r>
        <w:rPr/>
        <w:t>lignée</w:t>
      </w:r>
      <w:r>
        <w:rPr>
          <w:spacing w:val="-6"/>
        </w:rPr>
        <w:t> </w:t>
      </w:r>
      <w:r>
        <w:rPr/>
        <w:t>T47D,</w:t>
      </w:r>
      <w:r>
        <w:rPr>
          <w:spacing w:val="-5"/>
        </w:rPr>
        <w:t> </w:t>
      </w:r>
      <w:r>
        <w:rPr/>
        <w:t>l’éthanol</w:t>
      </w:r>
      <w:r>
        <w:rPr>
          <w:spacing w:val="-4"/>
        </w:rPr>
        <w:t> </w:t>
      </w:r>
      <w:r>
        <w:rPr/>
        <w:t>n’entraîne</w:t>
      </w:r>
      <w:r>
        <w:rPr>
          <w:spacing w:val="-6"/>
        </w:rPr>
        <w:t> </w:t>
      </w:r>
      <w:r>
        <w:rPr/>
        <w:t>pas</w:t>
      </w:r>
      <w:r>
        <w:rPr>
          <w:spacing w:val="-5"/>
        </w:rPr>
        <w:t> </w:t>
      </w:r>
      <w:r>
        <w:rPr/>
        <w:t>une</w:t>
      </w:r>
      <w:r>
        <w:rPr>
          <w:spacing w:val="-3"/>
        </w:rPr>
        <w:t> </w:t>
      </w:r>
      <w:r>
        <w:rPr/>
        <w:t>mort</w:t>
      </w:r>
      <w:r>
        <w:rPr>
          <w:spacing w:val="-5"/>
        </w:rPr>
        <w:t> </w:t>
      </w:r>
      <w:r>
        <w:rPr/>
        <w:t>cellulaire</w:t>
      </w:r>
      <w:r>
        <w:rPr>
          <w:spacing w:val="-6"/>
        </w:rPr>
        <w:t> </w:t>
      </w:r>
      <w:r>
        <w:rPr/>
        <w:t>significative.</w:t>
      </w:r>
      <w:r>
        <w:rPr>
          <w:spacing w:val="-2"/>
        </w:rPr>
        <w:t> </w:t>
      </w:r>
      <w:r>
        <w:rPr/>
        <w:t>L’action de l’ALA dissout dans l’éthanol peut donc être interprétée (Figure</w:t>
      </w:r>
      <w:r>
        <w:rPr>
          <w:spacing w:val="-14"/>
        </w:rPr>
        <w:t> </w:t>
      </w:r>
      <w:r>
        <w:rPr/>
        <w:t>B).</w:t>
      </w:r>
    </w:p>
    <w:p>
      <w:pPr>
        <w:pStyle w:val="BodyText"/>
        <w:spacing w:line="276" w:lineRule="auto" w:before="161"/>
        <w:ind w:left="1416" w:right="1414" w:firstLine="707"/>
        <w:jc w:val="both"/>
      </w:pPr>
      <w:r>
        <w:rPr/>
        <w:t>A 24 h après traitement, pour une concentration d’ALA à 0,5 mM et 1 mM, le nombre de</w:t>
      </w:r>
      <w:r>
        <w:rPr>
          <w:spacing w:val="-13"/>
        </w:rPr>
        <w:t> </w:t>
      </w:r>
      <w:r>
        <w:rPr/>
        <w:t>cellules</w:t>
      </w:r>
      <w:r>
        <w:rPr>
          <w:spacing w:val="-12"/>
        </w:rPr>
        <w:t> </w:t>
      </w:r>
      <w:r>
        <w:rPr/>
        <w:t>vivantes</w:t>
      </w:r>
      <w:r>
        <w:rPr>
          <w:spacing w:val="-9"/>
        </w:rPr>
        <w:t> </w:t>
      </w:r>
      <w:r>
        <w:rPr/>
        <w:t>est</w:t>
      </w:r>
      <w:r>
        <w:rPr>
          <w:spacing w:val="-11"/>
        </w:rPr>
        <w:t> </w:t>
      </w:r>
      <w:r>
        <w:rPr/>
        <w:t>plus</w:t>
      </w:r>
      <w:r>
        <w:rPr>
          <w:spacing w:val="-11"/>
        </w:rPr>
        <w:t> </w:t>
      </w:r>
      <w:r>
        <w:rPr/>
        <w:t>important</w:t>
      </w:r>
      <w:r>
        <w:rPr>
          <w:spacing w:val="-12"/>
        </w:rPr>
        <w:t> </w:t>
      </w:r>
      <w:r>
        <w:rPr/>
        <w:t>que</w:t>
      </w:r>
      <w:r>
        <w:rPr>
          <w:spacing w:val="-13"/>
        </w:rPr>
        <w:t> </w:t>
      </w:r>
      <w:r>
        <w:rPr/>
        <w:t>pour</w:t>
      </w:r>
      <w:r>
        <w:rPr>
          <w:spacing w:val="-13"/>
        </w:rPr>
        <w:t> </w:t>
      </w:r>
      <w:r>
        <w:rPr/>
        <w:t>les</w:t>
      </w:r>
      <w:r>
        <w:rPr>
          <w:spacing w:val="-10"/>
        </w:rPr>
        <w:t> </w:t>
      </w:r>
      <w:r>
        <w:rPr/>
        <w:t>cellules</w:t>
      </w:r>
      <w:r>
        <w:rPr>
          <w:spacing w:val="-12"/>
        </w:rPr>
        <w:t> </w:t>
      </w:r>
      <w:r>
        <w:rPr/>
        <w:t>non</w:t>
      </w:r>
      <w:r>
        <w:rPr>
          <w:spacing w:val="-12"/>
        </w:rPr>
        <w:t> </w:t>
      </w:r>
      <w:r>
        <w:rPr/>
        <w:t>traitées.</w:t>
      </w:r>
      <w:r>
        <w:rPr>
          <w:spacing w:val="-12"/>
        </w:rPr>
        <w:t> </w:t>
      </w:r>
      <w:r>
        <w:rPr/>
        <w:t>Pour</w:t>
      </w:r>
      <w:r>
        <w:rPr>
          <w:spacing w:val="-11"/>
        </w:rPr>
        <w:t> </w:t>
      </w:r>
      <w:r>
        <w:rPr/>
        <w:t>une</w:t>
      </w:r>
      <w:r>
        <w:rPr>
          <w:spacing w:val="-13"/>
        </w:rPr>
        <w:t> </w:t>
      </w:r>
      <w:r>
        <w:rPr/>
        <w:t>concentration d’ALA de 2 mM et 5 mM, le nombre de cellules vivantes est moins important que pour le témoin. A 72 h, un effet dose dépendant de l’ALA sur le nombre de cellules vivantes est constaté.</w:t>
      </w:r>
    </w:p>
    <w:p>
      <w:pPr>
        <w:pStyle w:val="ListParagraph"/>
        <w:numPr>
          <w:ilvl w:val="0"/>
          <w:numId w:val="34"/>
        </w:numPr>
        <w:tabs>
          <w:tab w:pos="2137" w:val="left" w:leader="none"/>
        </w:tabs>
        <w:spacing w:line="240" w:lineRule="auto" w:before="162" w:after="0"/>
        <w:ind w:left="2136" w:right="0" w:hanging="360"/>
        <w:jc w:val="left"/>
        <w:rPr>
          <w:sz w:val="24"/>
        </w:rPr>
      </w:pPr>
      <w:r>
        <w:rPr>
          <w:sz w:val="24"/>
          <w:u w:val="single"/>
        </w:rPr>
        <w:t>Western</w:t>
      </w:r>
      <w:r>
        <w:rPr>
          <w:spacing w:val="-4"/>
          <w:sz w:val="24"/>
          <w:u w:val="single"/>
        </w:rPr>
        <w:t> </w:t>
      </w:r>
      <w:r>
        <w:rPr>
          <w:sz w:val="24"/>
          <w:u w:val="single"/>
        </w:rPr>
        <w:t>Blot</w:t>
      </w:r>
    </w:p>
    <w:p>
      <w:pPr>
        <w:pStyle w:val="BodyText"/>
        <w:spacing w:line="273" w:lineRule="auto" w:before="204"/>
        <w:ind w:left="1416" w:right="1419" w:firstLine="707"/>
        <w:jc w:val="both"/>
      </w:pPr>
      <w:r>
        <w:rPr/>
        <w:t>La réalisation de Western Blot à différents instants permet d’évaluer l’évolution de l’expression de protéine en fonction du temps et de la concentration de ALA utilisée.</w:t>
      </w:r>
    </w:p>
    <w:p>
      <w:pPr>
        <w:pStyle w:val="Heading5"/>
        <w:numPr>
          <w:ilvl w:val="1"/>
          <w:numId w:val="34"/>
        </w:numPr>
        <w:tabs>
          <w:tab w:pos="3540" w:val="left" w:leader="none"/>
          <w:tab w:pos="3541" w:val="left" w:leader="none"/>
        </w:tabs>
        <w:spacing w:line="240" w:lineRule="auto" w:before="169" w:after="0"/>
        <w:ind w:left="3540" w:right="0" w:hanging="706"/>
        <w:jc w:val="left"/>
        <w:rPr>
          <w:i/>
        </w:rPr>
      </w:pPr>
      <w:r>
        <w:rPr>
          <w:i/>
        </w:rPr>
        <w:t>Préparation des protéines à</w:t>
      </w:r>
      <w:r>
        <w:rPr>
          <w:i/>
          <w:spacing w:val="-5"/>
        </w:rPr>
        <w:t> </w:t>
      </w:r>
      <w:r>
        <w:rPr>
          <w:i/>
        </w:rPr>
        <w:t>déposer</w:t>
      </w:r>
    </w:p>
    <w:p>
      <w:pPr>
        <w:pStyle w:val="BodyText"/>
        <w:spacing w:line="276" w:lineRule="auto" w:before="199"/>
        <w:ind w:left="1416" w:right="1412" w:firstLine="707"/>
        <w:jc w:val="both"/>
      </w:pPr>
      <w:r>
        <w:rPr/>
        <w:t>Les protéines à déposer sont récupérées après centrifugation. La concentration initiale est</w:t>
      </w:r>
      <w:r>
        <w:rPr>
          <w:spacing w:val="-4"/>
        </w:rPr>
        <w:t> </w:t>
      </w:r>
      <w:r>
        <w:rPr/>
        <w:t>obtenue</w:t>
      </w:r>
      <w:r>
        <w:rPr>
          <w:spacing w:val="-6"/>
        </w:rPr>
        <w:t> </w:t>
      </w:r>
      <w:r>
        <w:rPr/>
        <w:t>après</w:t>
      </w:r>
      <w:r>
        <w:rPr>
          <w:spacing w:val="-5"/>
        </w:rPr>
        <w:t> </w:t>
      </w:r>
      <w:r>
        <w:rPr/>
        <w:t>coloration</w:t>
      </w:r>
      <w:r>
        <w:rPr>
          <w:spacing w:val="-5"/>
        </w:rPr>
        <w:t> </w:t>
      </w:r>
      <w:r>
        <w:rPr/>
        <w:t>au</w:t>
      </w:r>
      <w:r>
        <w:rPr>
          <w:spacing w:val="-5"/>
        </w:rPr>
        <w:t> </w:t>
      </w:r>
      <w:r>
        <w:rPr/>
        <w:t>bleu</w:t>
      </w:r>
      <w:r>
        <w:rPr>
          <w:spacing w:val="-5"/>
        </w:rPr>
        <w:t> </w:t>
      </w:r>
      <w:r>
        <w:rPr/>
        <w:t>de</w:t>
      </w:r>
      <w:r>
        <w:rPr>
          <w:spacing w:val="-6"/>
        </w:rPr>
        <w:t> </w:t>
      </w:r>
      <w:r>
        <w:rPr/>
        <w:t>Coomassie</w:t>
      </w:r>
      <w:r>
        <w:rPr>
          <w:spacing w:val="-6"/>
        </w:rPr>
        <w:t> </w:t>
      </w:r>
      <w:r>
        <w:rPr/>
        <w:t>par</w:t>
      </w:r>
      <w:r>
        <w:rPr>
          <w:spacing w:val="-6"/>
        </w:rPr>
        <w:t> </w:t>
      </w:r>
      <w:r>
        <w:rPr/>
        <w:t>spectrophotométrie.</w:t>
      </w:r>
      <w:r>
        <w:rPr>
          <w:spacing w:val="-2"/>
        </w:rPr>
        <w:t> </w:t>
      </w:r>
      <w:r>
        <w:rPr/>
        <w:t>Un</w:t>
      </w:r>
      <w:r>
        <w:rPr>
          <w:spacing w:val="-5"/>
        </w:rPr>
        <w:t> </w:t>
      </w:r>
      <w:r>
        <w:rPr/>
        <w:t>volume</w:t>
      </w:r>
      <w:r>
        <w:rPr>
          <w:spacing w:val="-6"/>
        </w:rPr>
        <w:t> </w:t>
      </w:r>
      <w:r>
        <w:rPr/>
        <w:t>de</w:t>
      </w:r>
      <w:r>
        <w:rPr>
          <w:spacing w:val="-6"/>
        </w:rPr>
        <w:t> </w:t>
      </w:r>
      <w:r>
        <w:rPr/>
        <w:t>lysat protéique est prélevé de façon à voir 35 µg de protéines totales pour chaque condition expérimentale.</w:t>
      </w:r>
      <w:r>
        <w:rPr>
          <w:spacing w:val="-16"/>
        </w:rPr>
        <w:t> </w:t>
      </w:r>
      <w:r>
        <w:rPr/>
        <w:t>Ce</w:t>
      </w:r>
      <w:r>
        <w:rPr>
          <w:spacing w:val="-17"/>
        </w:rPr>
        <w:t> </w:t>
      </w:r>
      <w:r>
        <w:rPr/>
        <w:t>volume</w:t>
      </w:r>
      <w:r>
        <w:rPr>
          <w:spacing w:val="-17"/>
        </w:rPr>
        <w:t> </w:t>
      </w:r>
      <w:r>
        <w:rPr/>
        <w:t>est</w:t>
      </w:r>
      <w:r>
        <w:rPr>
          <w:spacing w:val="-13"/>
        </w:rPr>
        <w:t> </w:t>
      </w:r>
      <w:r>
        <w:rPr/>
        <w:t>complété</w:t>
      </w:r>
      <w:r>
        <w:rPr>
          <w:spacing w:val="-14"/>
        </w:rPr>
        <w:t> </w:t>
      </w:r>
      <w:r>
        <w:rPr/>
        <w:t>à</w:t>
      </w:r>
      <w:r>
        <w:rPr>
          <w:spacing w:val="-17"/>
        </w:rPr>
        <w:t> </w:t>
      </w:r>
      <w:r>
        <w:rPr/>
        <w:t>25</w:t>
      </w:r>
      <w:r>
        <w:rPr>
          <w:spacing w:val="-14"/>
        </w:rPr>
        <w:t> </w:t>
      </w:r>
      <w:r>
        <w:rPr/>
        <w:t>µl</w:t>
      </w:r>
      <w:r>
        <w:rPr>
          <w:spacing w:val="-15"/>
        </w:rPr>
        <w:t> </w:t>
      </w:r>
      <w:r>
        <w:rPr/>
        <w:t>par</w:t>
      </w:r>
      <w:r>
        <w:rPr>
          <w:spacing w:val="-14"/>
        </w:rPr>
        <w:t> </w:t>
      </w:r>
      <w:r>
        <w:rPr/>
        <w:t>de</w:t>
      </w:r>
      <w:r>
        <w:rPr>
          <w:spacing w:val="-17"/>
        </w:rPr>
        <w:t> </w:t>
      </w:r>
      <w:r>
        <w:rPr/>
        <w:t>la</w:t>
      </w:r>
      <w:r>
        <w:rPr>
          <w:spacing w:val="-16"/>
        </w:rPr>
        <w:t> </w:t>
      </w:r>
      <w:r>
        <w:rPr/>
        <w:t>solution</w:t>
      </w:r>
      <w:r>
        <w:rPr>
          <w:spacing w:val="-15"/>
        </w:rPr>
        <w:t> </w:t>
      </w:r>
      <w:r>
        <w:rPr/>
        <w:t>de</w:t>
      </w:r>
      <w:r>
        <w:rPr>
          <w:spacing w:val="-17"/>
        </w:rPr>
        <w:t> </w:t>
      </w:r>
      <w:r>
        <w:rPr/>
        <w:t>RIPA</w:t>
      </w:r>
      <w:r>
        <w:rPr>
          <w:spacing w:val="-16"/>
        </w:rPr>
        <w:t> </w:t>
      </w:r>
      <w:r>
        <w:rPr/>
        <w:t>puis</w:t>
      </w:r>
      <w:r>
        <w:rPr>
          <w:spacing w:val="35"/>
        </w:rPr>
        <w:t> </w:t>
      </w:r>
      <w:r>
        <w:rPr/>
        <w:t>20</w:t>
      </w:r>
      <w:r>
        <w:rPr>
          <w:spacing w:val="-16"/>
        </w:rPr>
        <w:t> </w:t>
      </w:r>
      <w:r>
        <w:rPr/>
        <w:t>µL</w:t>
      </w:r>
      <w:r>
        <w:rPr>
          <w:spacing w:val="-19"/>
        </w:rPr>
        <w:t> </w:t>
      </w:r>
      <w:r>
        <w:rPr/>
        <w:t>de</w:t>
      </w:r>
      <w:r>
        <w:rPr>
          <w:spacing w:val="-12"/>
        </w:rPr>
        <w:t> </w:t>
      </w:r>
      <w:r>
        <w:rPr/>
        <w:t>Laemli (Bleu</w:t>
      </w:r>
      <w:r>
        <w:rPr>
          <w:spacing w:val="-5"/>
        </w:rPr>
        <w:t> </w:t>
      </w:r>
      <w:r>
        <w:rPr/>
        <w:t>de</w:t>
      </w:r>
      <w:r>
        <w:rPr>
          <w:spacing w:val="-6"/>
        </w:rPr>
        <w:t> </w:t>
      </w:r>
      <w:r>
        <w:rPr/>
        <w:t>bromophénol</w:t>
      </w:r>
      <w:r>
        <w:rPr>
          <w:spacing w:val="-4"/>
        </w:rPr>
        <w:t> </w:t>
      </w:r>
      <w:r>
        <w:rPr/>
        <w:t>+</w:t>
      </w:r>
      <w:r>
        <w:rPr>
          <w:spacing w:val="-6"/>
        </w:rPr>
        <w:t> </w:t>
      </w:r>
      <w:r>
        <w:rPr/>
        <w:t>SDS</w:t>
      </w:r>
      <w:r>
        <w:rPr>
          <w:spacing w:val="-4"/>
        </w:rPr>
        <w:t> </w:t>
      </w:r>
      <w:r>
        <w:rPr/>
        <w:t>+</w:t>
      </w:r>
      <w:r>
        <w:rPr>
          <w:spacing w:val="-6"/>
        </w:rPr>
        <w:t> </w:t>
      </w:r>
      <w:r>
        <w:rPr/>
        <w:t>glycérol</w:t>
      </w:r>
      <w:r>
        <w:rPr>
          <w:spacing w:val="-5"/>
        </w:rPr>
        <w:t> </w:t>
      </w:r>
      <w:r>
        <w:rPr/>
        <w:t>+</w:t>
      </w:r>
      <w:r>
        <w:rPr>
          <w:spacing w:val="-6"/>
        </w:rPr>
        <w:t> </w:t>
      </w:r>
      <w:r>
        <w:rPr/>
        <w:t>β-mercaptoéthanol)</w:t>
      </w:r>
      <w:r>
        <w:rPr>
          <w:spacing w:val="-5"/>
        </w:rPr>
        <w:t> </w:t>
      </w:r>
      <w:r>
        <w:rPr/>
        <w:t>sont</w:t>
      </w:r>
      <w:r>
        <w:rPr>
          <w:spacing w:val="-4"/>
        </w:rPr>
        <w:t> </w:t>
      </w:r>
      <w:r>
        <w:rPr/>
        <w:t>ajoutés.</w:t>
      </w:r>
      <w:r>
        <w:rPr>
          <w:spacing w:val="-5"/>
        </w:rPr>
        <w:t> </w:t>
      </w:r>
      <w:r>
        <w:rPr/>
        <w:t>Après</w:t>
      </w:r>
      <w:r>
        <w:rPr>
          <w:spacing w:val="-5"/>
        </w:rPr>
        <w:t> </w:t>
      </w:r>
      <w:r>
        <w:rPr/>
        <w:t>agitation</w:t>
      </w:r>
      <w:r>
        <w:rPr>
          <w:spacing w:val="-5"/>
        </w:rPr>
        <w:t> </w:t>
      </w:r>
      <w:r>
        <w:rPr/>
        <w:t>au vortex et incubation au bain marie (100°C) pendant 10-15 minutes, 30 µg de protéines sont déposées par</w:t>
      </w:r>
      <w:r>
        <w:rPr>
          <w:spacing w:val="-3"/>
        </w:rPr>
        <w:t> </w:t>
      </w:r>
      <w:r>
        <w:rPr/>
        <w:t>puits.</w:t>
      </w:r>
    </w:p>
    <w:p>
      <w:pPr>
        <w:pStyle w:val="Heading5"/>
        <w:numPr>
          <w:ilvl w:val="1"/>
          <w:numId w:val="34"/>
        </w:numPr>
        <w:tabs>
          <w:tab w:pos="3540" w:val="left" w:leader="none"/>
          <w:tab w:pos="3541" w:val="left" w:leader="none"/>
        </w:tabs>
        <w:spacing w:line="240" w:lineRule="auto" w:before="166" w:after="0"/>
        <w:ind w:left="3540" w:right="0" w:hanging="706"/>
        <w:jc w:val="left"/>
        <w:rPr>
          <w:i/>
        </w:rPr>
      </w:pPr>
      <w:r>
        <w:rPr>
          <w:i/>
        </w:rPr>
        <w:t>Western</w:t>
      </w:r>
      <w:r>
        <w:rPr>
          <w:i/>
          <w:spacing w:val="-2"/>
        </w:rPr>
        <w:t> </w:t>
      </w:r>
      <w:r>
        <w:rPr>
          <w:i/>
        </w:rPr>
        <w:t>Blot</w:t>
      </w:r>
    </w:p>
    <w:p>
      <w:pPr>
        <w:pStyle w:val="BodyText"/>
        <w:spacing w:line="276" w:lineRule="auto" w:before="196"/>
        <w:ind w:left="1416" w:right="1412" w:firstLine="707"/>
        <w:jc w:val="both"/>
      </w:pPr>
      <w:r>
        <w:rPr/>
        <w:t>Une électrophorèse sur gel est réalisée, la migration se déroule dans un tampon TRIS (25 mM), Glycine (180 mM), et SDS (0,1%) à 70 V pendant 15 minutes puis 100 V pendant 1 heure. Les bandes de protéines sont ensuite transférées sur une membrane de PVDF (PolyVinylidène Difluoride) pendant une heure à 100 V dans un tampon de transfert TRIS (20 mM),</w:t>
      </w:r>
      <w:r>
        <w:rPr>
          <w:spacing w:val="-4"/>
        </w:rPr>
        <w:t> </w:t>
      </w:r>
      <w:r>
        <w:rPr/>
        <w:t>Glycine</w:t>
      </w:r>
      <w:r>
        <w:rPr>
          <w:spacing w:val="-5"/>
        </w:rPr>
        <w:t> </w:t>
      </w:r>
      <w:r>
        <w:rPr/>
        <w:t>(0,2</w:t>
      </w:r>
      <w:r>
        <w:rPr>
          <w:spacing w:val="-4"/>
        </w:rPr>
        <w:t> </w:t>
      </w:r>
      <w:r>
        <w:rPr/>
        <w:t>mM),</w:t>
      </w:r>
      <w:r>
        <w:rPr>
          <w:spacing w:val="-1"/>
        </w:rPr>
        <w:t> </w:t>
      </w:r>
      <w:r>
        <w:rPr/>
        <w:t>et</w:t>
      </w:r>
      <w:r>
        <w:rPr>
          <w:spacing w:val="-3"/>
        </w:rPr>
        <w:t> </w:t>
      </w:r>
      <w:r>
        <w:rPr/>
        <w:t>méthanol</w:t>
      </w:r>
      <w:r>
        <w:rPr>
          <w:spacing w:val="-3"/>
        </w:rPr>
        <w:t> </w:t>
      </w:r>
      <w:r>
        <w:rPr/>
        <w:t>(20%).</w:t>
      </w:r>
      <w:r>
        <w:rPr>
          <w:spacing w:val="-5"/>
        </w:rPr>
        <w:t> </w:t>
      </w:r>
      <w:r>
        <w:rPr/>
        <w:t>Dans</w:t>
      </w:r>
      <w:r>
        <w:rPr>
          <w:spacing w:val="-1"/>
        </w:rPr>
        <w:t> </w:t>
      </w:r>
      <w:r>
        <w:rPr/>
        <w:t>un</w:t>
      </w:r>
      <w:r>
        <w:rPr>
          <w:spacing w:val="-4"/>
        </w:rPr>
        <w:t> </w:t>
      </w:r>
      <w:r>
        <w:rPr/>
        <w:t>premier</w:t>
      </w:r>
      <w:r>
        <w:rPr>
          <w:spacing w:val="-5"/>
        </w:rPr>
        <w:t> </w:t>
      </w:r>
      <w:r>
        <w:rPr/>
        <w:t>temps,</w:t>
      </w:r>
      <w:r>
        <w:rPr>
          <w:spacing w:val="-4"/>
        </w:rPr>
        <w:t> </w:t>
      </w:r>
      <w:r>
        <w:rPr/>
        <w:t>une</w:t>
      </w:r>
      <w:r>
        <w:rPr>
          <w:spacing w:val="-5"/>
        </w:rPr>
        <w:t> </w:t>
      </w:r>
      <w:r>
        <w:rPr/>
        <w:t>étape</w:t>
      </w:r>
      <w:r>
        <w:rPr>
          <w:spacing w:val="-5"/>
        </w:rPr>
        <w:t> </w:t>
      </w:r>
      <w:r>
        <w:rPr/>
        <w:t>de</w:t>
      </w:r>
      <w:r>
        <w:rPr>
          <w:spacing w:val="-5"/>
        </w:rPr>
        <w:t> </w:t>
      </w:r>
      <w:r>
        <w:rPr/>
        <w:t>blocage</w:t>
      </w:r>
      <w:r>
        <w:rPr>
          <w:spacing w:val="-3"/>
        </w:rPr>
        <w:t> </w:t>
      </w:r>
      <w:r>
        <w:rPr/>
        <w:t>des sites non spécifiques est réalisée à l’aide de Tween (T) (0,1%)-Tris Buffer Saline (TBS)-Lait (5%) = T-TBS-Lait, pendant 1 h sous agitation. Ensuite, la membrane est incubée en présence de l’anticorps primaire, qui se lie à la protéine recherchée. Les gels sont ensuite mis en contact 45</w:t>
      </w:r>
      <w:r>
        <w:rPr>
          <w:spacing w:val="13"/>
        </w:rPr>
        <w:t> </w:t>
      </w:r>
      <w:r>
        <w:rPr/>
        <w:t>min</w:t>
      </w:r>
      <w:r>
        <w:rPr>
          <w:spacing w:val="13"/>
        </w:rPr>
        <w:t> </w:t>
      </w:r>
      <w:r>
        <w:rPr/>
        <w:t>avec</w:t>
      </w:r>
      <w:r>
        <w:rPr>
          <w:spacing w:val="15"/>
        </w:rPr>
        <w:t> </w:t>
      </w:r>
      <w:r>
        <w:rPr/>
        <w:t>l’anticorps</w:t>
      </w:r>
      <w:r>
        <w:rPr>
          <w:spacing w:val="17"/>
        </w:rPr>
        <w:t> </w:t>
      </w:r>
      <w:r>
        <w:rPr/>
        <w:t>secondaire</w:t>
      </w:r>
      <w:r>
        <w:rPr>
          <w:spacing w:val="12"/>
        </w:rPr>
        <w:t> </w:t>
      </w:r>
      <w:r>
        <w:rPr/>
        <w:t>(d’une</w:t>
      </w:r>
      <w:r>
        <w:rPr>
          <w:spacing w:val="15"/>
        </w:rPr>
        <w:t> </w:t>
      </w:r>
      <w:r>
        <w:rPr/>
        <w:t>espèce</w:t>
      </w:r>
      <w:r>
        <w:rPr>
          <w:spacing w:val="15"/>
        </w:rPr>
        <w:t> </w:t>
      </w:r>
      <w:r>
        <w:rPr/>
        <w:t>différente</w:t>
      </w:r>
      <w:r>
        <w:rPr>
          <w:spacing w:val="13"/>
        </w:rPr>
        <w:t> </w:t>
      </w:r>
      <w:r>
        <w:rPr/>
        <w:t>de</w:t>
      </w:r>
      <w:r>
        <w:rPr>
          <w:spacing w:val="12"/>
        </w:rPr>
        <w:t> </w:t>
      </w:r>
      <w:r>
        <w:rPr/>
        <w:t>celle</w:t>
      </w:r>
      <w:r>
        <w:rPr>
          <w:spacing w:val="12"/>
        </w:rPr>
        <w:t> </w:t>
      </w:r>
      <w:r>
        <w:rPr/>
        <w:t>utilisée</w:t>
      </w:r>
      <w:r>
        <w:rPr>
          <w:spacing w:val="12"/>
        </w:rPr>
        <w:t> </w:t>
      </w:r>
      <w:r>
        <w:rPr/>
        <w:t>pour</w:t>
      </w:r>
      <w:r>
        <w:rPr>
          <w:spacing w:val="15"/>
        </w:rPr>
        <w:t> </w:t>
      </w:r>
      <w:r>
        <w:rPr/>
        <w:t>l’anticorps</w:t>
      </w:r>
    </w:p>
    <w:p>
      <w:pPr>
        <w:spacing w:after="0" w:line="276" w:lineRule="auto"/>
        <w:jc w:val="both"/>
        <w:sectPr>
          <w:pgSz w:w="11910" w:h="16840"/>
          <w:pgMar w:header="0" w:footer="995" w:top="1400" w:bottom="1240" w:left="0" w:right="0"/>
        </w:sectPr>
      </w:pPr>
    </w:p>
    <w:p>
      <w:pPr>
        <w:pStyle w:val="BodyText"/>
        <w:spacing w:line="276" w:lineRule="auto" w:before="72"/>
        <w:ind w:left="116" w:right="112"/>
        <w:jc w:val="both"/>
      </w:pPr>
      <w:r>
        <w:rPr/>
        <w:t>primaire),</w:t>
      </w:r>
      <w:r>
        <w:rPr>
          <w:spacing w:val="-9"/>
        </w:rPr>
        <w:t> </w:t>
      </w:r>
      <w:r>
        <w:rPr/>
        <w:t>qui</w:t>
      </w:r>
      <w:r>
        <w:rPr>
          <w:spacing w:val="-6"/>
        </w:rPr>
        <w:t> </w:t>
      </w:r>
      <w:r>
        <w:rPr/>
        <w:t>est</w:t>
      </w:r>
      <w:r>
        <w:rPr>
          <w:spacing w:val="-8"/>
        </w:rPr>
        <w:t> </w:t>
      </w:r>
      <w:r>
        <w:rPr/>
        <w:t>couplé</w:t>
      </w:r>
      <w:r>
        <w:rPr>
          <w:spacing w:val="-7"/>
        </w:rPr>
        <w:t> </w:t>
      </w:r>
      <w:r>
        <w:rPr/>
        <w:t>à</w:t>
      </w:r>
      <w:r>
        <w:rPr>
          <w:spacing w:val="-10"/>
        </w:rPr>
        <w:t> </w:t>
      </w:r>
      <w:r>
        <w:rPr/>
        <w:t>la</w:t>
      </w:r>
      <w:r>
        <w:rPr>
          <w:spacing w:val="-9"/>
        </w:rPr>
        <w:t> </w:t>
      </w:r>
      <w:r>
        <w:rPr/>
        <w:t>peroxydase.</w:t>
      </w:r>
      <w:r>
        <w:rPr>
          <w:spacing w:val="-4"/>
        </w:rPr>
        <w:t> </w:t>
      </w:r>
      <w:r>
        <w:rPr/>
        <w:t>Ici,</w:t>
      </w:r>
      <w:r>
        <w:rPr>
          <w:spacing w:val="-8"/>
        </w:rPr>
        <w:t> </w:t>
      </w:r>
      <w:r>
        <w:rPr/>
        <w:t>0,5</w:t>
      </w:r>
      <w:r>
        <w:rPr>
          <w:spacing w:val="-9"/>
        </w:rPr>
        <w:t> </w:t>
      </w:r>
      <w:r>
        <w:rPr/>
        <w:t>µL</w:t>
      </w:r>
      <w:r>
        <w:rPr>
          <w:spacing w:val="-11"/>
        </w:rPr>
        <w:t> </w:t>
      </w:r>
      <w:r>
        <w:rPr/>
        <w:t>d’anticorps</w:t>
      </w:r>
      <w:r>
        <w:rPr>
          <w:spacing w:val="-8"/>
        </w:rPr>
        <w:t> </w:t>
      </w:r>
      <w:r>
        <w:rPr/>
        <w:t>secondaire</w:t>
      </w:r>
      <w:r>
        <w:rPr>
          <w:spacing w:val="-7"/>
        </w:rPr>
        <w:t> </w:t>
      </w:r>
      <w:r>
        <w:rPr/>
        <w:t>dilué</w:t>
      </w:r>
      <w:r>
        <w:rPr>
          <w:spacing w:val="-10"/>
        </w:rPr>
        <w:t> </w:t>
      </w:r>
      <w:r>
        <w:rPr/>
        <w:t>dans</w:t>
      </w:r>
      <w:r>
        <w:rPr>
          <w:spacing w:val="-8"/>
        </w:rPr>
        <w:t> </w:t>
      </w:r>
      <w:r>
        <w:rPr/>
        <w:t>12,5</w:t>
      </w:r>
      <w:r>
        <w:rPr>
          <w:spacing w:val="-9"/>
        </w:rPr>
        <w:t> </w:t>
      </w:r>
      <w:r>
        <w:rPr/>
        <w:t>mL de lait écrémé sont utilisés. Les gels sont ensuite rincés 3 fois 5 min avec une solution de T- TBS, puis 5 minutes avec une solution de PBS</w:t>
      </w:r>
      <w:r>
        <w:rPr>
          <w:spacing w:val="-9"/>
        </w:rPr>
        <w:t> </w:t>
      </w:r>
      <w:r>
        <w:rPr/>
        <w:t>1x.</w:t>
      </w:r>
    </w:p>
    <w:p>
      <w:pPr>
        <w:pStyle w:val="Heading5"/>
        <w:numPr>
          <w:ilvl w:val="1"/>
          <w:numId w:val="34"/>
        </w:numPr>
        <w:tabs>
          <w:tab w:pos="2240" w:val="left" w:leader="none"/>
          <w:tab w:pos="2241" w:val="left" w:leader="none"/>
        </w:tabs>
        <w:spacing w:line="240" w:lineRule="auto" w:before="166" w:after="0"/>
        <w:ind w:left="2240" w:right="0" w:hanging="706"/>
        <w:jc w:val="left"/>
        <w:rPr>
          <w:i/>
        </w:rPr>
      </w:pPr>
      <w:r>
        <w:rPr>
          <w:i/>
        </w:rPr>
        <w:t>Révélation</w:t>
      </w:r>
    </w:p>
    <w:p>
      <w:pPr>
        <w:pStyle w:val="BodyText"/>
        <w:spacing w:line="273" w:lineRule="auto" w:before="198"/>
        <w:ind w:left="116" w:right="114" w:firstLine="360"/>
        <w:jc w:val="both"/>
      </w:pPr>
      <w:r>
        <w:rPr>
          <w:position w:val="2"/>
        </w:rPr>
        <w:t>La révélation se fait par chimioluminescence après ajout d’ECL (H</w:t>
      </w:r>
      <w:r>
        <w:rPr>
          <w:sz w:val="16"/>
        </w:rPr>
        <w:t>2</w:t>
      </w:r>
      <w:r>
        <w:rPr>
          <w:position w:val="2"/>
        </w:rPr>
        <w:t>O</w:t>
      </w:r>
      <w:r>
        <w:rPr>
          <w:sz w:val="16"/>
        </w:rPr>
        <w:t>2</w:t>
      </w:r>
      <w:r>
        <w:rPr>
          <w:position w:val="2"/>
        </w:rPr>
        <w:t>, luminol et substrat </w:t>
      </w:r>
      <w:r>
        <w:rPr/>
        <w:t>de</w:t>
      </w:r>
      <w:r>
        <w:rPr>
          <w:spacing w:val="-15"/>
        </w:rPr>
        <w:t> </w:t>
      </w:r>
      <w:r>
        <w:rPr/>
        <w:t>la</w:t>
      </w:r>
      <w:r>
        <w:rPr>
          <w:spacing w:val="-15"/>
        </w:rPr>
        <w:t> </w:t>
      </w:r>
      <w:r>
        <w:rPr/>
        <w:t>peroxydase)</w:t>
      </w:r>
      <w:r>
        <w:rPr>
          <w:spacing w:val="-15"/>
        </w:rPr>
        <w:t> </w:t>
      </w:r>
      <w:r>
        <w:rPr/>
        <w:t>sur</w:t>
      </w:r>
      <w:r>
        <w:rPr>
          <w:spacing w:val="-15"/>
        </w:rPr>
        <w:t> </w:t>
      </w:r>
      <w:r>
        <w:rPr/>
        <w:t>les</w:t>
      </w:r>
      <w:r>
        <w:rPr>
          <w:spacing w:val="-15"/>
        </w:rPr>
        <w:t> </w:t>
      </w:r>
      <w:r>
        <w:rPr/>
        <w:t>membranes.</w:t>
      </w:r>
      <w:r>
        <w:rPr>
          <w:spacing w:val="-14"/>
        </w:rPr>
        <w:t> </w:t>
      </w:r>
      <w:r>
        <w:rPr/>
        <w:t>Cette</w:t>
      </w:r>
      <w:r>
        <w:rPr>
          <w:spacing w:val="-15"/>
        </w:rPr>
        <w:t> </w:t>
      </w:r>
      <w:r>
        <w:rPr/>
        <w:t>manipulation</w:t>
      </w:r>
      <w:r>
        <w:rPr>
          <w:spacing w:val="-14"/>
        </w:rPr>
        <w:t> </w:t>
      </w:r>
      <w:r>
        <w:rPr/>
        <w:t>est</w:t>
      </w:r>
      <w:r>
        <w:rPr>
          <w:spacing w:val="-14"/>
        </w:rPr>
        <w:t> </w:t>
      </w:r>
      <w:r>
        <w:rPr/>
        <w:t>réalisée</w:t>
      </w:r>
      <w:r>
        <w:rPr>
          <w:spacing w:val="-15"/>
        </w:rPr>
        <w:t> </w:t>
      </w:r>
      <w:r>
        <w:rPr/>
        <w:t>sur</w:t>
      </w:r>
      <w:r>
        <w:rPr>
          <w:spacing w:val="-15"/>
        </w:rPr>
        <w:t> </w:t>
      </w:r>
      <w:r>
        <w:rPr/>
        <w:t>une</w:t>
      </w:r>
      <w:r>
        <w:rPr>
          <w:spacing w:val="-15"/>
        </w:rPr>
        <w:t> </w:t>
      </w:r>
      <w:r>
        <w:rPr/>
        <w:t>feuille</w:t>
      </w:r>
      <w:r>
        <w:rPr>
          <w:spacing w:val="-15"/>
        </w:rPr>
        <w:t> </w:t>
      </w:r>
      <w:r>
        <w:rPr/>
        <w:t>de</w:t>
      </w:r>
      <w:r>
        <w:rPr>
          <w:spacing w:val="-15"/>
        </w:rPr>
        <w:t> </w:t>
      </w:r>
      <w:r>
        <w:rPr/>
        <w:t>paraffine hydrophobe. Le scanner Odyssey (Li-COR) est utilisé pour la</w:t>
      </w:r>
      <w:r>
        <w:rPr>
          <w:spacing w:val="-11"/>
        </w:rPr>
        <w:t> </w:t>
      </w:r>
      <w:r>
        <w:rPr/>
        <w:t>révélation.</w:t>
      </w:r>
    </w:p>
    <w:p>
      <w:pPr>
        <w:pStyle w:val="Heading5"/>
        <w:numPr>
          <w:ilvl w:val="1"/>
          <w:numId w:val="34"/>
        </w:numPr>
        <w:tabs>
          <w:tab w:pos="2240" w:val="left" w:leader="none"/>
          <w:tab w:pos="2241" w:val="left" w:leader="none"/>
        </w:tabs>
        <w:spacing w:line="240" w:lineRule="auto" w:before="169" w:after="0"/>
        <w:ind w:left="2240" w:right="0" w:hanging="706"/>
        <w:jc w:val="left"/>
        <w:rPr>
          <w:i/>
        </w:rPr>
      </w:pPr>
      <w:r>
        <w:rPr>
          <w:i/>
        </w:rPr>
        <w:t>Résultats</w:t>
      </w:r>
    </w:p>
    <w:p>
      <w:pPr>
        <w:pStyle w:val="BodyText"/>
        <w:spacing w:before="197"/>
        <w:ind w:left="116"/>
        <w:jc w:val="both"/>
      </w:pPr>
      <w:r>
        <w:rPr/>
        <w:t>Nous cherchons à détecter la protéine PARP et la protéine Mcl-1.</w:t>
      </w:r>
    </w:p>
    <w:p>
      <w:pPr>
        <w:pStyle w:val="ListParagraph"/>
        <w:numPr>
          <w:ilvl w:val="0"/>
          <w:numId w:val="35"/>
        </w:numPr>
        <w:tabs>
          <w:tab w:pos="683" w:val="left" w:leader="none"/>
        </w:tabs>
        <w:spacing w:line="268" w:lineRule="auto" w:before="205" w:after="0"/>
        <w:ind w:left="682" w:right="115" w:hanging="360"/>
        <w:jc w:val="both"/>
        <w:rPr>
          <w:sz w:val="24"/>
        </w:rPr>
      </w:pPr>
      <w:r>
        <w:rPr>
          <w:sz w:val="24"/>
          <w:u w:val="single"/>
        </w:rPr>
        <w:t>PARP</w:t>
      </w:r>
      <w:r>
        <w:rPr>
          <w:sz w:val="24"/>
        </w:rPr>
        <w:t> : cette protéine est clivée lorsque la caspase 3 est activée lors du processus apoptotique.</w:t>
      </w:r>
      <w:r>
        <w:rPr>
          <w:spacing w:val="-7"/>
          <w:sz w:val="24"/>
        </w:rPr>
        <w:t> </w:t>
      </w:r>
      <w:r>
        <w:rPr>
          <w:sz w:val="24"/>
        </w:rPr>
        <w:t>La</w:t>
      </w:r>
      <w:r>
        <w:rPr>
          <w:spacing w:val="-10"/>
          <w:sz w:val="24"/>
        </w:rPr>
        <w:t> </w:t>
      </w:r>
      <w:r>
        <w:rPr>
          <w:sz w:val="24"/>
        </w:rPr>
        <w:t>diminution</w:t>
      </w:r>
      <w:r>
        <w:rPr>
          <w:spacing w:val="-8"/>
          <w:sz w:val="24"/>
        </w:rPr>
        <w:t> </w:t>
      </w:r>
      <w:r>
        <w:rPr>
          <w:sz w:val="24"/>
        </w:rPr>
        <w:t>de</w:t>
      </w:r>
      <w:r>
        <w:rPr>
          <w:spacing w:val="-10"/>
          <w:sz w:val="24"/>
        </w:rPr>
        <w:t> </w:t>
      </w:r>
      <w:r>
        <w:rPr>
          <w:sz w:val="24"/>
        </w:rPr>
        <w:t>la</w:t>
      </w:r>
      <w:r>
        <w:rPr>
          <w:spacing w:val="-9"/>
          <w:sz w:val="24"/>
        </w:rPr>
        <w:t> </w:t>
      </w:r>
      <w:r>
        <w:rPr>
          <w:sz w:val="24"/>
        </w:rPr>
        <w:t>quantité</w:t>
      </w:r>
      <w:r>
        <w:rPr>
          <w:spacing w:val="-9"/>
          <w:sz w:val="24"/>
        </w:rPr>
        <w:t> </w:t>
      </w:r>
      <w:r>
        <w:rPr>
          <w:sz w:val="24"/>
        </w:rPr>
        <w:t>de</w:t>
      </w:r>
      <w:r>
        <w:rPr>
          <w:spacing w:val="-10"/>
          <w:sz w:val="24"/>
        </w:rPr>
        <w:t> </w:t>
      </w:r>
      <w:r>
        <w:rPr>
          <w:sz w:val="24"/>
        </w:rPr>
        <w:t>PARP</w:t>
      </w:r>
      <w:r>
        <w:rPr>
          <w:spacing w:val="-7"/>
          <w:sz w:val="24"/>
        </w:rPr>
        <w:t> </w:t>
      </w:r>
      <w:r>
        <w:rPr>
          <w:sz w:val="24"/>
        </w:rPr>
        <w:t>totale</w:t>
      </w:r>
      <w:r>
        <w:rPr>
          <w:spacing w:val="-9"/>
          <w:sz w:val="24"/>
        </w:rPr>
        <w:t> </w:t>
      </w:r>
      <w:r>
        <w:rPr>
          <w:sz w:val="24"/>
        </w:rPr>
        <w:t>signifie</w:t>
      </w:r>
      <w:r>
        <w:rPr>
          <w:spacing w:val="-9"/>
          <w:sz w:val="24"/>
        </w:rPr>
        <w:t> </w:t>
      </w:r>
      <w:r>
        <w:rPr>
          <w:sz w:val="24"/>
        </w:rPr>
        <w:t>donc</w:t>
      </w:r>
      <w:r>
        <w:rPr>
          <w:spacing w:val="-10"/>
          <w:sz w:val="24"/>
        </w:rPr>
        <w:t> </w:t>
      </w:r>
      <w:r>
        <w:rPr>
          <w:sz w:val="24"/>
        </w:rPr>
        <w:t>le</w:t>
      </w:r>
      <w:r>
        <w:rPr>
          <w:spacing w:val="-10"/>
          <w:sz w:val="24"/>
        </w:rPr>
        <w:t> </w:t>
      </w:r>
      <w:r>
        <w:rPr>
          <w:sz w:val="24"/>
        </w:rPr>
        <w:t>clivage</w:t>
      </w:r>
      <w:r>
        <w:rPr>
          <w:spacing w:val="-10"/>
          <w:sz w:val="24"/>
        </w:rPr>
        <w:t> </w:t>
      </w:r>
      <w:r>
        <w:rPr>
          <w:sz w:val="24"/>
        </w:rPr>
        <w:t>de</w:t>
      </w:r>
      <w:r>
        <w:rPr>
          <w:spacing w:val="-10"/>
          <w:sz w:val="24"/>
        </w:rPr>
        <w:t> </w:t>
      </w:r>
      <w:r>
        <w:rPr>
          <w:sz w:val="24"/>
        </w:rPr>
        <w:t>cette protéine, c’est-à-dire un phénomène</w:t>
      </w:r>
      <w:r>
        <w:rPr>
          <w:spacing w:val="-10"/>
          <w:sz w:val="24"/>
        </w:rPr>
        <w:t> </w:t>
      </w:r>
      <w:r>
        <w:rPr>
          <w:sz w:val="24"/>
        </w:rPr>
        <w:t>d’apoptose.</w:t>
      </w:r>
    </w:p>
    <w:p>
      <w:pPr>
        <w:pStyle w:val="ListParagraph"/>
        <w:numPr>
          <w:ilvl w:val="0"/>
          <w:numId w:val="35"/>
        </w:numPr>
        <w:tabs>
          <w:tab w:pos="683" w:val="left" w:leader="none"/>
        </w:tabs>
        <w:spacing w:line="268" w:lineRule="auto" w:before="9" w:after="0"/>
        <w:ind w:left="682" w:right="118" w:hanging="360"/>
        <w:jc w:val="both"/>
        <w:rPr>
          <w:sz w:val="24"/>
        </w:rPr>
      </w:pPr>
      <w:r>
        <w:rPr>
          <w:sz w:val="24"/>
          <w:u w:val="single"/>
        </w:rPr>
        <w:t>Mcl-1</w:t>
      </w:r>
      <w:r>
        <w:rPr>
          <w:sz w:val="24"/>
        </w:rPr>
        <w:t> : c’est une protéine anti-apoptotique qui inhibe la libération du cytochrome c (en interagissant</w:t>
      </w:r>
      <w:r>
        <w:rPr>
          <w:spacing w:val="-6"/>
          <w:sz w:val="24"/>
        </w:rPr>
        <w:t> </w:t>
      </w:r>
      <w:r>
        <w:rPr>
          <w:sz w:val="24"/>
        </w:rPr>
        <w:t>avec</w:t>
      </w:r>
      <w:r>
        <w:rPr>
          <w:spacing w:val="-5"/>
          <w:sz w:val="24"/>
        </w:rPr>
        <w:t> </w:t>
      </w:r>
      <w:r>
        <w:rPr>
          <w:sz w:val="24"/>
        </w:rPr>
        <w:t>Bak</w:t>
      </w:r>
      <w:r>
        <w:rPr>
          <w:spacing w:val="-4"/>
          <w:sz w:val="24"/>
        </w:rPr>
        <w:t> </w:t>
      </w:r>
      <w:r>
        <w:rPr>
          <w:sz w:val="24"/>
        </w:rPr>
        <w:t>et</w:t>
      </w:r>
      <w:r>
        <w:rPr>
          <w:spacing w:val="-3"/>
          <w:sz w:val="24"/>
        </w:rPr>
        <w:t> </w:t>
      </w:r>
      <w:r>
        <w:rPr>
          <w:sz w:val="24"/>
        </w:rPr>
        <w:t>Bax)</w:t>
      </w:r>
      <w:r>
        <w:rPr>
          <w:spacing w:val="-7"/>
          <w:sz w:val="24"/>
        </w:rPr>
        <w:t> </w:t>
      </w:r>
      <w:r>
        <w:rPr>
          <w:sz w:val="24"/>
        </w:rPr>
        <w:t>de</w:t>
      </w:r>
      <w:r>
        <w:rPr>
          <w:spacing w:val="-7"/>
          <w:sz w:val="24"/>
        </w:rPr>
        <w:t> </w:t>
      </w:r>
      <w:r>
        <w:rPr>
          <w:sz w:val="24"/>
        </w:rPr>
        <w:t>la</w:t>
      </w:r>
      <w:r>
        <w:rPr>
          <w:spacing w:val="-7"/>
          <w:sz w:val="24"/>
        </w:rPr>
        <w:t> </w:t>
      </w:r>
      <w:r>
        <w:rPr>
          <w:sz w:val="24"/>
        </w:rPr>
        <w:t>mitochondrie.</w:t>
      </w:r>
      <w:r>
        <w:rPr>
          <w:spacing w:val="-4"/>
          <w:sz w:val="24"/>
        </w:rPr>
        <w:t> </w:t>
      </w:r>
      <w:r>
        <w:rPr>
          <w:sz w:val="24"/>
        </w:rPr>
        <w:t>Une</w:t>
      </w:r>
      <w:r>
        <w:rPr>
          <w:spacing w:val="-8"/>
          <w:sz w:val="24"/>
        </w:rPr>
        <w:t> </w:t>
      </w:r>
      <w:r>
        <w:rPr>
          <w:sz w:val="24"/>
        </w:rPr>
        <w:t>diminution</w:t>
      </w:r>
      <w:r>
        <w:rPr>
          <w:spacing w:val="-6"/>
          <w:sz w:val="24"/>
        </w:rPr>
        <w:t> </w:t>
      </w:r>
      <w:r>
        <w:rPr>
          <w:sz w:val="24"/>
        </w:rPr>
        <w:t>de</w:t>
      </w:r>
      <w:r>
        <w:rPr>
          <w:spacing w:val="-7"/>
          <w:sz w:val="24"/>
        </w:rPr>
        <w:t> </w:t>
      </w:r>
      <w:r>
        <w:rPr>
          <w:sz w:val="24"/>
        </w:rPr>
        <w:t>la</w:t>
      </w:r>
      <w:r>
        <w:rPr>
          <w:spacing w:val="-7"/>
          <w:sz w:val="24"/>
        </w:rPr>
        <w:t> </w:t>
      </w:r>
      <w:r>
        <w:rPr>
          <w:sz w:val="24"/>
        </w:rPr>
        <w:t>quantité</w:t>
      </w:r>
      <w:r>
        <w:rPr>
          <w:spacing w:val="-7"/>
          <w:sz w:val="24"/>
        </w:rPr>
        <w:t> </w:t>
      </w:r>
      <w:r>
        <w:rPr>
          <w:sz w:val="24"/>
        </w:rPr>
        <w:t>de</w:t>
      </w:r>
      <w:r>
        <w:rPr>
          <w:spacing w:val="-7"/>
          <w:sz w:val="24"/>
        </w:rPr>
        <w:t> </w:t>
      </w:r>
      <w:r>
        <w:rPr>
          <w:sz w:val="24"/>
        </w:rPr>
        <w:t>cette protéine est donc le signe d’un phénomène</w:t>
      </w:r>
      <w:r>
        <w:rPr>
          <w:spacing w:val="-10"/>
          <w:sz w:val="24"/>
        </w:rPr>
        <w:t> </w:t>
      </w:r>
      <w:r>
        <w:rPr>
          <w:sz w:val="24"/>
        </w:rPr>
        <w:t>d’apoptose.</w:t>
      </w:r>
    </w:p>
    <w:p>
      <w:pPr>
        <w:pStyle w:val="BodyText"/>
        <w:spacing w:line="273" w:lineRule="auto" w:before="172"/>
        <w:ind w:left="116" w:right="112"/>
        <w:jc w:val="both"/>
      </w:pPr>
      <w:r>
        <w:rPr/>
        <w:t>Le</w:t>
      </w:r>
      <w:r>
        <w:rPr>
          <w:spacing w:val="-7"/>
        </w:rPr>
        <w:t> </w:t>
      </w:r>
      <w:r>
        <w:rPr/>
        <w:t>Western</w:t>
      </w:r>
      <w:r>
        <w:rPr>
          <w:spacing w:val="-4"/>
        </w:rPr>
        <w:t> </w:t>
      </w:r>
      <w:r>
        <w:rPr/>
        <w:t>Blot</w:t>
      </w:r>
      <w:r>
        <w:rPr>
          <w:spacing w:val="-6"/>
        </w:rPr>
        <w:t> </w:t>
      </w:r>
      <w:r>
        <w:rPr/>
        <w:t>est</w:t>
      </w:r>
      <w:r>
        <w:rPr>
          <w:spacing w:val="-6"/>
        </w:rPr>
        <w:t> </w:t>
      </w:r>
      <w:r>
        <w:rPr/>
        <w:t>effectué</w:t>
      </w:r>
      <w:r>
        <w:rPr>
          <w:spacing w:val="-7"/>
        </w:rPr>
        <w:t> </w:t>
      </w:r>
      <w:r>
        <w:rPr/>
        <w:t>à</w:t>
      </w:r>
      <w:r>
        <w:rPr>
          <w:spacing w:val="-7"/>
        </w:rPr>
        <w:t> </w:t>
      </w:r>
      <w:r>
        <w:rPr/>
        <w:t>partir</w:t>
      </w:r>
      <w:r>
        <w:rPr>
          <w:spacing w:val="-7"/>
        </w:rPr>
        <w:t> </w:t>
      </w:r>
      <w:r>
        <w:rPr/>
        <w:t>du</w:t>
      </w:r>
      <w:r>
        <w:rPr>
          <w:spacing w:val="-6"/>
        </w:rPr>
        <w:t> </w:t>
      </w:r>
      <w:r>
        <w:rPr/>
        <w:t>lysat</w:t>
      </w:r>
      <w:r>
        <w:rPr>
          <w:spacing w:val="-6"/>
        </w:rPr>
        <w:t> </w:t>
      </w:r>
      <w:r>
        <w:rPr/>
        <w:t>cellulaire</w:t>
      </w:r>
      <w:r>
        <w:rPr>
          <w:spacing w:val="-7"/>
        </w:rPr>
        <w:t> </w:t>
      </w:r>
      <w:r>
        <w:rPr/>
        <w:t>des</w:t>
      </w:r>
      <w:r>
        <w:rPr>
          <w:spacing w:val="-6"/>
        </w:rPr>
        <w:t> </w:t>
      </w:r>
      <w:r>
        <w:rPr/>
        <w:t>cellules</w:t>
      </w:r>
      <w:r>
        <w:rPr>
          <w:spacing w:val="-6"/>
        </w:rPr>
        <w:t> </w:t>
      </w:r>
      <w:r>
        <w:rPr/>
        <w:t>à</w:t>
      </w:r>
      <w:r>
        <w:rPr>
          <w:spacing w:val="-7"/>
        </w:rPr>
        <w:t> </w:t>
      </w:r>
      <w:r>
        <w:rPr/>
        <w:t>48</w:t>
      </w:r>
      <w:r>
        <w:rPr>
          <w:spacing w:val="-6"/>
        </w:rPr>
        <w:t> </w:t>
      </w:r>
      <w:r>
        <w:rPr/>
        <w:t>h</w:t>
      </w:r>
      <w:r>
        <w:rPr>
          <w:spacing w:val="-6"/>
        </w:rPr>
        <w:t> </w:t>
      </w:r>
      <w:r>
        <w:rPr/>
        <w:t>et</w:t>
      </w:r>
      <w:r>
        <w:rPr>
          <w:spacing w:val="-6"/>
        </w:rPr>
        <w:t> </w:t>
      </w:r>
      <w:r>
        <w:rPr/>
        <w:t>72</w:t>
      </w:r>
      <w:r>
        <w:rPr>
          <w:spacing w:val="-6"/>
        </w:rPr>
        <w:t> </w:t>
      </w:r>
      <w:r>
        <w:rPr/>
        <w:t>h</w:t>
      </w:r>
      <w:r>
        <w:rPr>
          <w:spacing w:val="-6"/>
        </w:rPr>
        <w:t> </w:t>
      </w:r>
      <w:r>
        <w:rPr/>
        <w:t>car</w:t>
      </w:r>
      <w:r>
        <w:rPr>
          <w:spacing w:val="-7"/>
        </w:rPr>
        <w:t> </w:t>
      </w:r>
      <w:r>
        <w:rPr/>
        <w:t>24</w:t>
      </w:r>
      <w:r>
        <w:rPr>
          <w:spacing w:val="-6"/>
        </w:rPr>
        <w:t> </w:t>
      </w:r>
      <w:r>
        <w:rPr/>
        <w:t>h</w:t>
      </w:r>
      <w:r>
        <w:rPr>
          <w:spacing w:val="-6"/>
        </w:rPr>
        <w:t> </w:t>
      </w:r>
      <w:r>
        <w:rPr/>
        <w:t>après le traitement, la différence en termes de prolifération cellulaire est infime par rapport aux cellules témoins. Les résultats suivants sont obtenus</w:t>
      </w:r>
      <w:r>
        <w:rPr>
          <w:spacing w:val="-10"/>
        </w:rPr>
        <w:t> </w:t>
      </w:r>
      <w:r>
        <w:rPr/>
        <w:t>:</w:t>
      </w:r>
    </w:p>
    <w:p>
      <w:pPr>
        <w:pStyle w:val="BodyText"/>
        <w:spacing w:before="6"/>
        <w:rPr>
          <w:sz w:val="11"/>
        </w:rPr>
      </w:pPr>
      <w:r>
        <w:rPr/>
        <w:drawing>
          <wp:anchor distT="0" distB="0" distL="0" distR="0" allowOverlap="1" layoutInCell="1" locked="0" behindDoc="0" simplePos="0" relativeHeight="1984">
            <wp:simplePos x="0" y="0"/>
            <wp:positionH relativeFrom="page">
              <wp:posOffset>2280285</wp:posOffset>
            </wp:positionH>
            <wp:positionV relativeFrom="paragraph">
              <wp:posOffset>109009</wp:posOffset>
            </wp:positionV>
            <wp:extent cx="2980065" cy="1907095"/>
            <wp:effectExtent l="0" t="0" r="0" b="0"/>
            <wp:wrapTopAndBottom/>
            <wp:docPr id="71" name="image39.jpeg" descr=""/>
            <wp:cNvGraphicFramePr>
              <a:graphicFrameLocks noChangeAspect="1"/>
            </wp:cNvGraphicFramePr>
            <a:graphic>
              <a:graphicData uri="http://schemas.openxmlformats.org/drawingml/2006/picture">
                <pic:pic>
                  <pic:nvPicPr>
                    <pic:cNvPr id="72" name="image39.jpeg"/>
                    <pic:cNvPicPr/>
                  </pic:nvPicPr>
                  <pic:blipFill>
                    <a:blip r:embed="rId81" cstate="print"/>
                    <a:stretch>
                      <a:fillRect/>
                    </a:stretch>
                  </pic:blipFill>
                  <pic:spPr>
                    <a:xfrm>
                      <a:off x="0" y="0"/>
                      <a:ext cx="2980065" cy="1907095"/>
                    </a:xfrm>
                    <a:prstGeom prst="rect">
                      <a:avLst/>
                    </a:prstGeom>
                  </pic:spPr>
                </pic:pic>
              </a:graphicData>
            </a:graphic>
          </wp:anchor>
        </w:drawing>
      </w:r>
    </w:p>
    <w:p>
      <w:pPr>
        <w:spacing w:line="242" w:lineRule="auto" w:before="172"/>
        <w:ind w:left="2992" w:right="477" w:hanging="2504"/>
        <w:jc w:val="left"/>
        <w:rPr>
          <w:i/>
          <w:sz w:val="24"/>
        </w:rPr>
      </w:pPr>
      <w:r>
        <w:rPr>
          <w:i/>
          <w:sz w:val="24"/>
        </w:rPr>
        <w:t>Western Blot pour la lignée </w:t>
      </w:r>
      <w:r>
        <w:rPr>
          <w:b/>
          <w:i/>
          <w:sz w:val="24"/>
        </w:rPr>
        <w:t>T47D</w:t>
      </w:r>
      <w:r>
        <w:rPr>
          <w:i/>
          <w:sz w:val="24"/>
        </w:rPr>
        <w:t>. Détection de la PARP et de Mcl-1 en fonction de la </w:t>
      </w:r>
      <w:r>
        <w:rPr>
          <w:i/>
          <w:sz w:val="24"/>
        </w:rPr>
        <w:t>concentration de ALA et du temps.</w:t>
      </w:r>
    </w:p>
    <w:p>
      <w:pPr>
        <w:pStyle w:val="BodyText"/>
        <w:spacing w:line="276" w:lineRule="auto" w:before="198"/>
        <w:ind w:left="116" w:right="112" w:firstLine="707"/>
        <w:jc w:val="both"/>
      </w:pPr>
      <w:r>
        <w:rPr/>
        <w:t>La tubuline permet de s’assurer que la même quantité de protéines a été déposée initialement. Pour une concentration de 5 mM de ALA, les protéines PARP et Mcl-1 sont quasiment absentes. Ainsi, la diminution du nombre de cellules observée au comptage peut s’expliquer par l’apoptose des cellules traitées avec une concentration de 5 mM d’ALA.</w:t>
      </w:r>
    </w:p>
    <w:p>
      <w:pPr>
        <w:pStyle w:val="BodyText"/>
        <w:spacing w:line="276" w:lineRule="auto" w:before="164"/>
        <w:ind w:left="116" w:right="116" w:firstLine="707"/>
        <w:jc w:val="both"/>
      </w:pPr>
      <w:r>
        <w:rPr/>
        <w:t>A 72 h, pour une concentration de 5 mM d’ALA, la quantité de tubuline est quasiment inexistante, les cellules sont en très faible nombre. Nous observons également une diminution dose dépendante de la quantité de protéines. Ainsi, plus la dose d’ALA utilisée est importante, plus le phénomène d’apoptose est important, conduisant même à une quasi absence de cellules à la concentration de 5 mM.</w:t>
      </w:r>
    </w:p>
    <w:p>
      <w:pPr>
        <w:spacing w:after="0" w:line="276" w:lineRule="auto"/>
        <w:jc w:val="both"/>
        <w:sectPr>
          <w:pgSz w:w="11910" w:h="16840"/>
          <w:pgMar w:header="0" w:footer="1055" w:top="1320" w:bottom="1240" w:left="1300" w:right="1300"/>
        </w:sectPr>
      </w:pPr>
    </w:p>
    <w:p>
      <w:pPr>
        <w:pStyle w:val="Heading3"/>
        <w:spacing w:before="73"/>
        <w:ind w:left="753" w:firstLine="0"/>
      </w:pPr>
      <w:bookmarkStart w:name="_bookmark234" w:id="408"/>
      <w:bookmarkEnd w:id="408"/>
      <w:r>
        <w:rPr>
          <w:b w:val="0"/>
        </w:rPr>
      </w:r>
      <w:r>
        <w:rPr>
          <w:u w:val="thick"/>
        </w:rPr>
        <w:t>Annexe 3 : Détails des différentes phases de réalisation d’un essai clinique</w:t>
      </w:r>
    </w:p>
    <w:p>
      <w:pPr>
        <w:pStyle w:val="BodyText"/>
        <w:rPr>
          <w:b/>
          <w:sz w:val="20"/>
        </w:rPr>
      </w:pPr>
    </w:p>
    <w:p>
      <w:pPr>
        <w:pStyle w:val="BodyText"/>
        <w:spacing w:before="1" w:after="1"/>
        <w:rPr>
          <w:b/>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4112"/>
        <w:gridCol w:w="4253"/>
      </w:tblGrid>
      <w:tr>
        <w:trPr>
          <w:trHeight w:val="260" w:hRule="atLeast"/>
        </w:trPr>
        <w:tc>
          <w:tcPr>
            <w:tcW w:w="1697" w:type="dxa"/>
          </w:tcPr>
          <w:p>
            <w:pPr>
              <w:pStyle w:val="TableParagraph"/>
              <w:rPr>
                <w:sz w:val="20"/>
              </w:rPr>
            </w:pPr>
          </w:p>
        </w:tc>
        <w:tc>
          <w:tcPr>
            <w:tcW w:w="4112" w:type="dxa"/>
          </w:tcPr>
          <w:p>
            <w:pPr>
              <w:pStyle w:val="TableParagraph"/>
              <w:spacing w:line="256" w:lineRule="exact"/>
              <w:ind w:left="103"/>
              <w:rPr>
                <w:sz w:val="24"/>
              </w:rPr>
            </w:pPr>
            <w:r>
              <w:rPr>
                <w:sz w:val="24"/>
              </w:rPr>
              <w:t>Objectifs</w:t>
            </w:r>
          </w:p>
        </w:tc>
        <w:tc>
          <w:tcPr>
            <w:tcW w:w="4253" w:type="dxa"/>
          </w:tcPr>
          <w:p>
            <w:pPr>
              <w:pStyle w:val="TableParagraph"/>
              <w:spacing w:line="256" w:lineRule="exact"/>
              <w:ind w:left="100"/>
              <w:rPr>
                <w:sz w:val="24"/>
              </w:rPr>
            </w:pPr>
            <w:r>
              <w:rPr>
                <w:sz w:val="24"/>
              </w:rPr>
              <w:t>Méthodologie</w:t>
            </w:r>
          </w:p>
        </w:tc>
      </w:tr>
      <w:tr>
        <w:trPr>
          <w:trHeight w:val="1920" w:hRule="atLeast"/>
        </w:trPr>
        <w:tc>
          <w:tcPr>
            <w:tcW w:w="1697" w:type="dxa"/>
          </w:tcPr>
          <w:p>
            <w:pPr>
              <w:pStyle w:val="TableParagraph"/>
              <w:spacing w:line="273" w:lineRule="exact"/>
              <w:ind w:left="102"/>
              <w:jc w:val="both"/>
              <w:rPr>
                <w:b/>
                <w:sz w:val="24"/>
              </w:rPr>
            </w:pPr>
            <w:r>
              <w:rPr>
                <w:b/>
                <w:sz w:val="24"/>
              </w:rPr>
              <w:t>Phase 0</w:t>
            </w:r>
          </w:p>
          <w:p>
            <w:pPr>
              <w:pStyle w:val="TableParagraph"/>
              <w:spacing w:before="6"/>
              <w:rPr>
                <w:b/>
                <w:sz w:val="23"/>
              </w:rPr>
            </w:pPr>
          </w:p>
          <w:p>
            <w:pPr>
              <w:pStyle w:val="TableParagraph"/>
              <w:tabs>
                <w:tab w:pos="1104" w:val="left" w:leader="none"/>
              </w:tabs>
              <w:ind w:left="102" w:right="100"/>
              <w:jc w:val="both"/>
              <w:rPr>
                <w:b/>
                <w:sz w:val="24"/>
              </w:rPr>
            </w:pPr>
            <w:r>
              <w:rPr>
                <w:sz w:val="24"/>
              </w:rPr>
              <w:t>Validation  de la</w:t>
              <w:tab/>
            </w:r>
            <w:r>
              <w:rPr>
                <w:b/>
                <w:sz w:val="24"/>
              </w:rPr>
              <w:t>cible</w:t>
            </w:r>
          </w:p>
          <w:p>
            <w:pPr>
              <w:pStyle w:val="TableParagraph"/>
              <w:spacing w:line="270" w:lineRule="atLeast"/>
              <w:ind w:left="102" w:right="102"/>
              <w:jc w:val="both"/>
              <w:rPr>
                <w:sz w:val="24"/>
              </w:rPr>
            </w:pPr>
            <w:r>
              <w:rPr>
                <w:sz w:val="24"/>
              </w:rPr>
              <w:t>thérapeutique</w:t>
            </w:r>
            <w:r>
              <w:rPr>
                <w:spacing w:val="-9"/>
                <w:sz w:val="24"/>
              </w:rPr>
              <w:t> </w:t>
            </w:r>
            <w:r>
              <w:rPr>
                <w:sz w:val="24"/>
              </w:rPr>
              <w:t>– pas de visées thérapeutiques</w:t>
            </w:r>
          </w:p>
        </w:tc>
        <w:tc>
          <w:tcPr>
            <w:tcW w:w="4112" w:type="dxa"/>
          </w:tcPr>
          <w:p>
            <w:pPr>
              <w:pStyle w:val="TableParagraph"/>
              <w:tabs>
                <w:tab w:pos="2717" w:val="left" w:leader="none"/>
              </w:tabs>
              <w:ind w:left="103" w:right="101"/>
              <w:jc w:val="both"/>
              <w:rPr>
                <w:sz w:val="24"/>
              </w:rPr>
            </w:pPr>
            <w:r>
              <w:rPr>
                <w:sz w:val="24"/>
              </w:rPr>
              <w:t>-Déterminer</w:t>
            </w:r>
            <w:r>
              <w:rPr>
                <w:spacing w:val="-16"/>
                <w:sz w:val="24"/>
              </w:rPr>
              <w:t> </w:t>
            </w:r>
            <w:r>
              <w:rPr>
                <w:sz w:val="24"/>
              </w:rPr>
              <w:t>la</w:t>
            </w:r>
            <w:r>
              <w:rPr>
                <w:spacing w:val="-16"/>
                <w:sz w:val="24"/>
              </w:rPr>
              <w:t> </w:t>
            </w:r>
            <w:r>
              <w:rPr>
                <w:sz w:val="24"/>
              </w:rPr>
              <w:t>pharmacodynamique</w:t>
            </w:r>
            <w:r>
              <w:rPr>
                <w:spacing w:val="-16"/>
                <w:sz w:val="24"/>
              </w:rPr>
              <w:t> </w:t>
            </w:r>
            <w:r>
              <w:rPr>
                <w:sz w:val="24"/>
              </w:rPr>
              <w:t>et</w:t>
            </w:r>
            <w:r>
              <w:rPr>
                <w:spacing w:val="-15"/>
                <w:sz w:val="24"/>
              </w:rPr>
              <w:t> </w:t>
            </w:r>
            <w:r>
              <w:rPr>
                <w:sz w:val="24"/>
              </w:rPr>
              <w:t>la pharmacocinétique</w:t>
              <w:tab/>
              <w:t>(disponibilité biologique)</w:t>
            </w:r>
          </w:p>
          <w:p>
            <w:pPr>
              <w:pStyle w:val="TableParagraph"/>
              <w:spacing w:before="8"/>
              <w:ind w:left="103" w:right="107"/>
              <w:jc w:val="both"/>
              <w:rPr>
                <w:sz w:val="24"/>
              </w:rPr>
            </w:pPr>
            <w:r>
              <w:rPr>
                <w:sz w:val="24"/>
              </w:rPr>
              <w:t>-Etablir un niveau de dose sans effet secondaire</w:t>
            </w:r>
          </w:p>
          <w:p>
            <w:pPr>
              <w:pStyle w:val="TableParagraph"/>
              <w:spacing w:line="270" w:lineRule="atLeast"/>
              <w:ind w:left="103" w:right="106"/>
              <w:jc w:val="both"/>
              <w:rPr>
                <w:sz w:val="24"/>
              </w:rPr>
            </w:pPr>
            <w:r>
              <w:rPr>
                <w:sz w:val="24"/>
              </w:rPr>
              <w:t>-Sélectionner l’agent prometteur pour la phase I</w:t>
            </w:r>
          </w:p>
        </w:tc>
        <w:tc>
          <w:tcPr>
            <w:tcW w:w="4253" w:type="dxa"/>
          </w:tcPr>
          <w:p>
            <w:pPr>
              <w:pStyle w:val="TableParagraph"/>
              <w:spacing w:line="268" w:lineRule="exact"/>
              <w:ind w:left="100"/>
              <w:rPr>
                <w:sz w:val="24"/>
              </w:rPr>
            </w:pPr>
            <w:r>
              <w:rPr>
                <w:sz w:val="24"/>
              </w:rPr>
              <w:t>-Phase courte (&lt;7 jours)</w:t>
            </w:r>
          </w:p>
          <w:p>
            <w:pPr>
              <w:pStyle w:val="TableParagraph"/>
              <w:ind w:left="100"/>
              <w:rPr>
                <w:sz w:val="24"/>
              </w:rPr>
            </w:pPr>
            <w:r>
              <w:rPr>
                <w:sz w:val="24"/>
              </w:rPr>
              <w:t>-Très peu de patients</w:t>
            </w:r>
          </w:p>
        </w:tc>
      </w:tr>
      <w:tr>
        <w:trPr>
          <w:trHeight w:val="4140" w:hRule="atLeast"/>
        </w:trPr>
        <w:tc>
          <w:tcPr>
            <w:tcW w:w="1697" w:type="dxa"/>
            <w:tcBorders>
              <w:bottom w:val="nil"/>
            </w:tcBorders>
          </w:tcPr>
          <w:p>
            <w:pPr>
              <w:pStyle w:val="TableParagraph"/>
              <w:spacing w:line="275" w:lineRule="exact"/>
              <w:ind w:left="102"/>
              <w:rPr>
                <w:b/>
                <w:sz w:val="24"/>
              </w:rPr>
            </w:pPr>
            <w:r>
              <w:rPr>
                <w:b/>
                <w:sz w:val="24"/>
              </w:rPr>
              <w:t>Phase I</w:t>
            </w:r>
          </w:p>
          <w:p>
            <w:pPr>
              <w:pStyle w:val="TableParagraph"/>
              <w:rPr>
                <w:b/>
                <w:sz w:val="26"/>
              </w:rPr>
            </w:pPr>
          </w:p>
          <w:p>
            <w:pPr>
              <w:pStyle w:val="TableParagraph"/>
              <w:spacing w:before="4"/>
              <w:rPr>
                <w:b/>
                <w:sz w:val="21"/>
              </w:rPr>
            </w:pPr>
          </w:p>
          <w:p>
            <w:pPr>
              <w:pStyle w:val="TableParagraph"/>
              <w:tabs>
                <w:tab w:pos="642" w:val="left" w:leader="none"/>
                <w:tab w:pos="1130" w:val="left" w:leader="none"/>
                <w:tab w:pos="1476" w:val="left" w:leader="none"/>
              </w:tabs>
              <w:spacing w:before="1"/>
              <w:ind w:left="102" w:right="100"/>
              <w:rPr>
                <w:b/>
                <w:sz w:val="24"/>
              </w:rPr>
            </w:pPr>
            <w:r>
              <w:rPr>
                <w:b/>
                <w:spacing w:val="-1"/>
                <w:sz w:val="24"/>
              </w:rPr>
              <w:t>Tolérance</w:t>
              <w:tab/>
              <w:tab/>
            </w:r>
            <w:r>
              <w:rPr>
                <w:sz w:val="24"/>
              </w:rPr>
              <w:t>à court terme et établissement de</w:t>
              <w:tab/>
              <w:t>la</w:t>
              <w:tab/>
            </w:r>
            <w:r>
              <w:rPr>
                <w:b/>
                <w:sz w:val="24"/>
              </w:rPr>
              <w:t>dose</w:t>
            </w:r>
          </w:p>
          <w:p>
            <w:pPr>
              <w:pStyle w:val="TableParagraph"/>
              <w:tabs>
                <w:tab w:pos="1343" w:val="left" w:leader="none"/>
              </w:tabs>
              <w:ind w:left="102" w:right="98"/>
              <w:rPr>
                <w:sz w:val="24"/>
              </w:rPr>
            </w:pPr>
            <w:r>
              <w:rPr>
                <w:sz w:val="24"/>
              </w:rPr>
              <w:t>optimale</w:t>
              <w:tab/>
              <w:t>du traitement / du niveau acceptable</w:t>
              <w:tab/>
              <w:t>de toxicité pour la phase</w:t>
            </w:r>
            <w:r>
              <w:rPr>
                <w:spacing w:val="-1"/>
                <w:sz w:val="24"/>
              </w:rPr>
              <w:t> </w:t>
            </w:r>
            <w:r>
              <w:rPr>
                <w:sz w:val="24"/>
              </w:rPr>
              <w:t>II</w:t>
            </w:r>
          </w:p>
        </w:tc>
        <w:tc>
          <w:tcPr>
            <w:tcW w:w="4112" w:type="dxa"/>
            <w:tcBorders>
              <w:bottom w:val="nil"/>
            </w:tcBorders>
          </w:tcPr>
          <w:p>
            <w:pPr>
              <w:pStyle w:val="TableParagraph"/>
              <w:ind w:left="103" w:right="106"/>
              <w:jc w:val="both"/>
              <w:rPr>
                <w:sz w:val="24"/>
              </w:rPr>
            </w:pPr>
            <w:r>
              <w:rPr>
                <w:sz w:val="24"/>
              </w:rPr>
              <w:t>-Déterminer la Dose Maximale Tolérée (MTD)</w:t>
            </w:r>
          </w:p>
          <w:p>
            <w:pPr>
              <w:pStyle w:val="TableParagraph"/>
              <w:spacing w:line="237" w:lineRule="auto" w:before="8"/>
              <w:ind w:left="103" w:right="106"/>
              <w:jc w:val="both"/>
              <w:rPr>
                <w:sz w:val="24"/>
              </w:rPr>
            </w:pPr>
            <w:r>
              <w:rPr>
                <w:sz w:val="24"/>
              </w:rPr>
              <w:t>-Définir la toxicité limitant la dose (DLT)</w:t>
            </w:r>
          </w:p>
          <w:p>
            <w:pPr>
              <w:pStyle w:val="TableParagraph"/>
              <w:ind w:left="103" w:right="110"/>
              <w:jc w:val="both"/>
              <w:rPr>
                <w:sz w:val="24"/>
              </w:rPr>
            </w:pPr>
            <w:r>
              <w:rPr>
                <w:sz w:val="24"/>
              </w:rPr>
              <w:t>-Caractériser la sévérité et les différents types d’effets secondaires</w:t>
            </w:r>
          </w:p>
          <w:p>
            <w:pPr>
              <w:pStyle w:val="TableParagraph"/>
              <w:ind w:left="103" w:right="103"/>
              <w:jc w:val="both"/>
              <w:rPr>
                <w:sz w:val="24"/>
              </w:rPr>
            </w:pPr>
            <w:r>
              <w:rPr>
                <w:sz w:val="24"/>
              </w:rPr>
              <w:t>-Développer les connaissances en pharmacocinétique (pour établir un planning d’administration) et pharmacodynamique</w:t>
            </w:r>
          </w:p>
          <w:p>
            <w:pPr>
              <w:pStyle w:val="TableParagraph"/>
              <w:ind w:left="103"/>
              <w:jc w:val="both"/>
              <w:rPr>
                <w:sz w:val="24"/>
              </w:rPr>
            </w:pPr>
            <w:r>
              <w:rPr>
                <w:sz w:val="24"/>
              </w:rPr>
              <w:t>-Données préliminaires</w:t>
            </w:r>
          </w:p>
          <w:p>
            <w:pPr>
              <w:pStyle w:val="TableParagraph"/>
              <w:ind w:left="103" w:right="105"/>
              <w:jc w:val="both"/>
              <w:rPr>
                <w:sz w:val="24"/>
              </w:rPr>
            </w:pPr>
            <w:r>
              <w:rPr>
                <w:sz w:val="24"/>
              </w:rPr>
              <w:t>-Etudier d’éventuels biomarqueurs de réponse</w:t>
            </w:r>
          </w:p>
        </w:tc>
        <w:tc>
          <w:tcPr>
            <w:tcW w:w="4253" w:type="dxa"/>
            <w:tcBorders>
              <w:bottom w:val="nil"/>
            </w:tcBorders>
          </w:tcPr>
          <w:p>
            <w:pPr>
              <w:pStyle w:val="TableParagraph"/>
              <w:ind w:left="100" w:right="107"/>
              <w:jc w:val="both"/>
              <w:rPr>
                <w:sz w:val="24"/>
              </w:rPr>
            </w:pPr>
            <w:r>
              <w:rPr>
                <w:sz w:val="24"/>
              </w:rPr>
              <w:t>-Souvent patients très malades, faible nombre</w:t>
            </w:r>
          </w:p>
          <w:p>
            <w:pPr>
              <w:pStyle w:val="TableParagraph"/>
              <w:spacing w:before="6"/>
              <w:ind w:left="100" w:right="105"/>
              <w:jc w:val="both"/>
              <w:rPr>
                <w:sz w:val="24"/>
              </w:rPr>
            </w:pPr>
            <w:r>
              <w:rPr>
                <w:sz w:val="24"/>
              </w:rPr>
              <w:t>-Conduite séquentielle pour la recherche de dose : choix des doses initiale / maximale en fonction des résultats précliniques, choix du nombre de doses testées (doit rester faible) puis augmentation progressive de la dose administrée. Il existe différents plans expérimentaux.</w:t>
            </w:r>
          </w:p>
          <w:p>
            <w:pPr>
              <w:pStyle w:val="TableParagraph"/>
              <w:rPr>
                <w:b/>
                <w:sz w:val="24"/>
              </w:rPr>
            </w:pPr>
          </w:p>
          <w:p>
            <w:pPr>
              <w:pStyle w:val="TableParagraph"/>
              <w:ind w:left="100" w:right="101"/>
              <w:jc w:val="both"/>
              <w:rPr>
                <w:sz w:val="24"/>
              </w:rPr>
            </w:pPr>
            <w:r>
              <w:rPr>
                <w:sz w:val="24"/>
              </w:rPr>
              <w:t>Traditionnellement des cohortes de 3 à 6 patients par dose testée – on passe à la dose inférieure en cas de toxicité de grade</w:t>
            </w:r>
          </w:p>
          <w:p>
            <w:pPr>
              <w:pStyle w:val="TableParagraph"/>
              <w:spacing w:line="264" w:lineRule="exact"/>
              <w:ind w:left="100"/>
              <w:jc w:val="both"/>
              <w:rPr>
                <w:sz w:val="24"/>
              </w:rPr>
            </w:pPr>
            <w:r>
              <w:rPr>
                <w:sz w:val="24"/>
              </w:rPr>
              <w:t>3 ou 4</w:t>
            </w:r>
          </w:p>
        </w:tc>
      </w:tr>
      <w:tr>
        <w:trPr>
          <w:trHeight w:val="4360" w:hRule="atLeast"/>
        </w:trPr>
        <w:tc>
          <w:tcPr>
            <w:tcW w:w="10063" w:type="dxa"/>
            <w:gridSpan w:val="3"/>
            <w:tcBorders>
              <w:top w:val="nil"/>
            </w:tcBorders>
          </w:tcPr>
          <w:p>
            <w:pPr>
              <w:pStyle w:val="TableParagraph"/>
              <w:rPr>
                <w:b/>
                <w:sz w:val="20"/>
              </w:rPr>
            </w:pPr>
          </w:p>
          <w:p>
            <w:pPr>
              <w:pStyle w:val="TableParagraph"/>
              <w:spacing w:before="10" w:after="1"/>
              <w:rPr>
                <w:b/>
                <w:sz w:val="27"/>
              </w:rPr>
            </w:pPr>
          </w:p>
          <w:p>
            <w:pPr>
              <w:pStyle w:val="TableParagraph"/>
              <w:ind w:left="1684"/>
              <w:rPr>
                <w:sz w:val="20"/>
              </w:rPr>
            </w:pPr>
            <w:r>
              <w:rPr>
                <w:sz w:val="20"/>
              </w:rPr>
              <w:drawing>
                <wp:inline distT="0" distB="0" distL="0" distR="0">
                  <wp:extent cx="4243997" cy="2059971"/>
                  <wp:effectExtent l="0" t="0" r="0" b="0"/>
                  <wp:docPr id="73" name="image40.jpeg" descr=""/>
                  <wp:cNvGraphicFramePr>
                    <a:graphicFrameLocks noChangeAspect="1"/>
                  </wp:cNvGraphicFramePr>
                  <a:graphic>
                    <a:graphicData uri="http://schemas.openxmlformats.org/drawingml/2006/picture">
                      <pic:pic>
                        <pic:nvPicPr>
                          <pic:cNvPr id="74" name="image40.jpeg"/>
                          <pic:cNvPicPr/>
                        </pic:nvPicPr>
                        <pic:blipFill>
                          <a:blip r:embed="rId82" cstate="print"/>
                          <a:stretch>
                            <a:fillRect/>
                          </a:stretch>
                        </pic:blipFill>
                        <pic:spPr>
                          <a:xfrm>
                            <a:off x="0" y="0"/>
                            <a:ext cx="4243997" cy="2059971"/>
                          </a:xfrm>
                          <a:prstGeom prst="rect">
                            <a:avLst/>
                          </a:prstGeom>
                        </pic:spPr>
                      </pic:pic>
                    </a:graphicData>
                  </a:graphic>
                </wp:inline>
              </w:drawing>
            </w:r>
            <w:r>
              <w:rPr>
                <w:sz w:val="20"/>
              </w:rPr>
            </w:r>
          </w:p>
        </w:tc>
      </w:tr>
      <w:tr>
        <w:trPr>
          <w:trHeight w:val="1640" w:hRule="atLeast"/>
        </w:trPr>
        <w:tc>
          <w:tcPr>
            <w:tcW w:w="1697" w:type="dxa"/>
          </w:tcPr>
          <w:p>
            <w:pPr>
              <w:pStyle w:val="TableParagraph"/>
              <w:spacing w:line="273" w:lineRule="exact"/>
              <w:ind w:left="102"/>
              <w:jc w:val="both"/>
              <w:rPr>
                <w:b/>
                <w:sz w:val="24"/>
              </w:rPr>
            </w:pPr>
            <w:r>
              <w:rPr>
                <w:b/>
                <w:sz w:val="24"/>
              </w:rPr>
              <w:t>Phase II</w:t>
            </w:r>
          </w:p>
          <w:p>
            <w:pPr>
              <w:pStyle w:val="TableParagraph"/>
              <w:spacing w:before="6"/>
              <w:rPr>
                <w:b/>
                <w:sz w:val="23"/>
              </w:rPr>
            </w:pPr>
          </w:p>
          <w:p>
            <w:pPr>
              <w:pStyle w:val="TableParagraph"/>
              <w:ind w:left="102" w:right="100"/>
              <w:jc w:val="both"/>
              <w:rPr>
                <w:sz w:val="24"/>
              </w:rPr>
            </w:pPr>
            <w:r>
              <w:rPr>
                <w:sz w:val="24"/>
              </w:rPr>
              <w:t>Evaluation de l’</w:t>
            </w:r>
            <w:r>
              <w:rPr>
                <w:b/>
                <w:sz w:val="24"/>
              </w:rPr>
              <w:t>efficacité </w:t>
            </w:r>
            <w:r>
              <w:rPr>
                <w:sz w:val="24"/>
              </w:rPr>
              <w:t>/ de l’activité d’une</w:t>
            </w:r>
          </w:p>
          <w:p>
            <w:pPr>
              <w:pStyle w:val="TableParagraph"/>
              <w:spacing w:line="264" w:lineRule="exact"/>
              <w:ind w:left="102"/>
              <w:jc w:val="both"/>
              <w:rPr>
                <w:sz w:val="24"/>
              </w:rPr>
            </w:pPr>
            <w:r>
              <w:rPr>
                <w:sz w:val="24"/>
              </w:rPr>
              <w:t>molécule</w:t>
            </w:r>
          </w:p>
        </w:tc>
        <w:tc>
          <w:tcPr>
            <w:tcW w:w="4112" w:type="dxa"/>
          </w:tcPr>
          <w:p>
            <w:pPr>
              <w:pStyle w:val="TableParagraph"/>
              <w:ind w:left="103"/>
              <w:rPr>
                <w:sz w:val="24"/>
              </w:rPr>
            </w:pPr>
            <w:r>
              <w:rPr>
                <w:sz w:val="24"/>
              </w:rPr>
              <w:t>-Déterminer une activité anti tumorale/ une efficacité dans des populations définies</w:t>
            </w:r>
          </w:p>
          <w:p>
            <w:pPr>
              <w:pStyle w:val="TableParagraph"/>
              <w:spacing w:before="8"/>
              <w:ind w:left="103" w:right="105"/>
              <w:rPr>
                <w:sz w:val="24"/>
              </w:rPr>
            </w:pPr>
            <w:r>
              <w:rPr>
                <w:sz w:val="24"/>
              </w:rPr>
              <w:t>-Permet la prise de décision pour passer à un essai de Phase III</w:t>
            </w:r>
          </w:p>
          <w:p>
            <w:pPr>
              <w:pStyle w:val="TableParagraph"/>
              <w:spacing w:line="264" w:lineRule="exact"/>
              <w:ind w:left="103"/>
              <w:rPr>
                <w:sz w:val="24"/>
              </w:rPr>
            </w:pPr>
            <w:r>
              <w:rPr>
                <w:sz w:val="24"/>
              </w:rPr>
              <w:t>-Estimer l’index thérapeutique</w:t>
            </w:r>
          </w:p>
        </w:tc>
        <w:tc>
          <w:tcPr>
            <w:tcW w:w="4253" w:type="dxa"/>
          </w:tcPr>
          <w:p>
            <w:pPr>
              <w:pStyle w:val="TableParagraph"/>
              <w:ind w:left="100" w:right="38"/>
              <w:rPr>
                <w:sz w:val="24"/>
              </w:rPr>
            </w:pPr>
            <w:r>
              <w:rPr>
                <w:sz w:val="24"/>
              </w:rPr>
              <w:t>-Phase II a non comparative : un seul bras, pas de groupe contrôle</w:t>
            </w:r>
          </w:p>
          <w:p>
            <w:pPr>
              <w:pStyle w:val="TableParagraph"/>
              <w:spacing w:before="8"/>
              <w:ind w:left="100"/>
              <w:rPr>
                <w:sz w:val="24"/>
              </w:rPr>
            </w:pPr>
            <w:r>
              <w:rPr>
                <w:sz w:val="24"/>
              </w:rPr>
              <w:t>-Phase II b comparative : contrôle avec placebo, en double aveugle, randomisée</w:t>
            </w:r>
          </w:p>
          <w:p>
            <w:pPr>
              <w:pStyle w:val="TableParagraph"/>
              <w:spacing w:line="276" w:lineRule="exact" w:before="3"/>
              <w:ind w:left="100" w:right="31"/>
              <w:rPr>
                <w:sz w:val="24"/>
              </w:rPr>
            </w:pPr>
            <w:r>
              <w:rPr>
                <w:sz w:val="24"/>
              </w:rPr>
              <w:t>-Passage à la phase III si obtention d’un % supérieur à la limite d’efficacité (à définir)</w:t>
            </w:r>
          </w:p>
        </w:tc>
      </w:tr>
    </w:tbl>
    <w:p>
      <w:pPr>
        <w:spacing w:after="0" w:line="276" w:lineRule="exact"/>
        <w:rPr>
          <w:sz w:val="24"/>
        </w:rPr>
        <w:sectPr>
          <w:pgSz w:w="11910" w:h="16840"/>
          <w:pgMar w:header="0" w:footer="995" w:top="1320" w:bottom="1240" w:left="800" w:right="80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4112"/>
        <w:gridCol w:w="4253"/>
      </w:tblGrid>
      <w:tr>
        <w:trPr>
          <w:trHeight w:val="820" w:hRule="atLeast"/>
        </w:trPr>
        <w:tc>
          <w:tcPr>
            <w:tcW w:w="1697" w:type="dxa"/>
          </w:tcPr>
          <w:p>
            <w:pPr>
              <w:pStyle w:val="TableParagraph"/>
              <w:rPr>
                <w:sz w:val="24"/>
              </w:rPr>
            </w:pPr>
          </w:p>
        </w:tc>
        <w:tc>
          <w:tcPr>
            <w:tcW w:w="4112" w:type="dxa"/>
          </w:tcPr>
          <w:p>
            <w:pPr>
              <w:pStyle w:val="TableParagraph"/>
              <w:tabs>
                <w:tab w:pos="2676" w:val="left" w:leader="none"/>
              </w:tabs>
              <w:ind w:left="103" w:right="105"/>
              <w:rPr>
                <w:sz w:val="24"/>
              </w:rPr>
            </w:pPr>
            <w:r>
              <w:rPr>
                <w:sz w:val="24"/>
              </w:rPr>
              <w:t>-Développer les données concernant les effets  </w:t>
            </w:r>
            <w:r>
              <w:rPr>
                <w:spacing w:val="15"/>
                <w:sz w:val="24"/>
              </w:rPr>
              <w:t> </w:t>
            </w:r>
            <w:r>
              <w:rPr>
                <w:sz w:val="24"/>
              </w:rPr>
              <w:t>secondaires,  </w:t>
            </w:r>
            <w:r>
              <w:rPr>
                <w:spacing w:val="15"/>
                <w:sz w:val="24"/>
              </w:rPr>
              <w:t> </w:t>
            </w:r>
            <w:r>
              <w:rPr>
                <w:sz w:val="24"/>
              </w:rPr>
              <w:t>les</w:t>
              <w:tab/>
              <w:t>biomarqueurs</w:t>
            </w:r>
          </w:p>
          <w:p>
            <w:pPr>
              <w:pStyle w:val="TableParagraph"/>
              <w:spacing w:line="266" w:lineRule="exact" w:before="8"/>
              <w:ind w:left="103"/>
              <w:rPr>
                <w:sz w:val="24"/>
              </w:rPr>
            </w:pPr>
            <w:r>
              <w:rPr>
                <w:sz w:val="24"/>
              </w:rPr>
              <w:t>éventuels</w:t>
            </w:r>
          </w:p>
        </w:tc>
        <w:tc>
          <w:tcPr>
            <w:tcW w:w="4253" w:type="dxa"/>
          </w:tcPr>
          <w:p>
            <w:pPr>
              <w:pStyle w:val="TableParagraph"/>
              <w:rPr>
                <w:sz w:val="24"/>
              </w:rPr>
            </w:pPr>
          </w:p>
        </w:tc>
      </w:tr>
      <w:tr>
        <w:trPr>
          <w:trHeight w:val="2200" w:hRule="atLeast"/>
        </w:trPr>
        <w:tc>
          <w:tcPr>
            <w:tcW w:w="1697" w:type="dxa"/>
          </w:tcPr>
          <w:p>
            <w:pPr>
              <w:pStyle w:val="TableParagraph"/>
              <w:spacing w:line="270" w:lineRule="exact"/>
              <w:ind w:left="102"/>
              <w:rPr>
                <w:b/>
                <w:sz w:val="24"/>
              </w:rPr>
            </w:pPr>
            <w:r>
              <w:rPr>
                <w:b/>
                <w:sz w:val="24"/>
              </w:rPr>
              <w:t>Phase III</w:t>
            </w:r>
          </w:p>
          <w:p>
            <w:pPr>
              <w:pStyle w:val="TableParagraph"/>
              <w:spacing w:before="6"/>
              <w:rPr>
                <w:b/>
                <w:sz w:val="23"/>
              </w:rPr>
            </w:pPr>
          </w:p>
          <w:p>
            <w:pPr>
              <w:pStyle w:val="TableParagraph"/>
              <w:tabs>
                <w:tab w:pos="1276" w:val="left" w:leader="none"/>
              </w:tabs>
              <w:ind w:left="102"/>
              <w:rPr>
                <w:sz w:val="24"/>
              </w:rPr>
            </w:pPr>
            <w:r>
              <w:rPr>
                <w:sz w:val="24"/>
              </w:rPr>
              <w:t>Etude</w:t>
              <w:tab/>
              <w:t>par</w:t>
            </w:r>
          </w:p>
          <w:p>
            <w:pPr>
              <w:pStyle w:val="TableParagraph"/>
              <w:tabs>
                <w:tab w:pos="1355" w:val="left" w:leader="none"/>
              </w:tabs>
              <w:ind w:left="102" w:right="104"/>
              <w:rPr>
                <w:sz w:val="24"/>
              </w:rPr>
            </w:pPr>
            <w:r>
              <w:rPr>
                <w:sz w:val="24"/>
              </w:rPr>
              <w:t>rapport</w:t>
              <w:tab/>
              <w:t>au</w:t>
            </w:r>
            <w:r>
              <w:rPr>
                <w:w w:val="99"/>
                <w:sz w:val="24"/>
              </w:rPr>
              <w:t> </w:t>
            </w:r>
            <w:r>
              <w:rPr>
                <w:sz w:val="24"/>
              </w:rPr>
              <w:t>traitement standardisé</w:t>
            </w:r>
          </w:p>
        </w:tc>
        <w:tc>
          <w:tcPr>
            <w:tcW w:w="4112" w:type="dxa"/>
          </w:tcPr>
          <w:p>
            <w:pPr>
              <w:pStyle w:val="TableParagraph"/>
              <w:ind w:left="103"/>
              <w:rPr>
                <w:sz w:val="24"/>
              </w:rPr>
            </w:pPr>
            <w:r>
              <w:rPr>
                <w:sz w:val="24"/>
              </w:rPr>
              <w:t>-Evaluer l’efficacité thérapeutique par rapport aux traitements de référence</w:t>
            </w:r>
          </w:p>
          <w:p>
            <w:pPr>
              <w:pStyle w:val="TableParagraph"/>
              <w:spacing w:before="10"/>
              <w:ind w:left="103"/>
              <w:rPr>
                <w:sz w:val="24"/>
              </w:rPr>
            </w:pPr>
            <w:r>
              <w:rPr>
                <w:sz w:val="24"/>
              </w:rPr>
              <w:t>-Comparaison de la qualité de vie, des coûts</w:t>
            </w:r>
          </w:p>
          <w:p>
            <w:pPr>
              <w:pStyle w:val="TableParagraph"/>
              <w:tabs>
                <w:tab w:pos="1438" w:val="left" w:leader="none"/>
                <w:tab w:pos="1918" w:val="left" w:leader="none"/>
                <w:tab w:pos="3074" w:val="left" w:leader="none"/>
              </w:tabs>
              <w:ind w:left="103" w:right="107"/>
              <w:rPr>
                <w:sz w:val="24"/>
              </w:rPr>
            </w:pPr>
            <w:r>
              <w:rPr>
                <w:sz w:val="24"/>
              </w:rPr>
              <w:t>-Possibilité</w:t>
              <w:tab/>
              <w:t>de</w:t>
              <w:tab/>
              <w:t>comparer</w:t>
              <w:tab/>
              <w:t>différents</w:t>
            </w:r>
            <w:r>
              <w:rPr>
                <w:w w:val="99"/>
                <w:sz w:val="24"/>
              </w:rPr>
              <w:t> </w:t>
            </w:r>
            <w:r>
              <w:rPr>
                <w:sz w:val="24"/>
              </w:rPr>
              <w:t>modes ou schémas</w:t>
            </w:r>
            <w:r>
              <w:rPr>
                <w:spacing w:val="-3"/>
                <w:sz w:val="24"/>
              </w:rPr>
              <w:t> </w:t>
            </w:r>
            <w:r>
              <w:rPr>
                <w:sz w:val="24"/>
              </w:rPr>
              <w:t>d’administration</w:t>
            </w:r>
          </w:p>
          <w:p>
            <w:pPr>
              <w:pStyle w:val="TableParagraph"/>
              <w:ind w:left="103"/>
              <w:rPr>
                <w:sz w:val="24"/>
              </w:rPr>
            </w:pPr>
            <w:r>
              <w:rPr>
                <w:sz w:val="24"/>
              </w:rPr>
              <w:t>-Evaluer les évènements indésirables</w:t>
            </w:r>
          </w:p>
        </w:tc>
        <w:tc>
          <w:tcPr>
            <w:tcW w:w="4253" w:type="dxa"/>
          </w:tcPr>
          <w:p>
            <w:pPr>
              <w:pStyle w:val="TableParagraph"/>
              <w:ind w:left="100" w:right="104"/>
              <w:jc w:val="both"/>
              <w:rPr>
                <w:sz w:val="24"/>
              </w:rPr>
            </w:pPr>
            <w:r>
              <w:rPr>
                <w:sz w:val="24"/>
              </w:rPr>
              <w:t>-Choix de patients homogènes, représentatifs des patients à qui sera destiné le traitement. Grand nombre de patients à inclure</w:t>
            </w:r>
          </w:p>
          <w:p>
            <w:pPr>
              <w:pStyle w:val="TableParagraph"/>
              <w:spacing w:before="10"/>
              <w:rPr>
                <w:b/>
                <w:sz w:val="24"/>
              </w:rPr>
            </w:pPr>
          </w:p>
          <w:p>
            <w:pPr>
              <w:pStyle w:val="TableParagraph"/>
              <w:spacing w:line="270" w:lineRule="atLeast"/>
              <w:ind w:left="100" w:right="105"/>
              <w:jc w:val="both"/>
              <w:rPr>
                <w:sz w:val="24"/>
              </w:rPr>
            </w:pPr>
            <w:r>
              <w:rPr>
                <w:sz w:val="24"/>
              </w:rPr>
              <w:t>-Autorisation de Mise sur le Marché (AMM) à la suite de la phase III si résultats favorables</w:t>
            </w:r>
          </w:p>
        </w:tc>
      </w:tr>
      <w:tr>
        <w:trPr>
          <w:trHeight w:val="2200" w:hRule="atLeast"/>
        </w:trPr>
        <w:tc>
          <w:tcPr>
            <w:tcW w:w="1697" w:type="dxa"/>
          </w:tcPr>
          <w:p>
            <w:pPr>
              <w:pStyle w:val="TableParagraph"/>
              <w:spacing w:line="270" w:lineRule="exact"/>
              <w:ind w:left="102"/>
              <w:rPr>
                <w:b/>
                <w:sz w:val="24"/>
              </w:rPr>
            </w:pPr>
            <w:r>
              <w:rPr>
                <w:b/>
                <w:sz w:val="24"/>
              </w:rPr>
              <w:t>Phase IV</w:t>
            </w:r>
          </w:p>
          <w:p>
            <w:pPr>
              <w:pStyle w:val="TableParagraph"/>
              <w:spacing w:before="7"/>
              <w:rPr>
                <w:b/>
                <w:sz w:val="23"/>
              </w:rPr>
            </w:pPr>
          </w:p>
          <w:p>
            <w:pPr>
              <w:pStyle w:val="TableParagraph"/>
              <w:tabs>
                <w:tab w:pos="1182" w:val="left" w:leader="none"/>
              </w:tabs>
              <w:ind w:left="102" w:right="102"/>
              <w:rPr>
                <w:sz w:val="24"/>
              </w:rPr>
            </w:pPr>
            <w:r>
              <w:rPr>
                <w:sz w:val="24"/>
              </w:rPr>
              <w:t>Etudes</w:t>
              <w:tab/>
              <w:t>post AMM</w:t>
            </w:r>
          </w:p>
        </w:tc>
        <w:tc>
          <w:tcPr>
            <w:tcW w:w="4112" w:type="dxa"/>
          </w:tcPr>
          <w:p>
            <w:pPr>
              <w:pStyle w:val="TableParagraph"/>
              <w:spacing w:line="265" w:lineRule="exact"/>
              <w:ind w:left="103"/>
              <w:rPr>
                <w:sz w:val="24"/>
              </w:rPr>
            </w:pPr>
            <w:r>
              <w:rPr>
                <w:sz w:val="24"/>
              </w:rPr>
              <w:t>-Etude pour une nouvelle indication</w:t>
            </w:r>
          </w:p>
          <w:p>
            <w:pPr>
              <w:pStyle w:val="TableParagraph"/>
              <w:tabs>
                <w:tab w:pos="1172" w:val="left" w:leader="none"/>
                <w:tab w:pos="1590" w:val="left" w:leader="none"/>
                <w:tab w:pos="2558" w:val="left" w:leader="none"/>
                <w:tab w:pos="3820" w:val="left" w:leader="none"/>
              </w:tabs>
              <w:ind w:left="103" w:right="106"/>
              <w:rPr>
                <w:sz w:val="24"/>
              </w:rPr>
            </w:pPr>
            <w:r>
              <w:rPr>
                <w:sz w:val="24"/>
              </w:rPr>
              <w:t>-Evaluer</w:t>
              <w:tab/>
              <w:t>la</w:t>
              <w:tab/>
              <w:t>toxicité</w:t>
              <w:tab/>
              <w:t>chronique,</w:t>
              <w:tab/>
              <w:t>la tolérance sur le long</w:t>
            </w:r>
            <w:r>
              <w:rPr>
                <w:spacing w:val="-7"/>
                <w:sz w:val="24"/>
              </w:rPr>
              <w:t> </w:t>
            </w:r>
            <w:r>
              <w:rPr>
                <w:sz w:val="24"/>
              </w:rPr>
              <w:t>terme</w:t>
            </w:r>
          </w:p>
          <w:p>
            <w:pPr>
              <w:pStyle w:val="TableParagraph"/>
              <w:ind w:left="103"/>
              <w:rPr>
                <w:sz w:val="24"/>
              </w:rPr>
            </w:pPr>
            <w:r>
              <w:rPr>
                <w:sz w:val="24"/>
              </w:rPr>
              <w:t>-Détection d’évènements rares</w:t>
            </w:r>
          </w:p>
          <w:p>
            <w:pPr>
              <w:pStyle w:val="TableParagraph"/>
              <w:ind w:left="103"/>
              <w:rPr>
                <w:sz w:val="24"/>
              </w:rPr>
            </w:pPr>
            <w:r>
              <w:rPr>
                <w:sz w:val="24"/>
              </w:rPr>
              <w:t>-Evaluation de l’efficacité en pratique courante</w:t>
            </w:r>
          </w:p>
          <w:p>
            <w:pPr>
              <w:pStyle w:val="TableParagraph"/>
              <w:spacing w:line="270" w:lineRule="atLeast"/>
              <w:ind w:left="103" w:right="101"/>
              <w:rPr>
                <w:sz w:val="24"/>
              </w:rPr>
            </w:pPr>
            <w:r>
              <w:rPr>
                <w:sz w:val="24"/>
              </w:rPr>
              <w:t>-Apporter de nouvelles informations : sous-groupes de patients, interactions…</w:t>
            </w:r>
          </w:p>
        </w:tc>
        <w:tc>
          <w:tcPr>
            <w:tcW w:w="4253" w:type="dxa"/>
          </w:tcPr>
          <w:p>
            <w:pPr>
              <w:pStyle w:val="TableParagraph"/>
              <w:ind w:left="100"/>
              <w:rPr>
                <w:sz w:val="24"/>
              </w:rPr>
            </w:pPr>
            <w:r>
              <w:rPr>
                <w:sz w:val="24"/>
              </w:rPr>
              <w:t>-Cohortes de patients en nombre très important</w:t>
            </w:r>
          </w:p>
        </w:tc>
      </w:tr>
    </w:tbl>
    <w:p>
      <w:pPr>
        <w:spacing w:after="0"/>
        <w:rPr>
          <w:sz w:val="24"/>
        </w:rPr>
        <w:sectPr>
          <w:pgSz w:w="11910" w:h="16840"/>
          <w:pgMar w:header="0" w:footer="1055" w:top="1400" w:bottom="1180" w:left="800" w:right="800"/>
        </w:sectPr>
      </w:pPr>
    </w:p>
    <w:p>
      <w:pPr>
        <w:spacing w:line="256" w:lineRule="auto" w:before="75"/>
        <w:ind w:left="829" w:right="502" w:hanging="317"/>
        <w:jc w:val="left"/>
        <w:rPr>
          <w:b/>
          <w:sz w:val="28"/>
        </w:rPr>
      </w:pPr>
      <w:bookmarkStart w:name="_bookmark235" w:id="409"/>
      <w:bookmarkEnd w:id="409"/>
      <w:r>
        <w:rPr/>
      </w:r>
      <w:r>
        <w:rPr>
          <w:b/>
          <w:sz w:val="28"/>
          <w:u w:val="thick"/>
        </w:rPr>
        <w:t>Annexe 4 : Table des valeurs usuelles IDEXX (numération et formule</w:t>
      </w:r>
      <w:r>
        <w:rPr>
          <w:b/>
          <w:sz w:val="28"/>
        </w:rPr>
        <w:t> </w:t>
      </w:r>
      <w:r>
        <w:rPr>
          <w:b/>
          <w:sz w:val="28"/>
          <w:u w:val="thick"/>
        </w:rPr>
        <w:t>sanguine et examen biochimique de base) chez le chien et le chat</w:t>
      </w:r>
    </w:p>
    <w:p>
      <w:pPr>
        <w:pStyle w:val="BodyText"/>
        <w:rPr>
          <w:b/>
          <w:sz w:val="20"/>
        </w:rPr>
      </w:pPr>
    </w:p>
    <w:p>
      <w:pPr>
        <w:pStyle w:val="BodyText"/>
        <w:spacing w:before="6"/>
        <w:rPr>
          <w:b/>
          <w:sz w:val="20"/>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335"/>
        <w:gridCol w:w="1178"/>
        <w:gridCol w:w="1515"/>
        <w:gridCol w:w="1387"/>
        <w:gridCol w:w="1666"/>
      </w:tblGrid>
      <w:tr>
        <w:trPr>
          <w:trHeight w:val="300" w:hRule="atLeast"/>
        </w:trPr>
        <w:tc>
          <w:tcPr>
            <w:tcW w:w="1980" w:type="dxa"/>
            <w:vMerge w:val="restart"/>
          </w:tcPr>
          <w:p>
            <w:pPr>
              <w:pStyle w:val="TableParagraph"/>
              <w:spacing w:line="270" w:lineRule="exact"/>
              <w:ind w:left="501"/>
              <w:rPr>
                <w:sz w:val="24"/>
              </w:rPr>
            </w:pPr>
            <w:r>
              <w:rPr>
                <w:sz w:val="24"/>
              </w:rPr>
              <w:t>Paramètre</w:t>
            </w:r>
          </w:p>
        </w:tc>
        <w:tc>
          <w:tcPr>
            <w:tcW w:w="2513" w:type="dxa"/>
            <w:gridSpan w:val="2"/>
          </w:tcPr>
          <w:p>
            <w:pPr>
              <w:pStyle w:val="TableParagraph"/>
              <w:spacing w:line="270" w:lineRule="exact"/>
              <w:ind w:left="636"/>
              <w:rPr>
                <w:sz w:val="24"/>
              </w:rPr>
            </w:pPr>
            <w:r>
              <w:rPr>
                <w:sz w:val="24"/>
              </w:rPr>
              <w:t>Valeur basse</w:t>
            </w:r>
          </w:p>
        </w:tc>
        <w:tc>
          <w:tcPr>
            <w:tcW w:w="2902" w:type="dxa"/>
            <w:gridSpan w:val="2"/>
          </w:tcPr>
          <w:p>
            <w:pPr>
              <w:pStyle w:val="TableParagraph"/>
              <w:spacing w:line="270" w:lineRule="exact"/>
              <w:ind w:left="830"/>
              <w:rPr>
                <w:sz w:val="24"/>
              </w:rPr>
            </w:pPr>
            <w:r>
              <w:rPr>
                <w:sz w:val="24"/>
              </w:rPr>
              <w:t>Valeur haute</w:t>
            </w:r>
          </w:p>
        </w:tc>
        <w:tc>
          <w:tcPr>
            <w:tcW w:w="1666" w:type="dxa"/>
            <w:vMerge w:val="restart"/>
          </w:tcPr>
          <w:p>
            <w:pPr>
              <w:pStyle w:val="TableParagraph"/>
              <w:spacing w:line="270" w:lineRule="exact"/>
              <w:ind w:left="346" w:right="341"/>
              <w:jc w:val="center"/>
              <w:rPr>
                <w:sz w:val="24"/>
              </w:rPr>
            </w:pPr>
            <w:r>
              <w:rPr>
                <w:sz w:val="24"/>
              </w:rPr>
              <w:t>Unité</w:t>
            </w:r>
          </w:p>
        </w:tc>
      </w:tr>
      <w:tr>
        <w:trPr>
          <w:trHeight w:val="300" w:hRule="atLeast"/>
        </w:trPr>
        <w:tc>
          <w:tcPr>
            <w:tcW w:w="1980" w:type="dxa"/>
            <w:vMerge/>
            <w:tcBorders>
              <w:top w:val="nil"/>
            </w:tcBorders>
          </w:tcPr>
          <w:p>
            <w:pPr>
              <w:rPr>
                <w:sz w:val="2"/>
                <w:szCs w:val="2"/>
              </w:rPr>
            </w:pPr>
          </w:p>
        </w:tc>
        <w:tc>
          <w:tcPr>
            <w:tcW w:w="1335" w:type="dxa"/>
          </w:tcPr>
          <w:p>
            <w:pPr>
              <w:pStyle w:val="TableParagraph"/>
              <w:spacing w:line="270" w:lineRule="exact"/>
              <w:ind w:left="373" w:right="369"/>
              <w:jc w:val="center"/>
              <w:rPr>
                <w:sz w:val="24"/>
              </w:rPr>
            </w:pPr>
            <w:r>
              <w:rPr>
                <w:sz w:val="24"/>
              </w:rPr>
              <w:t>CN</w:t>
            </w:r>
          </w:p>
        </w:tc>
        <w:tc>
          <w:tcPr>
            <w:tcW w:w="1178" w:type="dxa"/>
          </w:tcPr>
          <w:p>
            <w:pPr>
              <w:pStyle w:val="TableParagraph"/>
              <w:spacing w:line="270" w:lineRule="exact"/>
              <w:ind w:right="426"/>
              <w:jc w:val="right"/>
              <w:rPr>
                <w:sz w:val="24"/>
              </w:rPr>
            </w:pPr>
            <w:r>
              <w:rPr>
                <w:sz w:val="24"/>
              </w:rPr>
              <w:t>CT</w:t>
            </w:r>
          </w:p>
        </w:tc>
        <w:tc>
          <w:tcPr>
            <w:tcW w:w="1515" w:type="dxa"/>
          </w:tcPr>
          <w:p>
            <w:pPr>
              <w:pStyle w:val="TableParagraph"/>
              <w:spacing w:line="270" w:lineRule="exact"/>
              <w:ind w:right="582"/>
              <w:jc w:val="right"/>
              <w:rPr>
                <w:sz w:val="24"/>
              </w:rPr>
            </w:pPr>
            <w:r>
              <w:rPr>
                <w:w w:val="95"/>
                <w:sz w:val="24"/>
              </w:rPr>
              <w:t>CN</w:t>
            </w:r>
          </w:p>
        </w:tc>
        <w:tc>
          <w:tcPr>
            <w:tcW w:w="1387" w:type="dxa"/>
          </w:tcPr>
          <w:p>
            <w:pPr>
              <w:pStyle w:val="TableParagraph"/>
              <w:spacing w:line="270" w:lineRule="exact"/>
              <w:ind w:left="515" w:right="515"/>
              <w:jc w:val="center"/>
              <w:rPr>
                <w:sz w:val="24"/>
              </w:rPr>
            </w:pPr>
            <w:r>
              <w:rPr>
                <w:sz w:val="24"/>
              </w:rPr>
              <w:t>CT</w:t>
            </w:r>
          </w:p>
        </w:tc>
        <w:tc>
          <w:tcPr>
            <w:tcW w:w="1666" w:type="dxa"/>
            <w:vMerge/>
            <w:tcBorders>
              <w:top w:val="nil"/>
            </w:tcBorders>
          </w:tcPr>
          <w:p>
            <w:pPr>
              <w:rPr>
                <w:sz w:val="2"/>
                <w:szCs w:val="2"/>
              </w:rPr>
            </w:pPr>
          </w:p>
        </w:tc>
      </w:tr>
      <w:tr>
        <w:trPr>
          <w:trHeight w:val="300" w:hRule="atLeast"/>
        </w:trPr>
        <w:tc>
          <w:tcPr>
            <w:tcW w:w="9062" w:type="dxa"/>
            <w:gridSpan w:val="6"/>
          </w:tcPr>
          <w:p>
            <w:pPr>
              <w:pStyle w:val="TableParagraph"/>
              <w:spacing w:line="275" w:lineRule="exact"/>
              <w:ind w:left="2841"/>
              <w:rPr>
                <w:b/>
                <w:i/>
                <w:sz w:val="24"/>
              </w:rPr>
            </w:pPr>
            <w:r>
              <w:rPr>
                <w:b/>
                <w:i/>
                <w:sz w:val="24"/>
              </w:rPr>
              <w:t>Numération et Formule Sanguine</w:t>
            </w:r>
          </w:p>
        </w:tc>
      </w:tr>
      <w:tr>
        <w:trPr>
          <w:trHeight w:val="300" w:hRule="atLeast"/>
        </w:trPr>
        <w:tc>
          <w:tcPr>
            <w:tcW w:w="1980" w:type="dxa"/>
          </w:tcPr>
          <w:p>
            <w:pPr>
              <w:pStyle w:val="TableParagraph"/>
              <w:spacing w:line="275" w:lineRule="exact"/>
              <w:ind w:left="121" w:right="121"/>
              <w:jc w:val="center"/>
              <w:rPr>
                <w:b/>
                <w:sz w:val="24"/>
              </w:rPr>
            </w:pPr>
            <w:r>
              <w:rPr>
                <w:b/>
                <w:sz w:val="24"/>
              </w:rPr>
              <w:t>Hématies</w:t>
            </w:r>
          </w:p>
        </w:tc>
        <w:tc>
          <w:tcPr>
            <w:tcW w:w="1335" w:type="dxa"/>
          </w:tcPr>
          <w:p>
            <w:pPr>
              <w:pStyle w:val="TableParagraph"/>
              <w:spacing w:line="270" w:lineRule="exact"/>
              <w:ind w:left="372" w:right="371"/>
              <w:jc w:val="center"/>
              <w:rPr>
                <w:sz w:val="24"/>
              </w:rPr>
            </w:pPr>
            <w:r>
              <w:rPr>
                <w:sz w:val="24"/>
              </w:rPr>
              <w:t>5,50</w:t>
            </w:r>
          </w:p>
        </w:tc>
        <w:tc>
          <w:tcPr>
            <w:tcW w:w="1178" w:type="dxa"/>
          </w:tcPr>
          <w:p>
            <w:pPr>
              <w:pStyle w:val="TableParagraph"/>
              <w:spacing w:line="270" w:lineRule="exact"/>
              <w:ind w:right="369"/>
              <w:jc w:val="right"/>
              <w:rPr>
                <w:sz w:val="24"/>
              </w:rPr>
            </w:pPr>
            <w:r>
              <w:rPr>
                <w:sz w:val="24"/>
              </w:rPr>
              <w:t>5,00</w:t>
            </w:r>
          </w:p>
        </w:tc>
        <w:tc>
          <w:tcPr>
            <w:tcW w:w="1515" w:type="dxa"/>
          </w:tcPr>
          <w:p>
            <w:pPr>
              <w:pStyle w:val="TableParagraph"/>
              <w:spacing w:line="270" w:lineRule="exact"/>
              <w:ind w:right="540"/>
              <w:jc w:val="right"/>
              <w:rPr>
                <w:sz w:val="24"/>
              </w:rPr>
            </w:pPr>
            <w:r>
              <w:rPr>
                <w:sz w:val="24"/>
              </w:rPr>
              <w:t>8,50</w:t>
            </w:r>
          </w:p>
        </w:tc>
        <w:tc>
          <w:tcPr>
            <w:tcW w:w="1387" w:type="dxa"/>
          </w:tcPr>
          <w:p>
            <w:pPr>
              <w:pStyle w:val="TableParagraph"/>
              <w:spacing w:line="270" w:lineRule="exact"/>
              <w:ind w:right="415"/>
              <w:jc w:val="right"/>
              <w:rPr>
                <w:sz w:val="24"/>
              </w:rPr>
            </w:pPr>
            <w:r>
              <w:rPr>
                <w:sz w:val="24"/>
              </w:rPr>
              <w:t>10,00</w:t>
            </w:r>
          </w:p>
        </w:tc>
        <w:tc>
          <w:tcPr>
            <w:tcW w:w="1666" w:type="dxa"/>
          </w:tcPr>
          <w:p>
            <w:pPr>
              <w:pStyle w:val="TableParagraph"/>
              <w:spacing w:line="270" w:lineRule="exact"/>
              <w:ind w:left="348" w:right="341"/>
              <w:jc w:val="center"/>
              <w:rPr>
                <w:sz w:val="24"/>
              </w:rPr>
            </w:pPr>
            <w:r>
              <w:rPr>
                <w:sz w:val="24"/>
              </w:rPr>
              <w:t>*10^12/L</w:t>
            </w:r>
          </w:p>
        </w:tc>
      </w:tr>
      <w:tr>
        <w:trPr>
          <w:trHeight w:val="300" w:hRule="atLeast"/>
        </w:trPr>
        <w:tc>
          <w:tcPr>
            <w:tcW w:w="1980" w:type="dxa"/>
          </w:tcPr>
          <w:p>
            <w:pPr>
              <w:pStyle w:val="TableParagraph"/>
              <w:spacing w:before="1"/>
              <w:ind w:left="122" w:right="119"/>
              <w:jc w:val="center"/>
              <w:rPr>
                <w:b/>
                <w:sz w:val="24"/>
              </w:rPr>
            </w:pPr>
            <w:r>
              <w:rPr>
                <w:b/>
                <w:sz w:val="24"/>
              </w:rPr>
              <w:t>Hématocrite</w:t>
            </w:r>
          </w:p>
        </w:tc>
        <w:tc>
          <w:tcPr>
            <w:tcW w:w="1335" w:type="dxa"/>
          </w:tcPr>
          <w:p>
            <w:pPr>
              <w:pStyle w:val="TableParagraph"/>
              <w:spacing w:line="273" w:lineRule="exact"/>
              <w:ind w:left="372" w:right="371"/>
              <w:jc w:val="center"/>
              <w:rPr>
                <w:sz w:val="24"/>
              </w:rPr>
            </w:pPr>
            <w:r>
              <w:rPr>
                <w:sz w:val="24"/>
              </w:rPr>
              <w:t>37,0</w:t>
            </w:r>
          </w:p>
        </w:tc>
        <w:tc>
          <w:tcPr>
            <w:tcW w:w="1178" w:type="dxa"/>
          </w:tcPr>
          <w:p>
            <w:pPr>
              <w:pStyle w:val="TableParagraph"/>
              <w:spacing w:line="273" w:lineRule="exact"/>
              <w:ind w:right="369"/>
              <w:jc w:val="right"/>
              <w:rPr>
                <w:sz w:val="24"/>
              </w:rPr>
            </w:pPr>
            <w:r>
              <w:rPr>
                <w:sz w:val="24"/>
              </w:rPr>
              <w:t>30,0</w:t>
            </w:r>
          </w:p>
        </w:tc>
        <w:tc>
          <w:tcPr>
            <w:tcW w:w="1515" w:type="dxa"/>
          </w:tcPr>
          <w:p>
            <w:pPr>
              <w:pStyle w:val="TableParagraph"/>
              <w:spacing w:line="273" w:lineRule="exact"/>
              <w:ind w:right="540"/>
              <w:jc w:val="right"/>
              <w:rPr>
                <w:sz w:val="24"/>
              </w:rPr>
            </w:pPr>
            <w:r>
              <w:rPr>
                <w:sz w:val="24"/>
              </w:rPr>
              <w:t>55,0</w:t>
            </w:r>
          </w:p>
        </w:tc>
        <w:tc>
          <w:tcPr>
            <w:tcW w:w="1387" w:type="dxa"/>
          </w:tcPr>
          <w:p>
            <w:pPr>
              <w:pStyle w:val="TableParagraph"/>
              <w:spacing w:line="273" w:lineRule="exact"/>
              <w:ind w:right="475"/>
              <w:jc w:val="right"/>
              <w:rPr>
                <w:sz w:val="24"/>
              </w:rPr>
            </w:pPr>
            <w:r>
              <w:rPr>
                <w:sz w:val="24"/>
              </w:rPr>
              <w:t>45,0</w:t>
            </w:r>
          </w:p>
        </w:tc>
        <w:tc>
          <w:tcPr>
            <w:tcW w:w="1666" w:type="dxa"/>
          </w:tcPr>
          <w:p>
            <w:pPr>
              <w:pStyle w:val="TableParagraph"/>
              <w:spacing w:line="273" w:lineRule="exact"/>
              <w:ind w:left="3"/>
              <w:jc w:val="center"/>
              <w:rPr>
                <w:sz w:val="24"/>
              </w:rPr>
            </w:pPr>
            <w:r>
              <w:rPr>
                <w:w w:val="99"/>
                <w:sz w:val="24"/>
              </w:rPr>
              <w:t>%</w:t>
            </w:r>
          </w:p>
        </w:tc>
      </w:tr>
      <w:tr>
        <w:trPr>
          <w:trHeight w:val="300" w:hRule="atLeast"/>
        </w:trPr>
        <w:tc>
          <w:tcPr>
            <w:tcW w:w="1980" w:type="dxa"/>
          </w:tcPr>
          <w:p>
            <w:pPr>
              <w:pStyle w:val="TableParagraph"/>
              <w:spacing w:line="275" w:lineRule="exact"/>
              <w:ind w:left="122" w:right="120"/>
              <w:jc w:val="center"/>
              <w:rPr>
                <w:b/>
                <w:sz w:val="24"/>
              </w:rPr>
            </w:pPr>
            <w:r>
              <w:rPr>
                <w:b/>
                <w:sz w:val="24"/>
              </w:rPr>
              <w:t>Hémoglobine</w:t>
            </w:r>
          </w:p>
        </w:tc>
        <w:tc>
          <w:tcPr>
            <w:tcW w:w="1335" w:type="dxa"/>
          </w:tcPr>
          <w:p>
            <w:pPr>
              <w:pStyle w:val="TableParagraph"/>
              <w:spacing w:line="270" w:lineRule="exact"/>
              <w:ind w:left="372" w:right="371"/>
              <w:jc w:val="center"/>
              <w:rPr>
                <w:sz w:val="24"/>
              </w:rPr>
            </w:pPr>
            <w:r>
              <w:rPr>
                <w:sz w:val="24"/>
              </w:rPr>
              <w:t>12,0</w:t>
            </w:r>
          </w:p>
        </w:tc>
        <w:tc>
          <w:tcPr>
            <w:tcW w:w="1178" w:type="dxa"/>
          </w:tcPr>
          <w:p>
            <w:pPr>
              <w:pStyle w:val="TableParagraph"/>
              <w:spacing w:line="270" w:lineRule="exact"/>
              <w:ind w:left="416" w:right="412"/>
              <w:jc w:val="center"/>
              <w:rPr>
                <w:sz w:val="24"/>
              </w:rPr>
            </w:pPr>
            <w:r>
              <w:rPr>
                <w:sz w:val="24"/>
              </w:rPr>
              <w:t>9,0</w:t>
            </w:r>
          </w:p>
        </w:tc>
        <w:tc>
          <w:tcPr>
            <w:tcW w:w="1515" w:type="dxa"/>
          </w:tcPr>
          <w:p>
            <w:pPr>
              <w:pStyle w:val="TableParagraph"/>
              <w:spacing w:line="270" w:lineRule="exact"/>
              <w:ind w:right="540"/>
              <w:jc w:val="right"/>
              <w:rPr>
                <w:sz w:val="24"/>
              </w:rPr>
            </w:pPr>
            <w:r>
              <w:rPr>
                <w:sz w:val="24"/>
              </w:rPr>
              <w:t>18,0</w:t>
            </w:r>
          </w:p>
        </w:tc>
        <w:tc>
          <w:tcPr>
            <w:tcW w:w="1387" w:type="dxa"/>
          </w:tcPr>
          <w:p>
            <w:pPr>
              <w:pStyle w:val="TableParagraph"/>
              <w:spacing w:line="270" w:lineRule="exact"/>
              <w:ind w:right="475"/>
              <w:jc w:val="right"/>
              <w:rPr>
                <w:sz w:val="24"/>
              </w:rPr>
            </w:pPr>
            <w:r>
              <w:rPr>
                <w:sz w:val="24"/>
              </w:rPr>
              <w:t>15,1</w:t>
            </w:r>
          </w:p>
        </w:tc>
        <w:tc>
          <w:tcPr>
            <w:tcW w:w="1666" w:type="dxa"/>
          </w:tcPr>
          <w:p>
            <w:pPr>
              <w:pStyle w:val="TableParagraph"/>
              <w:spacing w:line="270" w:lineRule="exact"/>
              <w:ind w:left="343" w:right="341"/>
              <w:jc w:val="center"/>
              <w:rPr>
                <w:sz w:val="24"/>
              </w:rPr>
            </w:pPr>
            <w:r>
              <w:rPr>
                <w:sz w:val="24"/>
              </w:rPr>
              <w:t>g/dL</w:t>
            </w:r>
          </w:p>
        </w:tc>
      </w:tr>
      <w:tr>
        <w:trPr>
          <w:trHeight w:val="300" w:hRule="atLeast"/>
        </w:trPr>
        <w:tc>
          <w:tcPr>
            <w:tcW w:w="1980" w:type="dxa"/>
          </w:tcPr>
          <w:p>
            <w:pPr>
              <w:pStyle w:val="TableParagraph"/>
              <w:spacing w:line="275" w:lineRule="exact"/>
              <w:ind w:left="122" w:right="121"/>
              <w:jc w:val="center"/>
              <w:rPr>
                <w:b/>
                <w:sz w:val="24"/>
              </w:rPr>
            </w:pPr>
            <w:r>
              <w:rPr>
                <w:b/>
                <w:sz w:val="24"/>
              </w:rPr>
              <w:t>Réticulocytes</w:t>
            </w:r>
          </w:p>
        </w:tc>
        <w:tc>
          <w:tcPr>
            <w:tcW w:w="1335" w:type="dxa"/>
          </w:tcPr>
          <w:p>
            <w:pPr>
              <w:pStyle w:val="TableParagraph"/>
              <w:spacing w:line="270" w:lineRule="exact"/>
              <w:ind w:left="373" w:right="371"/>
              <w:jc w:val="center"/>
              <w:rPr>
                <w:sz w:val="24"/>
              </w:rPr>
            </w:pPr>
            <w:r>
              <w:rPr>
                <w:sz w:val="24"/>
              </w:rPr>
              <w:t>10,0</w:t>
            </w:r>
          </w:p>
        </w:tc>
        <w:tc>
          <w:tcPr>
            <w:tcW w:w="1178" w:type="dxa"/>
          </w:tcPr>
          <w:p>
            <w:pPr>
              <w:pStyle w:val="TableParagraph"/>
              <w:spacing w:line="270" w:lineRule="exact"/>
              <w:ind w:left="416" w:right="412"/>
              <w:jc w:val="center"/>
              <w:rPr>
                <w:sz w:val="24"/>
              </w:rPr>
            </w:pPr>
            <w:r>
              <w:rPr>
                <w:sz w:val="24"/>
              </w:rPr>
              <w:t>3,0</w:t>
            </w:r>
          </w:p>
        </w:tc>
        <w:tc>
          <w:tcPr>
            <w:tcW w:w="1515" w:type="dxa"/>
          </w:tcPr>
          <w:p>
            <w:pPr>
              <w:pStyle w:val="TableParagraph"/>
              <w:spacing w:line="270" w:lineRule="exact"/>
              <w:ind w:right="480"/>
              <w:jc w:val="right"/>
              <w:rPr>
                <w:sz w:val="24"/>
              </w:rPr>
            </w:pPr>
            <w:r>
              <w:rPr>
                <w:sz w:val="24"/>
              </w:rPr>
              <w:t>110.0</w:t>
            </w:r>
          </w:p>
        </w:tc>
        <w:tc>
          <w:tcPr>
            <w:tcW w:w="1387" w:type="dxa"/>
          </w:tcPr>
          <w:p>
            <w:pPr>
              <w:pStyle w:val="TableParagraph"/>
              <w:spacing w:line="270" w:lineRule="exact"/>
              <w:ind w:right="475"/>
              <w:jc w:val="right"/>
              <w:rPr>
                <w:sz w:val="24"/>
              </w:rPr>
            </w:pPr>
            <w:r>
              <w:rPr>
                <w:sz w:val="24"/>
              </w:rPr>
              <w:t>50,0</w:t>
            </w:r>
          </w:p>
        </w:tc>
        <w:tc>
          <w:tcPr>
            <w:tcW w:w="1666" w:type="dxa"/>
          </w:tcPr>
          <w:p>
            <w:pPr>
              <w:pStyle w:val="TableParagraph"/>
              <w:spacing w:line="270" w:lineRule="exact"/>
              <w:ind w:left="346" w:right="341"/>
              <w:jc w:val="center"/>
              <w:rPr>
                <w:sz w:val="24"/>
              </w:rPr>
            </w:pPr>
            <w:r>
              <w:rPr>
                <w:sz w:val="24"/>
              </w:rPr>
              <w:t>K/µL</w:t>
            </w:r>
          </w:p>
        </w:tc>
      </w:tr>
      <w:tr>
        <w:trPr>
          <w:trHeight w:val="300" w:hRule="atLeast"/>
        </w:trPr>
        <w:tc>
          <w:tcPr>
            <w:tcW w:w="1980" w:type="dxa"/>
          </w:tcPr>
          <w:p>
            <w:pPr>
              <w:pStyle w:val="TableParagraph"/>
              <w:spacing w:line="275" w:lineRule="exact"/>
              <w:ind w:left="121" w:right="121"/>
              <w:jc w:val="center"/>
              <w:rPr>
                <w:b/>
                <w:sz w:val="24"/>
              </w:rPr>
            </w:pPr>
            <w:r>
              <w:rPr>
                <w:b/>
                <w:sz w:val="24"/>
              </w:rPr>
              <w:t>Leucocytes</w:t>
            </w:r>
          </w:p>
        </w:tc>
        <w:tc>
          <w:tcPr>
            <w:tcW w:w="1335" w:type="dxa"/>
          </w:tcPr>
          <w:p>
            <w:pPr>
              <w:pStyle w:val="TableParagraph"/>
              <w:spacing w:line="270" w:lineRule="exact"/>
              <w:ind w:left="373" w:right="371"/>
              <w:jc w:val="center"/>
              <w:rPr>
                <w:sz w:val="24"/>
              </w:rPr>
            </w:pPr>
            <w:r>
              <w:rPr>
                <w:sz w:val="24"/>
              </w:rPr>
              <w:t>5,50</w:t>
            </w:r>
          </w:p>
        </w:tc>
        <w:tc>
          <w:tcPr>
            <w:tcW w:w="1178" w:type="dxa"/>
          </w:tcPr>
          <w:p>
            <w:pPr>
              <w:pStyle w:val="TableParagraph"/>
              <w:spacing w:line="270" w:lineRule="exact"/>
              <w:ind w:right="369"/>
              <w:jc w:val="right"/>
              <w:rPr>
                <w:sz w:val="24"/>
              </w:rPr>
            </w:pPr>
            <w:r>
              <w:rPr>
                <w:sz w:val="24"/>
              </w:rPr>
              <w:t>5,82</w:t>
            </w:r>
          </w:p>
        </w:tc>
        <w:tc>
          <w:tcPr>
            <w:tcW w:w="1515" w:type="dxa"/>
          </w:tcPr>
          <w:p>
            <w:pPr>
              <w:pStyle w:val="TableParagraph"/>
              <w:spacing w:line="270" w:lineRule="exact"/>
              <w:ind w:right="480"/>
              <w:jc w:val="right"/>
              <w:rPr>
                <w:sz w:val="24"/>
              </w:rPr>
            </w:pPr>
            <w:r>
              <w:rPr>
                <w:sz w:val="24"/>
              </w:rPr>
              <w:t>16,90</w:t>
            </w:r>
          </w:p>
        </w:tc>
        <w:tc>
          <w:tcPr>
            <w:tcW w:w="1387" w:type="dxa"/>
          </w:tcPr>
          <w:p>
            <w:pPr>
              <w:pStyle w:val="TableParagraph"/>
              <w:spacing w:line="270" w:lineRule="exact"/>
              <w:ind w:right="475"/>
              <w:jc w:val="right"/>
              <w:rPr>
                <w:sz w:val="24"/>
              </w:rPr>
            </w:pPr>
            <w:r>
              <w:rPr>
                <w:sz w:val="24"/>
              </w:rPr>
              <w:t>19,5</w:t>
            </w:r>
          </w:p>
        </w:tc>
        <w:tc>
          <w:tcPr>
            <w:tcW w:w="1666" w:type="dxa"/>
            <w:vMerge w:val="restart"/>
          </w:tcPr>
          <w:p>
            <w:pPr>
              <w:pStyle w:val="TableParagraph"/>
              <w:spacing w:line="270" w:lineRule="exact"/>
              <w:ind w:left="427"/>
              <w:rPr>
                <w:sz w:val="24"/>
              </w:rPr>
            </w:pPr>
            <w:r>
              <w:rPr>
                <w:sz w:val="24"/>
              </w:rPr>
              <w:t>*10^9/L</w:t>
            </w:r>
          </w:p>
        </w:tc>
      </w:tr>
      <w:tr>
        <w:trPr>
          <w:trHeight w:val="300" w:hRule="atLeast"/>
        </w:trPr>
        <w:tc>
          <w:tcPr>
            <w:tcW w:w="1980" w:type="dxa"/>
          </w:tcPr>
          <w:p>
            <w:pPr>
              <w:pStyle w:val="TableParagraph"/>
              <w:spacing w:line="275" w:lineRule="exact"/>
              <w:ind w:left="122" w:right="121"/>
              <w:jc w:val="center"/>
              <w:rPr>
                <w:b/>
                <w:sz w:val="24"/>
              </w:rPr>
            </w:pPr>
            <w:r>
              <w:rPr>
                <w:b/>
                <w:sz w:val="24"/>
              </w:rPr>
              <w:t>Neutrophiles</w:t>
            </w:r>
          </w:p>
        </w:tc>
        <w:tc>
          <w:tcPr>
            <w:tcW w:w="1335" w:type="dxa"/>
          </w:tcPr>
          <w:p>
            <w:pPr>
              <w:pStyle w:val="TableParagraph"/>
              <w:spacing w:line="270" w:lineRule="exact"/>
              <w:ind w:left="372" w:right="371"/>
              <w:jc w:val="center"/>
              <w:rPr>
                <w:sz w:val="24"/>
              </w:rPr>
            </w:pPr>
            <w:r>
              <w:rPr>
                <w:sz w:val="24"/>
              </w:rPr>
              <w:t>2,00</w:t>
            </w:r>
          </w:p>
        </w:tc>
        <w:tc>
          <w:tcPr>
            <w:tcW w:w="1178" w:type="dxa"/>
          </w:tcPr>
          <w:p>
            <w:pPr>
              <w:pStyle w:val="TableParagraph"/>
              <w:spacing w:line="270" w:lineRule="exact"/>
              <w:ind w:right="369"/>
              <w:jc w:val="right"/>
              <w:rPr>
                <w:sz w:val="24"/>
              </w:rPr>
            </w:pPr>
            <w:r>
              <w:rPr>
                <w:sz w:val="24"/>
              </w:rPr>
              <w:t>2,50</w:t>
            </w:r>
          </w:p>
        </w:tc>
        <w:tc>
          <w:tcPr>
            <w:tcW w:w="1515" w:type="dxa"/>
          </w:tcPr>
          <w:p>
            <w:pPr>
              <w:pStyle w:val="TableParagraph"/>
              <w:spacing w:line="270" w:lineRule="exact"/>
              <w:ind w:right="480"/>
              <w:jc w:val="right"/>
              <w:rPr>
                <w:sz w:val="24"/>
              </w:rPr>
            </w:pPr>
            <w:r>
              <w:rPr>
                <w:sz w:val="24"/>
              </w:rPr>
              <w:t>12,00</w:t>
            </w:r>
          </w:p>
        </w:tc>
        <w:tc>
          <w:tcPr>
            <w:tcW w:w="1387" w:type="dxa"/>
          </w:tcPr>
          <w:p>
            <w:pPr>
              <w:pStyle w:val="TableParagraph"/>
              <w:spacing w:line="270" w:lineRule="exact"/>
              <w:ind w:right="415"/>
              <w:jc w:val="right"/>
              <w:rPr>
                <w:sz w:val="24"/>
              </w:rPr>
            </w:pPr>
            <w:r>
              <w:rPr>
                <w:sz w:val="24"/>
              </w:rPr>
              <w:t>12,50</w:t>
            </w:r>
          </w:p>
        </w:tc>
        <w:tc>
          <w:tcPr>
            <w:tcW w:w="1666" w:type="dxa"/>
            <w:vMerge/>
            <w:tcBorders>
              <w:top w:val="nil"/>
            </w:tcBorders>
          </w:tcPr>
          <w:p>
            <w:pPr>
              <w:rPr>
                <w:sz w:val="2"/>
                <w:szCs w:val="2"/>
              </w:rPr>
            </w:pPr>
          </w:p>
        </w:tc>
      </w:tr>
      <w:tr>
        <w:trPr>
          <w:trHeight w:val="300" w:hRule="atLeast"/>
        </w:trPr>
        <w:tc>
          <w:tcPr>
            <w:tcW w:w="1980" w:type="dxa"/>
          </w:tcPr>
          <w:p>
            <w:pPr>
              <w:pStyle w:val="TableParagraph"/>
              <w:spacing w:before="1"/>
              <w:ind w:left="121" w:right="121"/>
              <w:jc w:val="center"/>
              <w:rPr>
                <w:b/>
                <w:sz w:val="24"/>
              </w:rPr>
            </w:pPr>
            <w:r>
              <w:rPr>
                <w:b/>
                <w:sz w:val="24"/>
              </w:rPr>
              <w:t>Lymphocytes</w:t>
            </w:r>
          </w:p>
        </w:tc>
        <w:tc>
          <w:tcPr>
            <w:tcW w:w="1335" w:type="dxa"/>
          </w:tcPr>
          <w:p>
            <w:pPr>
              <w:pStyle w:val="TableParagraph"/>
              <w:spacing w:line="273" w:lineRule="exact"/>
              <w:ind w:left="372" w:right="371"/>
              <w:jc w:val="center"/>
              <w:rPr>
                <w:sz w:val="24"/>
              </w:rPr>
            </w:pPr>
            <w:r>
              <w:rPr>
                <w:sz w:val="24"/>
              </w:rPr>
              <w:t>0,50</w:t>
            </w:r>
          </w:p>
        </w:tc>
        <w:tc>
          <w:tcPr>
            <w:tcW w:w="1178" w:type="dxa"/>
          </w:tcPr>
          <w:p>
            <w:pPr>
              <w:pStyle w:val="TableParagraph"/>
              <w:spacing w:line="273" w:lineRule="exact"/>
              <w:ind w:right="369"/>
              <w:jc w:val="right"/>
              <w:rPr>
                <w:sz w:val="24"/>
              </w:rPr>
            </w:pPr>
            <w:r>
              <w:rPr>
                <w:sz w:val="24"/>
              </w:rPr>
              <w:t>0,40</w:t>
            </w:r>
          </w:p>
        </w:tc>
        <w:tc>
          <w:tcPr>
            <w:tcW w:w="1515" w:type="dxa"/>
          </w:tcPr>
          <w:p>
            <w:pPr>
              <w:pStyle w:val="TableParagraph"/>
              <w:spacing w:line="273" w:lineRule="exact"/>
              <w:ind w:right="540"/>
              <w:jc w:val="right"/>
              <w:rPr>
                <w:sz w:val="24"/>
              </w:rPr>
            </w:pPr>
            <w:r>
              <w:rPr>
                <w:sz w:val="24"/>
              </w:rPr>
              <w:t>4,90</w:t>
            </w:r>
          </w:p>
        </w:tc>
        <w:tc>
          <w:tcPr>
            <w:tcW w:w="1387" w:type="dxa"/>
          </w:tcPr>
          <w:p>
            <w:pPr>
              <w:pStyle w:val="TableParagraph"/>
              <w:spacing w:line="273" w:lineRule="exact"/>
              <w:ind w:right="475"/>
              <w:jc w:val="right"/>
              <w:rPr>
                <w:sz w:val="24"/>
              </w:rPr>
            </w:pPr>
            <w:r>
              <w:rPr>
                <w:sz w:val="24"/>
              </w:rPr>
              <w:t>6,80</w:t>
            </w:r>
          </w:p>
        </w:tc>
        <w:tc>
          <w:tcPr>
            <w:tcW w:w="1666" w:type="dxa"/>
            <w:vMerge/>
            <w:tcBorders>
              <w:top w:val="nil"/>
            </w:tcBorders>
          </w:tcPr>
          <w:p>
            <w:pPr>
              <w:rPr>
                <w:sz w:val="2"/>
                <w:szCs w:val="2"/>
              </w:rPr>
            </w:pPr>
          </w:p>
        </w:tc>
      </w:tr>
      <w:tr>
        <w:trPr>
          <w:trHeight w:val="300" w:hRule="atLeast"/>
        </w:trPr>
        <w:tc>
          <w:tcPr>
            <w:tcW w:w="1980" w:type="dxa"/>
          </w:tcPr>
          <w:p>
            <w:pPr>
              <w:pStyle w:val="TableParagraph"/>
              <w:spacing w:line="275" w:lineRule="exact"/>
              <w:ind w:left="122" w:right="121"/>
              <w:jc w:val="center"/>
              <w:rPr>
                <w:b/>
                <w:sz w:val="24"/>
              </w:rPr>
            </w:pPr>
            <w:r>
              <w:rPr>
                <w:b/>
                <w:sz w:val="24"/>
              </w:rPr>
              <w:t>Monocytes</w:t>
            </w:r>
          </w:p>
        </w:tc>
        <w:tc>
          <w:tcPr>
            <w:tcW w:w="1335" w:type="dxa"/>
          </w:tcPr>
          <w:p>
            <w:pPr>
              <w:pStyle w:val="TableParagraph"/>
              <w:spacing w:line="270" w:lineRule="exact"/>
              <w:ind w:left="372" w:right="371"/>
              <w:jc w:val="center"/>
              <w:rPr>
                <w:sz w:val="24"/>
              </w:rPr>
            </w:pPr>
            <w:r>
              <w:rPr>
                <w:sz w:val="24"/>
              </w:rPr>
              <w:t>0,30</w:t>
            </w:r>
          </w:p>
        </w:tc>
        <w:tc>
          <w:tcPr>
            <w:tcW w:w="1178" w:type="dxa"/>
          </w:tcPr>
          <w:p>
            <w:pPr>
              <w:pStyle w:val="TableParagraph"/>
              <w:spacing w:line="270" w:lineRule="exact"/>
              <w:ind w:right="369"/>
              <w:jc w:val="right"/>
              <w:rPr>
                <w:sz w:val="24"/>
              </w:rPr>
            </w:pPr>
            <w:r>
              <w:rPr>
                <w:sz w:val="24"/>
              </w:rPr>
              <w:t>0,15</w:t>
            </w:r>
          </w:p>
        </w:tc>
        <w:tc>
          <w:tcPr>
            <w:tcW w:w="1515" w:type="dxa"/>
          </w:tcPr>
          <w:p>
            <w:pPr>
              <w:pStyle w:val="TableParagraph"/>
              <w:spacing w:line="270" w:lineRule="exact"/>
              <w:ind w:right="540"/>
              <w:jc w:val="right"/>
              <w:rPr>
                <w:sz w:val="24"/>
              </w:rPr>
            </w:pPr>
            <w:r>
              <w:rPr>
                <w:sz w:val="24"/>
              </w:rPr>
              <w:t>2,00</w:t>
            </w:r>
          </w:p>
        </w:tc>
        <w:tc>
          <w:tcPr>
            <w:tcW w:w="1387" w:type="dxa"/>
          </w:tcPr>
          <w:p>
            <w:pPr>
              <w:pStyle w:val="TableParagraph"/>
              <w:spacing w:line="270" w:lineRule="exact"/>
              <w:ind w:right="475"/>
              <w:jc w:val="right"/>
              <w:rPr>
                <w:sz w:val="24"/>
              </w:rPr>
            </w:pPr>
            <w:r>
              <w:rPr>
                <w:sz w:val="24"/>
              </w:rPr>
              <w:t>1,70</w:t>
            </w:r>
          </w:p>
        </w:tc>
        <w:tc>
          <w:tcPr>
            <w:tcW w:w="1666" w:type="dxa"/>
            <w:vMerge/>
            <w:tcBorders>
              <w:top w:val="nil"/>
            </w:tcBorders>
          </w:tcPr>
          <w:p>
            <w:pPr>
              <w:rPr>
                <w:sz w:val="2"/>
                <w:szCs w:val="2"/>
              </w:rPr>
            </w:pPr>
          </w:p>
        </w:tc>
      </w:tr>
      <w:tr>
        <w:trPr>
          <w:trHeight w:val="300" w:hRule="atLeast"/>
        </w:trPr>
        <w:tc>
          <w:tcPr>
            <w:tcW w:w="1980" w:type="dxa"/>
          </w:tcPr>
          <w:p>
            <w:pPr>
              <w:pStyle w:val="TableParagraph"/>
              <w:spacing w:line="275" w:lineRule="exact"/>
              <w:ind w:left="122" w:right="117"/>
              <w:jc w:val="center"/>
              <w:rPr>
                <w:b/>
                <w:sz w:val="24"/>
              </w:rPr>
            </w:pPr>
            <w:r>
              <w:rPr>
                <w:b/>
                <w:sz w:val="24"/>
              </w:rPr>
              <w:t>Eosinophiles</w:t>
            </w:r>
          </w:p>
        </w:tc>
        <w:tc>
          <w:tcPr>
            <w:tcW w:w="1335" w:type="dxa"/>
          </w:tcPr>
          <w:p>
            <w:pPr>
              <w:pStyle w:val="TableParagraph"/>
              <w:spacing w:line="270" w:lineRule="exact"/>
              <w:ind w:left="372" w:right="371"/>
              <w:jc w:val="center"/>
              <w:rPr>
                <w:sz w:val="24"/>
              </w:rPr>
            </w:pPr>
            <w:r>
              <w:rPr>
                <w:sz w:val="24"/>
              </w:rPr>
              <w:t>0,10</w:t>
            </w:r>
          </w:p>
        </w:tc>
        <w:tc>
          <w:tcPr>
            <w:tcW w:w="1178" w:type="dxa"/>
          </w:tcPr>
          <w:p>
            <w:pPr>
              <w:pStyle w:val="TableParagraph"/>
              <w:spacing w:line="270" w:lineRule="exact"/>
              <w:ind w:right="369"/>
              <w:jc w:val="right"/>
              <w:rPr>
                <w:sz w:val="24"/>
              </w:rPr>
            </w:pPr>
            <w:r>
              <w:rPr>
                <w:sz w:val="24"/>
              </w:rPr>
              <w:t>0,10</w:t>
            </w:r>
          </w:p>
        </w:tc>
        <w:tc>
          <w:tcPr>
            <w:tcW w:w="1515" w:type="dxa"/>
          </w:tcPr>
          <w:p>
            <w:pPr>
              <w:pStyle w:val="TableParagraph"/>
              <w:spacing w:line="270" w:lineRule="exact"/>
              <w:ind w:right="540"/>
              <w:jc w:val="right"/>
              <w:rPr>
                <w:sz w:val="24"/>
              </w:rPr>
            </w:pPr>
            <w:r>
              <w:rPr>
                <w:sz w:val="24"/>
              </w:rPr>
              <w:t>1,49</w:t>
            </w:r>
          </w:p>
        </w:tc>
        <w:tc>
          <w:tcPr>
            <w:tcW w:w="1387" w:type="dxa"/>
          </w:tcPr>
          <w:p>
            <w:pPr>
              <w:pStyle w:val="TableParagraph"/>
              <w:spacing w:line="270" w:lineRule="exact"/>
              <w:ind w:right="475"/>
              <w:jc w:val="right"/>
              <w:rPr>
                <w:sz w:val="24"/>
              </w:rPr>
            </w:pPr>
            <w:r>
              <w:rPr>
                <w:sz w:val="24"/>
              </w:rPr>
              <w:t>0,79</w:t>
            </w:r>
          </w:p>
        </w:tc>
        <w:tc>
          <w:tcPr>
            <w:tcW w:w="1666" w:type="dxa"/>
            <w:vMerge/>
            <w:tcBorders>
              <w:top w:val="nil"/>
            </w:tcBorders>
          </w:tcPr>
          <w:p>
            <w:pPr>
              <w:rPr>
                <w:sz w:val="2"/>
                <w:szCs w:val="2"/>
              </w:rPr>
            </w:pPr>
          </w:p>
        </w:tc>
      </w:tr>
      <w:tr>
        <w:trPr>
          <w:trHeight w:val="300" w:hRule="atLeast"/>
        </w:trPr>
        <w:tc>
          <w:tcPr>
            <w:tcW w:w="1980" w:type="dxa"/>
          </w:tcPr>
          <w:p>
            <w:pPr>
              <w:pStyle w:val="TableParagraph"/>
              <w:spacing w:line="275" w:lineRule="exact"/>
              <w:ind w:left="122" w:right="121"/>
              <w:jc w:val="center"/>
              <w:rPr>
                <w:b/>
                <w:sz w:val="24"/>
              </w:rPr>
            </w:pPr>
            <w:r>
              <w:rPr>
                <w:b/>
                <w:sz w:val="24"/>
              </w:rPr>
              <w:t>Basophiles</w:t>
            </w:r>
          </w:p>
        </w:tc>
        <w:tc>
          <w:tcPr>
            <w:tcW w:w="1335" w:type="dxa"/>
          </w:tcPr>
          <w:p>
            <w:pPr>
              <w:pStyle w:val="TableParagraph"/>
              <w:spacing w:line="270" w:lineRule="exact"/>
              <w:ind w:left="373" w:right="371"/>
              <w:jc w:val="center"/>
              <w:rPr>
                <w:sz w:val="24"/>
              </w:rPr>
            </w:pPr>
            <w:r>
              <w:rPr>
                <w:sz w:val="24"/>
              </w:rPr>
              <w:t>0,00</w:t>
            </w:r>
          </w:p>
        </w:tc>
        <w:tc>
          <w:tcPr>
            <w:tcW w:w="1178" w:type="dxa"/>
          </w:tcPr>
          <w:p>
            <w:pPr>
              <w:pStyle w:val="TableParagraph"/>
              <w:spacing w:line="270" w:lineRule="exact"/>
              <w:ind w:right="369"/>
              <w:jc w:val="right"/>
              <w:rPr>
                <w:sz w:val="24"/>
              </w:rPr>
            </w:pPr>
            <w:r>
              <w:rPr>
                <w:sz w:val="24"/>
              </w:rPr>
              <w:t>0,00</w:t>
            </w:r>
          </w:p>
        </w:tc>
        <w:tc>
          <w:tcPr>
            <w:tcW w:w="1515" w:type="dxa"/>
          </w:tcPr>
          <w:p>
            <w:pPr>
              <w:pStyle w:val="TableParagraph"/>
              <w:spacing w:line="270" w:lineRule="exact"/>
              <w:ind w:right="540"/>
              <w:jc w:val="right"/>
              <w:rPr>
                <w:sz w:val="24"/>
              </w:rPr>
            </w:pPr>
            <w:r>
              <w:rPr>
                <w:sz w:val="24"/>
              </w:rPr>
              <w:t>0,10</w:t>
            </w:r>
          </w:p>
        </w:tc>
        <w:tc>
          <w:tcPr>
            <w:tcW w:w="1387" w:type="dxa"/>
          </w:tcPr>
          <w:p>
            <w:pPr>
              <w:pStyle w:val="TableParagraph"/>
              <w:spacing w:line="270" w:lineRule="exact"/>
              <w:ind w:right="506"/>
              <w:jc w:val="right"/>
              <w:rPr>
                <w:sz w:val="24"/>
              </w:rPr>
            </w:pPr>
            <w:r>
              <w:rPr>
                <w:sz w:val="24"/>
              </w:rPr>
              <w:t>0,1,</w:t>
            </w:r>
          </w:p>
        </w:tc>
        <w:tc>
          <w:tcPr>
            <w:tcW w:w="1666" w:type="dxa"/>
            <w:vMerge/>
            <w:tcBorders>
              <w:top w:val="nil"/>
            </w:tcBorders>
          </w:tcPr>
          <w:p>
            <w:pPr>
              <w:rPr>
                <w:sz w:val="2"/>
                <w:szCs w:val="2"/>
              </w:rPr>
            </w:pPr>
          </w:p>
        </w:tc>
      </w:tr>
      <w:tr>
        <w:trPr>
          <w:trHeight w:val="300" w:hRule="atLeast"/>
        </w:trPr>
        <w:tc>
          <w:tcPr>
            <w:tcW w:w="1980" w:type="dxa"/>
          </w:tcPr>
          <w:p>
            <w:pPr>
              <w:pStyle w:val="TableParagraph"/>
              <w:spacing w:line="275" w:lineRule="exact"/>
              <w:ind w:left="122" w:right="121"/>
              <w:jc w:val="center"/>
              <w:rPr>
                <w:b/>
                <w:sz w:val="24"/>
              </w:rPr>
            </w:pPr>
            <w:r>
              <w:rPr>
                <w:b/>
                <w:sz w:val="24"/>
              </w:rPr>
              <w:t>Plaquettes</w:t>
            </w:r>
          </w:p>
        </w:tc>
        <w:tc>
          <w:tcPr>
            <w:tcW w:w="1335" w:type="dxa"/>
          </w:tcPr>
          <w:p>
            <w:pPr>
              <w:pStyle w:val="TableParagraph"/>
              <w:spacing w:line="270" w:lineRule="exact"/>
              <w:ind w:left="373" w:right="368"/>
              <w:jc w:val="center"/>
              <w:rPr>
                <w:sz w:val="24"/>
              </w:rPr>
            </w:pPr>
            <w:r>
              <w:rPr>
                <w:sz w:val="24"/>
              </w:rPr>
              <w:t>175</w:t>
            </w:r>
          </w:p>
        </w:tc>
        <w:tc>
          <w:tcPr>
            <w:tcW w:w="1178" w:type="dxa"/>
          </w:tcPr>
          <w:p>
            <w:pPr>
              <w:pStyle w:val="TableParagraph"/>
              <w:spacing w:line="270" w:lineRule="exact"/>
              <w:ind w:right="401"/>
              <w:jc w:val="right"/>
              <w:rPr>
                <w:sz w:val="24"/>
              </w:rPr>
            </w:pPr>
            <w:r>
              <w:rPr>
                <w:sz w:val="24"/>
              </w:rPr>
              <w:t>175</w:t>
            </w:r>
          </w:p>
        </w:tc>
        <w:tc>
          <w:tcPr>
            <w:tcW w:w="1515" w:type="dxa"/>
          </w:tcPr>
          <w:p>
            <w:pPr>
              <w:pStyle w:val="TableParagraph"/>
              <w:spacing w:line="270" w:lineRule="exact"/>
              <w:ind w:right="569"/>
              <w:jc w:val="right"/>
              <w:rPr>
                <w:sz w:val="24"/>
              </w:rPr>
            </w:pPr>
            <w:r>
              <w:rPr>
                <w:sz w:val="24"/>
              </w:rPr>
              <w:t>500</w:t>
            </w:r>
          </w:p>
        </w:tc>
        <w:tc>
          <w:tcPr>
            <w:tcW w:w="1387" w:type="dxa"/>
          </w:tcPr>
          <w:p>
            <w:pPr>
              <w:pStyle w:val="TableParagraph"/>
              <w:spacing w:line="270" w:lineRule="exact"/>
              <w:ind w:right="506"/>
              <w:jc w:val="right"/>
              <w:rPr>
                <w:sz w:val="24"/>
              </w:rPr>
            </w:pPr>
            <w:r>
              <w:rPr>
                <w:sz w:val="24"/>
              </w:rPr>
              <w:t>600</w:t>
            </w:r>
          </w:p>
        </w:tc>
        <w:tc>
          <w:tcPr>
            <w:tcW w:w="1666" w:type="dxa"/>
          </w:tcPr>
          <w:p>
            <w:pPr>
              <w:pStyle w:val="TableParagraph"/>
              <w:spacing w:line="270" w:lineRule="exact"/>
              <w:ind w:left="346" w:right="341"/>
              <w:jc w:val="center"/>
              <w:rPr>
                <w:sz w:val="24"/>
              </w:rPr>
            </w:pPr>
            <w:r>
              <w:rPr>
                <w:sz w:val="24"/>
              </w:rPr>
              <w:t>K/µL</w:t>
            </w:r>
          </w:p>
        </w:tc>
      </w:tr>
      <w:tr>
        <w:trPr>
          <w:trHeight w:val="300" w:hRule="atLeast"/>
        </w:trPr>
        <w:tc>
          <w:tcPr>
            <w:tcW w:w="9062" w:type="dxa"/>
            <w:gridSpan w:val="6"/>
          </w:tcPr>
          <w:p>
            <w:pPr>
              <w:pStyle w:val="TableParagraph"/>
              <w:spacing w:before="1"/>
              <w:ind w:left="3056" w:right="3055"/>
              <w:jc w:val="center"/>
              <w:rPr>
                <w:b/>
                <w:i/>
                <w:sz w:val="24"/>
              </w:rPr>
            </w:pPr>
            <w:r>
              <w:rPr>
                <w:b/>
                <w:i/>
                <w:sz w:val="24"/>
              </w:rPr>
              <w:t>E</w:t>
            </w:r>
            <w:r>
              <w:rPr>
                <w:b/>
                <w:sz w:val="24"/>
              </w:rPr>
              <w:t>x</w:t>
            </w:r>
            <w:r>
              <w:rPr>
                <w:b/>
                <w:i/>
                <w:sz w:val="24"/>
              </w:rPr>
              <w:t>amen biochimique de base</w:t>
            </w:r>
          </w:p>
        </w:tc>
      </w:tr>
      <w:tr>
        <w:trPr>
          <w:trHeight w:val="300" w:hRule="atLeast"/>
        </w:trPr>
        <w:tc>
          <w:tcPr>
            <w:tcW w:w="1980" w:type="dxa"/>
          </w:tcPr>
          <w:p>
            <w:pPr>
              <w:pStyle w:val="TableParagraph"/>
              <w:spacing w:line="275" w:lineRule="exact"/>
              <w:ind w:left="122" w:right="120"/>
              <w:jc w:val="center"/>
              <w:rPr>
                <w:b/>
                <w:sz w:val="24"/>
              </w:rPr>
            </w:pPr>
            <w:r>
              <w:rPr>
                <w:b/>
                <w:sz w:val="24"/>
              </w:rPr>
              <w:t>Glucose</w:t>
            </w:r>
          </w:p>
        </w:tc>
        <w:tc>
          <w:tcPr>
            <w:tcW w:w="1335" w:type="dxa"/>
          </w:tcPr>
          <w:p>
            <w:pPr>
              <w:pStyle w:val="TableParagraph"/>
              <w:spacing w:line="270" w:lineRule="exact"/>
              <w:ind w:left="372" w:right="371"/>
              <w:jc w:val="center"/>
              <w:rPr>
                <w:sz w:val="24"/>
              </w:rPr>
            </w:pPr>
            <w:r>
              <w:rPr>
                <w:sz w:val="24"/>
              </w:rPr>
              <w:t>0,74</w:t>
            </w:r>
          </w:p>
        </w:tc>
        <w:tc>
          <w:tcPr>
            <w:tcW w:w="1178" w:type="dxa"/>
          </w:tcPr>
          <w:p>
            <w:pPr>
              <w:pStyle w:val="TableParagraph"/>
              <w:spacing w:line="270" w:lineRule="exact"/>
              <w:ind w:right="369"/>
              <w:jc w:val="right"/>
              <w:rPr>
                <w:sz w:val="24"/>
              </w:rPr>
            </w:pPr>
            <w:r>
              <w:rPr>
                <w:sz w:val="24"/>
              </w:rPr>
              <w:t>0,71</w:t>
            </w:r>
          </w:p>
        </w:tc>
        <w:tc>
          <w:tcPr>
            <w:tcW w:w="1515" w:type="dxa"/>
          </w:tcPr>
          <w:p>
            <w:pPr>
              <w:pStyle w:val="TableParagraph"/>
              <w:spacing w:line="270" w:lineRule="exact"/>
              <w:ind w:right="540"/>
              <w:jc w:val="right"/>
              <w:rPr>
                <w:sz w:val="24"/>
              </w:rPr>
            </w:pPr>
            <w:r>
              <w:rPr>
                <w:sz w:val="24"/>
              </w:rPr>
              <w:t>1,43</w:t>
            </w:r>
          </w:p>
        </w:tc>
        <w:tc>
          <w:tcPr>
            <w:tcW w:w="1387" w:type="dxa"/>
          </w:tcPr>
          <w:p>
            <w:pPr>
              <w:pStyle w:val="TableParagraph"/>
              <w:spacing w:line="270" w:lineRule="exact"/>
              <w:ind w:right="475"/>
              <w:jc w:val="right"/>
              <w:rPr>
                <w:sz w:val="24"/>
              </w:rPr>
            </w:pPr>
            <w:r>
              <w:rPr>
                <w:sz w:val="24"/>
              </w:rPr>
              <w:t>1,59</w:t>
            </w:r>
          </w:p>
        </w:tc>
        <w:tc>
          <w:tcPr>
            <w:tcW w:w="1666" w:type="dxa"/>
          </w:tcPr>
          <w:p>
            <w:pPr>
              <w:pStyle w:val="TableParagraph"/>
              <w:spacing w:line="270" w:lineRule="exact"/>
              <w:ind w:left="343" w:right="341"/>
              <w:jc w:val="center"/>
              <w:rPr>
                <w:sz w:val="24"/>
              </w:rPr>
            </w:pPr>
            <w:r>
              <w:rPr>
                <w:sz w:val="24"/>
              </w:rPr>
              <w:t>g/L</w:t>
            </w:r>
          </w:p>
        </w:tc>
      </w:tr>
      <w:tr>
        <w:trPr>
          <w:trHeight w:val="300" w:hRule="atLeast"/>
        </w:trPr>
        <w:tc>
          <w:tcPr>
            <w:tcW w:w="1980" w:type="dxa"/>
          </w:tcPr>
          <w:p>
            <w:pPr>
              <w:pStyle w:val="TableParagraph"/>
              <w:spacing w:line="275" w:lineRule="exact"/>
              <w:ind w:left="122" w:right="119"/>
              <w:jc w:val="center"/>
              <w:rPr>
                <w:b/>
                <w:sz w:val="24"/>
              </w:rPr>
            </w:pPr>
            <w:r>
              <w:rPr>
                <w:b/>
                <w:sz w:val="24"/>
              </w:rPr>
              <w:t>Urée</w:t>
            </w:r>
          </w:p>
        </w:tc>
        <w:tc>
          <w:tcPr>
            <w:tcW w:w="1335" w:type="dxa"/>
          </w:tcPr>
          <w:p>
            <w:pPr>
              <w:pStyle w:val="TableParagraph"/>
              <w:spacing w:line="270" w:lineRule="exact"/>
              <w:ind w:left="373" w:right="371"/>
              <w:jc w:val="center"/>
              <w:rPr>
                <w:sz w:val="24"/>
              </w:rPr>
            </w:pPr>
            <w:r>
              <w:rPr>
                <w:sz w:val="24"/>
              </w:rPr>
              <w:t>0,147</w:t>
            </w:r>
          </w:p>
        </w:tc>
        <w:tc>
          <w:tcPr>
            <w:tcW w:w="1178" w:type="dxa"/>
          </w:tcPr>
          <w:p>
            <w:pPr>
              <w:pStyle w:val="TableParagraph"/>
              <w:spacing w:line="270" w:lineRule="exact"/>
              <w:ind w:right="309"/>
              <w:jc w:val="right"/>
              <w:rPr>
                <w:sz w:val="24"/>
              </w:rPr>
            </w:pPr>
            <w:r>
              <w:rPr>
                <w:sz w:val="24"/>
              </w:rPr>
              <w:t>0,336</w:t>
            </w:r>
          </w:p>
        </w:tc>
        <w:tc>
          <w:tcPr>
            <w:tcW w:w="1515" w:type="dxa"/>
          </w:tcPr>
          <w:p>
            <w:pPr>
              <w:pStyle w:val="TableParagraph"/>
              <w:spacing w:line="270" w:lineRule="exact"/>
              <w:ind w:right="480"/>
              <w:jc w:val="right"/>
              <w:rPr>
                <w:sz w:val="24"/>
              </w:rPr>
            </w:pPr>
            <w:r>
              <w:rPr>
                <w:sz w:val="24"/>
              </w:rPr>
              <w:t>0,567</w:t>
            </w:r>
          </w:p>
        </w:tc>
        <w:tc>
          <w:tcPr>
            <w:tcW w:w="1387" w:type="dxa"/>
          </w:tcPr>
          <w:p>
            <w:pPr>
              <w:pStyle w:val="TableParagraph"/>
              <w:spacing w:line="270" w:lineRule="exact"/>
              <w:ind w:right="415"/>
              <w:jc w:val="right"/>
              <w:rPr>
                <w:sz w:val="24"/>
              </w:rPr>
            </w:pPr>
            <w:r>
              <w:rPr>
                <w:sz w:val="24"/>
              </w:rPr>
              <w:t>0,756</w:t>
            </w:r>
          </w:p>
        </w:tc>
        <w:tc>
          <w:tcPr>
            <w:tcW w:w="1666" w:type="dxa"/>
          </w:tcPr>
          <w:p>
            <w:pPr>
              <w:pStyle w:val="TableParagraph"/>
              <w:spacing w:line="270" w:lineRule="exact"/>
              <w:ind w:left="343" w:right="341"/>
              <w:jc w:val="center"/>
              <w:rPr>
                <w:sz w:val="24"/>
              </w:rPr>
            </w:pPr>
            <w:r>
              <w:rPr>
                <w:sz w:val="24"/>
              </w:rPr>
              <w:t>g/L</w:t>
            </w:r>
          </w:p>
        </w:tc>
      </w:tr>
      <w:tr>
        <w:trPr>
          <w:trHeight w:val="300" w:hRule="atLeast"/>
        </w:trPr>
        <w:tc>
          <w:tcPr>
            <w:tcW w:w="1980" w:type="dxa"/>
          </w:tcPr>
          <w:p>
            <w:pPr>
              <w:pStyle w:val="TableParagraph"/>
              <w:spacing w:line="275" w:lineRule="exact"/>
              <w:ind w:left="122" w:right="117"/>
              <w:jc w:val="center"/>
              <w:rPr>
                <w:b/>
                <w:sz w:val="24"/>
              </w:rPr>
            </w:pPr>
            <w:r>
              <w:rPr>
                <w:b/>
                <w:sz w:val="24"/>
              </w:rPr>
              <w:t>BUN</w:t>
            </w:r>
          </w:p>
        </w:tc>
        <w:tc>
          <w:tcPr>
            <w:tcW w:w="1335" w:type="dxa"/>
          </w:tcPr>
          <w:p>
            <w:pPr>
              <w:pStyle w:val="TableParagraph"/>
              <w:spacing w:line="270" w:lineRule="exact"/>
              <w:ind w:left="372" w:right="371"/>
              <w:jc w:val="center"/>
              <w:rPr>
                <w:sz w:val="24"/>
              </w:rPr>
            </w:pPr>
            <w:r>
              <w:rPr>
                <w:sz w:val="24"/>
              </w:rPr>
              <w:t>0,070</w:t>
            </w:r>
          </w:p>
        </w:tc>
        <w:tc>
          <w:tcPr>
            <w:tcW w:w="1178" w:type="dxa"/>
          </w:tcPr>
          <w:p>
            <w:pPr>
              <w:pStyle w:val="TableParagraph"/>
              <w:spacing w:line="270" w:lineRule="exact"/>
              <w:ind w:right="309"/>
              <w:jc w:val="right"/>
              <w:rPr>
                <w:sz w:val="24"/>
              </w:rPr>
            </w:pPr>
            <w:r>
              <w:rPr>
                <w:sz w:val="24"/>
              </w:rPr>
              <w:t>0,160</w:t>
            </w:r>
          </w:p>
        </w:tc>
        <w:tc>
          <w:tcPr>
            <w:tcW w:w="1515" w:type="dxa"/>
          </w:tcPr>
          <w:p>
            <w:pPr>
              <w:pStyle w:val="TableParagraph"/>
              <w:spacing w:line="270" w:lineRule="exact"/>
              <w:ind w:right="540"/>
              <w:jc w:val="right"/>
              <w:rPr>
                <w:sz w:val="24"/>
              </w:rPr>
            </w:pPr>
            <w:r>
              <w:rPr>
                <w:sz w:val="24"/>
              </w:rPr>
              <w:t>0,27</w:t>
            </w:r>
          </w:p>
        </w:tc>
        <w:tc>
          <w:tcPr>
            <w:tcW w:w="1387" w:type="dxa"/>
          </w:tcPr>
          <w:p>
            <w:pPr>
              <w:pStyle w:val="TableParagraph"/>
              <w:spacing w:line="270" w:lineRule="exact"/>
              <w:ind w:right="415"/>
              <w:jc w:val="right"/>
              <w:rPr>
                <w:sz w:val="24"/>
              </w:rPr>
            </w:pPr>
            <w:r>
              <w:rPr>
                <w:sz w:val="24"/>
              </w:rPr>
              <w:t>0,360</w:t>
            </w:r>
          </w:p>
        </w:tc>
        <w:tc>
          <w:tcPr>
            <w:tcW w:w="1666" w:type="dxa"/>
          </w:tcPr>
          <w:p>
            <w:pPr>
              <w:pStyle w:val="TableParagraph"/>
              <w:spacing w:line="270" w:lineRule="exact"/>
              <w:ind w:left="343" w:right="341"/>
              <w:jc w:val="center"/>
              <w:rPr>
                <w:sz w:val="24"/>
              </w:rPr>
            </w:pPr>
            <w:r>
              <w:rPr>
                <w:sz w:val="24"/>
              </w:rPr>
              <w:t>g/L</w:t>
            </w:r>
          </w:p>
        </w:tc>
      </w:tr>
      <w:tr>
        <w:trPr>
          <w:trHeight w:val="300" w:hRule="atLeast"/>
        </w:trPr>
        <w:tc>
          <w:tcPr>
            <w:tcW w:w="1980" w:type="dxa"/>
          </w:tcPr>
          <w:p>
            <w:pPr>
              <w:pStyle w:val="TableParagraph"/>
              <w:spacing w:line="275" w:lineRule="exact"/>
              <w:ind w:left="121" w:right="121"/>
              <w:jc w:val="center"/>
              <w:rPr>
                <w:b/>
                <w:sz w:val="24"/>
              </w:rPr>
            </w:pPr>
            <w:r>
              <w:rPr>
                <w:b/>
                <w:sz w:val="24"/>
              </w:rPr>
              <w:t>Créatinine</w:t>
            </w:r>
          </w:p>
        </w:tc>
        <w:tc>
          <w:tcPr>
            <w:tcW w:w="1335" w:type="dxa"/>
          </w:tcPr>
          <w:p>
            <w:pPr>
              <w:pStyle w:val="TableParagraph"/>
              <w:spacing w:line="270" w:lineRule="exact"/>
              <w:ind w:left="373" w:right="370"/>
              <w:jc w:val="center"/>
              <w:rPr>
                <w:sz w:val="24"/>
              </w:rPr>
            </w:pPr>
            <w:r>
              <w:rPr>
                <w:sz w:val="24"/>
              </w:rPr>
              <w:t>5,0</w:t>
            </w:r>
          </w:p>
        </w:tc>
        <w:tc>
          <w:tcPr>
            <w:tcW w:w="1178" w:type="dxa"/>
          </w:tcPr>
          <w:p>
            <w:pPr>
              <w:pStyle w:val="TableParagraph"/>
              <w:spacing w:line="270" w:lineRule="exact"/>
              <w:ind w:left="416" w:right="412"/>
              <w:jc w:val="center"/>
              <w:rPr>
                <w:sz w:val="24"/>
              </w:rPr>
            </w:pPr>
            <w:r>
              <w:rPr>
                <w:sz w:val="24"/>
              </w:rPr>
              <w:t>8,0</w:t>
            </w:r>
          </w:p>
        </w:tc>
        <w:tc>
          <w:tcPr>
            <w:tcW w:w="1515" w:type="dxa"/>
          </w:tcPr>
          <w:p>
            <w:pPr>
              <w:pStyle w:val="TableParagraph"/>
              <w:spacing w:line="270" w:lineRule="exact"/>
              <w:ind w:right="540"/>
              <w:jc w:val="right"/>
              <w:rPr>
                <w:sz w:val="24"/>
              </w:rPr>
            </w:pPr>
            <w:r>
              <w:rPr>
                <w:sz w:val="24"/>
              </w:rPr>
              <w:t>18,0</w:t>
            </w:r>
          </w:p>
        </w:tc>
        <w:tc>
          <w:tcPr>
            <w:tcW w:w="1387" w:type="dxa"/>
          </w:tcPr>
          <w:p>
            <w:pPr>
              <w:pStyle w:val="TableParagraph"/>
              <w:spacing w:line="270" w:lineRule="exact"/>
              <w:ind w:right="475"/>
              <w:jc w:val="right"/>
              <w:rPr>
                <w:sz w:val="24"/>
              </w:rPr>
            </w:pPr>
            <w:r>
              <w:rPr>
                <w:sz w:val="24"/>
              </w:rPr>
              <w:t>24,0</w:t>
            </w:r>
          </w:p>
        </w:tc>
        <w:tc>
          <w:tcPr>
            <w:tcW w:w="1666" w:type="dxa"/>
          </w:tcPr>
          <w:p>
            <w:pPr>
              <w:pStyle w:val="TableParagraph"/>
              <w:spacing w:line="270" w:lineRule="exact"/>
              <w:ind w:left="343" w:right="341"/>
              <w:jc w:val="center"/>
              <w:rPr>
                <w:sz w:val="24"/>
              </w:rPr>
            </w:pPr>
            <w:r>
              <w:rPr>
                <w:sz w:val="24"/>
              </w:rPr>
              <w:t>mg/L</w:t>
            </w:r>
          </w:p>
        </w:tc>
      </w:tr>
      <w:tr>
        <w:trPr>
          <w:trHeight w:val="300" w:hRule="atLeast"/>
        </w:trPr>
        <w:tc>
          <w:tcPr>
            <w:tcW w:w="1980" w:type="dxa"/>
          </w:tcPr>
          <w:p>
            <w:pPr>
              <w:pStyle w:val="TableParagraph"/>
              <w:spacing w:before="1"/>
              <w:ind w:left="122" w:right="121"/>
              <w:jc w:val="center"/>
              <w:rPr>
                <w:b/>
                <w:sz w:val="24"/>
              </w:rPr>
            </w:pPr>
            <w:r>
              <w:rPr>
                <w:b/>
                <w:sz w:val="24"/>
              </w:rPr>
              <w:t>Protéines totales</w:t>
            </w:r>
          </w:p>
        </w:tc>
        <w:tc>
          <w:tcPr>
            <w:tcW w:w="1335" w:type="dxa"/>
          </w:tcPr>
          <w:p>
            <w:pPr>
              <w:pStyle w:val="TableParagraph"/>
              <w:spacing w:line="273" w:lineRule="exact"/>
              <w:ind w:left="373" w:right="368"/>
              <w:jc w:val="center"/>
              <w:rPr>
                <w:sz w:val="24"/>
              </w:rPr>
            </w:pPr>
            <w:r>
              <w:rPr>
                <w:sz w:val="24"/>
              </w:rPr>
              <w:t>52</w:t>
            </w:r>
          </w:p>
        </w:tc>
        <w:tc>
          <w:tcPr>
            <w:tcW w:w="1178" w:type="dxa"/>
          </w:tcPr>
          <w:p>
            <w:pPr>
              <w:pStyle w:val="TableParagraph"/>
              <w:spacing w:line="273" w:lineRule="exact"/>
              <w:ind w:left="414" w:right="412"/>
              <w:jc w:val="center"/>
              <w:rPr>
                <w:sz w:val="24"/>
              </w:rPr>
            </w:pPr>
            <w:r>
              <w:rPr>
                <w:sz w:val="24"/>
              </w:rPr>
              <w:t>57</w:t>
            </w:r>
          </w:p>
        </w:tc>
        <w:tc>
          <w:tcPr>
            <w:tcW w:w="1515" w:type="dxa"/>
          </w:tcPr>
          <w:p>
            <w:pPr>
              <w:pStyle w:val="TableParagraph"/>
              <w:spacing w:line="273" w:lineRule="exact"/>
              <w:ind w:left="613" w:right="611"/>
              <w:jc w:val="center"/>
              <w:rPr>
                <w:sz w:val="24"/>
              </w:rPr>
            </w:pPr>
            <w:r>
              <w:rPr>
                <w:sz w:val="24"/>
              </w:rPr>
              <w:t>82</w:t>
            </w:r>
          </w:p>
        </w:tc>
        <w:tc>
          <w:tcPr>
            <w:tcW w:w="1387" w:type="dxa"/>
          </w:tcPr>
          <w:p>
            <w:pPr>
              <w:pStyle w:val="TableParagraph"/>
              <w:spacing w:line="273" w:lineRule="exact"/>
              <w:ind w:left="515" w:right="515"/>
              <w:jc w:val="center"/>
              <w:rPr>
                <w:sz w:val="24"/>
              </w:rPr>
            </w:pPr>
            <w:r>
              <w:rPr>
                <w:sz w:val="24"/>
              </w:rPr>
              <w:t>89</w:t>
            </w:r>
          </w:p>
        </w:tc>
        <w:tc>
          <w:tcPr>
            <w:tcW w:w="1666" w:type="dxa"/>
          </w:tcPr>
          <w:p>
            <w:pPr>
              <w:pStyle w:val="TableParagraph"/>
              <w:spacing w:line="273" w:lineRule="exact"/>
              <w:ind w:left="343" w:right="341"/>
              <w:jc w:val="center"/>
              <w:rPr>
                <w:sz w:val="24"/>
              </w:rPr>
            </w:pPr>
            <w:r>
              <w:rPr>
                <w:sz w:val="24"/>
              </w:rPr>
              <w:t>g/L</w:t>
            </w:r>
          </w:p>
        </w:tc>
      </w:tr>
      <w:tr>
        <w:trPr>
          <w:trHeight w:val="300" w:hRule="atLeast"/>
        </w:trPr>
        <w:tc>
          <w:tcPr>
            <w:tcW w:w="1980" w:type="dxa"/>
          </w:tcPr>
          <w:p>
            <w:pPr>
              <w:pStyle w:val="TableParagraph"/>
              <w:spacing w:line="275" w:lineRule="exact"/>
              <w:ind w:left="122" w:right="120"/>
              <w:jc w:val="center"/>
              <w:rPr>
                <w:b/>
                <w:sz w:val="24"/>
              </w:rPr>
            </w:pPr>
            <w:r>
              <w:rPr>
                <w:b/>
                <w:sz w:val="24"/>
              </w:rPr>
              <w:t>Albumine</w:t>
            </w:r>
          </w:p>
        </w:tc>
        <w:tc>
          <w:tcPr>
            <w:tcW w:w="1335" w:type="dxa"/>
          </w:tcPr>
          <w:p>
            <w:pPr>
              <w:pStyle w:val="TableParagraph"/>
              <w:spacing w:line="270" w:lineRule="exact"/>
              <w:ind w:left="373" w:right="368"/>
              <w:jc w:val="center"/>
              <w:rPr>
                <w:sz w:val="24"/>
              </w:rPr>
            </w:pPr>
            <w:r>
              <w:rPr>
                <w:sz w:val="24"/>
              </w:rPr>
              <w:t>23</w:t>
            </w:r>
          </w:p>
        </w:tc>
        <w:tc>
          <w:tcPr>
            <w:tcW w:w="1178" w:type="dxa"/>
          </w:tcPr>
          <w:p>
            <w:pPr>
              <w:pStyle w:val="TableParagraph"/>
              <w:spacing w:line="270" w:lineRule="exact"/>
              <w:ind w:left="414" w:right="412"/>
              <w:jc w:val="center"/>
              <w:rPr>
                <w:sz w:val="24"/>
              </w:rPr>
            </w:pPr>
            <w:r>
              <w:rPr>
                <w:sz w:val="24"/>
              </w:rPr>
              <w:t>23</w:t>
            </w:r>
          </w:p>
        </w:tc>
        <w:tc>
          <w:tcPr>
            <w:tcW w:w="1515" w:type="dxa"/>
          </w:tcPr>
          <w:p>
            <w:pPr>
              <w:pStyle w:val="TableParagraph"/>
              <w:spacing w:line="270" w:lineRule="exact"/>
              <w:ind w:left="613" w:right="611"/>
              <w:jc w:val="center"/>
              <w:rPr>
                <w:sz w:val="24"/>
              </w:rPr>
            </w:pPr>
            <w:r>
              <w:rPr>
                <w:sz w:val="24"/>
              </w:rPr>
              <w:t>40</w:t>
            </w:r>
          </w:p>
        </w:tc>
        <w:tc>
          <w:tcPr>
            <w:tcW w:w="1387" w:type="dxa"/>
          </w:tcPr>
          <w:p>
            <w:pPr>
              <w:pStyle w:val="TableParagraph"/>
              <w:spacing w:line="270" w:lineRule="exact"/>
              <w:ind w:left="515" w:right="515"/>
              <w:jc w:val="center"/>
              <w:rPr>
                <w:sz w:val="24"/>
              </w:rPr>
            </w:pPr>
            <w:r>
              <w:rPr>
                <w:sz w:val="24"/>
              </w:rPr>
              <w:t>39</w:t>
            </w:r>
          </w:p>
        </w:tc>
        <w:tc>
          <w:tcPr>
            <w:tcW w:w="1666" w:type="dxa"/>
          </w:tcPr>
          <w:p>
            <w:pPr>
              <w:pStyle w:val="TableParagraph"/>
              <w:spacing w:line="270" w:lineRule="exact"/>
              <w:ind w:left="343" w:right="341"/>
              <w:jc w:val="center"/>
              <w:rPr>
                <w:sz w:val="24"/>
              </w:rPr>
            </w:pPr>
            <w:r>
              <w:rPr>
                <w:sz w:val="24"/>
              </w:rPr>
              <w:t>g/L</w:t>
            </w:r>
          </w:p>
        </w:tc>
      </w:tr>
      <w:tr>
        <w:trPr>
          <w:trHeight w:val="300" w:hRule="atLeast"/>
        </w:trPr>
        <w:tc>
          <w:tcPr>
            <w:tcW w:w="1980" w:type="dxa"/>
          </w:tcPr>
          <w:p>
            <w:pPr>
              <w:pStyle w:val="TableParagraph"/>
              <w:spacing w:line="275" w:lineRule="exact"/>
              <w:ind w:left="122" w:right="118"/>
              <w:jc w:val="center"/>
              <w:rPr>
                <w:b/>
                <w:sz w:val="24"/>
              </w:rPr>
            </w:pPr>
            <w:r>
              <w:rPr>
                <w:b/>
                <w:sz w:val="24"/>
              </w:rPr>
              <w:t>Globuline</w:t>
            </w:r>
          </w:p>
        </w:tc>
        <w:tc>
          <w:tcPr>
            <w:tcW w:w="1335" w:type="dxa"/>
          </w:tcPr>
          <w:p>
            <w:pPr>
              <w:pStyle w:val="TableParagraph"/>
              <w:spacing w:line="270" w:lineRule="exact"/>
              <w:ind w:left="373" w:right="368"/>
              <w:jc w:val="center"/>
              <w:rPr>
                <w:sz w:val="24"/>
              </w:rPr>
            </w:pPr>
            <w:r>
              <w:rPr>
                <w:sz w:val="24"/>
              </w:rPr>
              <w:t>25</w:t>
            </w:r>
          </w:p>
        </w:tc>
        <w:tc>
          <w:tcPr>
            <w:tcW w:w="1178" w:type="dxa"/>
          </w:tcPr>
          <w:p>
            <w:pPr>
              <w:pStyle w:val="TableParagraph"/>
              <w:spacing w:line="270" w:lineRule="exact"/>
              <w:ind w:left="414" w:right="412"/>
              <w:jc w:val="center"/>
              <w:rPr>
                <w:sz w:val="24"/>
              </w:rPr>
            </w:pPr>
            <w:r>
              <w:rPr>
                <w:sz w:val="24"/>
              </w:rPr>
              <w:t>28</w:t>
            </w:r>
          </w:p>
        </w:tc>
        <w:tc>
          <w:tcPr>
            <w:tcW w:w="1515" w:type="dxa"/>
          </w:tcPr>
          <w:p>
            <w:pPr>
              <w:pStyle w:val="TableParagraph"/>
              <w:spacing w:line="270" w:lineRule="exact"/>
              <w:ind w:left="613" w:right="611"/>
              <w:jc w:val="center"/>
              <w:rPr>
                <w:sz w:val="24"/>
              </w:rPr>
            </w:pPr>
            <w:r>
              <w:rPr>
                <w:sz w:val="24"/>
              </w:rPr>
              <w:t>45</w:t>
            </w:r>
          </w:p>
        </w:tc>
        <w:tc>
          <w:tcPr>
            <w:tcW w:w="1387" w:type="dxa"/>
          </w:tcPr>
          <w:p>
            <w:pPr>
              <w:pStyle w:val="TableParagraph"/>
              <w:spacing w:line="270" w:lineRule="exact"/>
              <w:ind w:left="515" w:right="515"/>
              <w:jc w:val="center"/>
              <w:rPr>
                <w:sz w:val="24"/>
              </w:rPr>
            </w:pPr>
            <w:r>
              <w:rPr>
                <w:sz w:val="24"/>
              </w:rPr>
              <w:t>51</w:t>
            </w:r>
          </w:p>
        </w:tc>
        <w:tc>
          <w:tcPr>
            <w:tcW w:w="1666" w:type="dxa"/>
          </w:tcPr>
          <w:p>
            <w:pPr>
              <w:pStyle w:val="TableParagraph"/>
              <w:spacing w:line="270" w:lineRule="exact"/>
              <w:ind w:left="343" w:right="341"/>
              <w:jc w:val="center"/>
              <w:rPr>
                <w:sz w:val="24"/>
              </w:rPr>
            </w:pPr>
            <w:r>
              <w:rPr>
                <w:sz w:val="24"/>
              </w:rPr>
              <w:t>g/L</w:t>
            </w:r>
          </w:p>
        </w:tc>
      </w:tr>
      <w:tr>
        <w:trPr>
          <w:trHeight w:val="300" w:hRule="atLeast"/>
        </w:trPr>
        <w:tc>
          <w:tcPr>
            <w:tcW w:w="1980" w:type="dxa"/>
          </w:tcPr>
          <w:p>
            <w:pPr>
              <w:pStyle w:val="TableParagraph"/>
              <w:spacing w:line="275" w:lineRule="exact"/>
              <w:ind w:left="122" w:right="121"/>
              <w:jc w:val="center"/>
              <w:rPr>
                <w:b/>
                <w:sz w:val="24"/>
              </w:rPr>
            </w:pPr>
            <w:r>
              <w:rPr>
                <w:b/>
                <w:sz w:val="24"/>
              </w:rPr>
              <w:t>ALAT</w:t>
            </w:r>
          </w:p>
        </w:tc>
        <w:tc>
          <w:tcPr>
            <w:tcW w:w="1335" w:type="dxa"/>
          </w:tcPr>
          <w:p>
            <w:pPr>
              <w:pStyle w:val="TableParagraph"/>
              <w:spacing w:line="270" w:lineRule="exact"/>
              <w:ind w:left="373" w:right="368"/>
              <w:jc w:val="center"/>
              <w:rPr>
                <w:sz w:val="24"/>
              </w:rPr>
            </w:pPr>
            <w:r>
              <w:rPr>
                <w:sz w:val="24"/>
              </w:rPr>
              <w:t>10</w:t>
            </w:r>
          </w:p>
        </w:tc>
        <w:tc>
          <w:tcPr>
            <w:tcW w:w="1178" w:type="dxa"/>
          </w:tcPr>
          <w:p>
            <w:pPr>
              <w:pStyle w:val="TableParagraph"/>
              <w:spacing w:line="270" w:lineRule="exact"/>
              <w:ind w:left="414" w:right="412"/>
              <w:jc w:val="center"/>
              <w:rPr>
                <w:sz w:val="24"/>
              </w:rPr>
            </w:pPr>
            <w:r>
              <w:rPr>
                <w:sz w:val="24"/>
              </w:rPr>
              <w:t>12</w:t>
            </w:r>
          </w:p>
        </w:tc>
        <w:tc>
          <w:tcPr>
            <w:tcW w:w="1515" w:type="dxa"/>
          </w:tcPr>
          <w:p>
            <w:pPr>
              <w:pStyle w:val="TableParagraph"/>
              <w:spacing w:line="270" w:lineRule="exact"/>
              <w:ind w:right="569"/>
              <w:jc w:val="right"/>
              <w:rPr>
                <w:sz w:val="24"/>
              </w:rPr>
            </w:pPr>
            <w:r>
              <w:rPr>
                <w:sz w:val="24"/>
              </w:rPr>
              <w:t>100</w:t>
            </w:r>
          </w:p>
        </w:tc>
        <w:tc>
          <w:tcPr>
            <w:tcW w:w="1387" w:type="dxa"/>
          </w:tcPr>
          <w:p>
            <w:pPr>
              <w:pStyle w:val="TableParagraph"/>
              <w:spacing w:line="270" w:lineRule="exact"/>
              <w:ind w:right="506"/>
              <w:jc w:val="right"/>
              <w:rPr>
                <w:sz w:val="24"/>
              </w:rPr>
            </w:pPr>
            <w:r>
              <w:rPr>
                <w:sz w:val="24"/>
              </w:rPr>
              <w:t>130</w:t>
            </w:r>
          </w:p>
        </w:tc>
        <w:tc>
          <w:tcPr>
            <w:tcW w:w="1666" w:type="dxa"/>
          </w:tcPr>
          <w:p>
            <w:pPr>
              <w:pStyle w:val="TableParagraph"/>
              <w:spacing w:line="270" w:lineRule="exact"/>
              <w:ind w:left="346" w:right="341"/>
              <w:jc w:val="center"/>
              <w:rPr>
                <w:sz w:val="24"/>
              </w:rPr>
            </w:pPr>
            <w:r>
              <w:rPr>
                <w:sz w:val="24"/>
              </w:rPr>
              <w:t>U/L</w:t>
            </w:r>
          </w:p>
        </w:tc>
      </w:tr>
      <w:tr>
        <w:trPr>
          <w:trHeight w:val="300" w:hRule="atLeast"/>
        </w:trPr>
        <w:tc>
          <w:tcPr>
            <w:tcW w:w="1980" w:type="dxa"/>
          </w:tcPr>
          <w:p>
            <w:pPr>
              <w:pStyle w:val="TableParagraph"/>
              <w:spacing w:line="275" w:lineRule="exact"/>
              <w:ind w:left="121" w:right="121"/>
              <w:jc w:val="center"/>
              <w:rPr>
                <w:b/>
                <w:sz w:val="24"/>
              </w:rPr>
            </w:pPr>
            <w:r>
              <w:rPr>
                <w:b/>
                <w:sz w:val="24"/>
              </w:rPr>
              <w:t>PAL</w:t>
            </w:r>
          </w:p>
        </w:tc>
        <w:tc>
          <w:tcPr>
            <w:tcW w:w="1335" w:type="dxa"/>
          </w:tcPr>
          <w:p>
            <w:pPr>
              <w:pStyle w:val="TableParagraph"/>
              <w:spacing w:line="270" w:lineRule="exact"/>
              <w:ind w:left="373" w:right="368"/>
              <w:jc w:val="center"/>
              <w:rPr>
                <w:sz w:val="24"/>
              </w:rPr>
            </w:pPr>
            <w:r>
              <w:rPr>
                <w:sz w:val="24"/>
              </w:rPr>
              <w:t>23</w:t>
            </w:r>
          </w:p>
        </w:tc>
        <w:tc>
          <w:tcPr>
            <w:tcW w:w="1178" w:type="dxa"/>
          </w:tcPr>
          <w:p>
            <w:pPr>
              <w:pStyle w:val="TableParagraph"/>
              <w:spacing w:line="270" w:lineRule="exact"/>
              <w:ind w:left="414" w:right="412"/>
              <w:jc w:val="center"/>
              <w:rPr>
                <w:sz w:val="24"/>
              </w:rPr>
            </w:pPr>
            <w:r>
              <w:rPr>
                <w:sz w:val="24"/>
              </w:rPr>
              <w:t>14</w:t>
            </w:r>
          </w:p>
        </w:tc>
        <w:tc>
          <w:tcPr>
            <w:tcW w:w="1515" w:type="dxa"/>
          </w:tcPr>
          <w:p>
            <w:pPr>
              <w:pStyle w:val="TableParagraph"/>
              <w:spacing w:line="270" w:lineRule="exact"/>
              <w:ind w:right="569"/>
              <w:jc w:val="right"/>
              <w:rPr>
                <w:sz w:val="24"/>
              </w:rPr>
            </w:pPr>
            <w:r>
              <w:rPr>
                <w:sz w:val="24"/>
              </w:rPr>
              <w:t>212</w:t>
            </w:r>
          </w:p>
        </w:tc>
        <w:tc>
          <w:tcPr>
            <w:tcW w:w="1387" w:type="dxa"/>
          </w:tcPr>
          <w:p>
            <w:pPr>
              <w:pStyle w:val="TableParagraph"/>
              <w:spacing w:line="270" w:lineRule="exact"/>
              <w:ind w:right="506"/>
              <w:jc w:val="right"/>
              <w:rPr>
                <w:sz w:val="24"/>
              </w:rPr>
            </w:pPr>
            <w:r>
              <w:rPr>
                <w:sz w:val="24"/>
              </w:rPr>
              <w:t>111</w:t>
            </w:r>
          </w:p>
        </w:tc>
        <w:tc>
          <w:tcPr>
            <w:tcW w:w="1666" w:type="dxa"/>
          </w:tcPr>
          <w:p>
            <w:pPr>
              <w:pStyle w:val="TableParagraph"/>
              <w:spacing w:line="270" w:lineRule="exact"/>
              <w:ind w:left="346" w:right="341"/>
              <w:jc w:val="center"/>
              <w:rPr>
                <w:sz w:val="24"/>
              </w:rPr>
            </w:pPr>
            <w:r>
              <w:rPr>
                <w:sz w:val="24"/>
              </w:rPr>
              <w:t>U/L</w:t>
            </w:r>
          </w:p>
        </w:tc>
      </w:tr>
    </w:tbl>
    <w:p>
      <w:pPr>
        <w:spacing w:after="0" w:line="270" w:lineRule="exact"/>
        <w:jc w:val="center"/>
        <w:rPr>
          <w:sz w:val="24"/>
        </w:rPr>
        <w:sectPr>
          <w:pgSz w:w="11910" w:h="16840"/>
          <w:pgMar w:header="0" w:footer="995" w:top="1320" w:bottom="1240" w:left="1300" w:right="1300"/>
        </w:sectPr>
      </w:pPr>
    </w:p>
    <w:p>
      <w:pPr>
        <w:spacing w:line="259" w:lineRule="auto" w:before="73"/>
        <w:ind w:left="3469" w:right="135" w:hanging="3327"/>
        <w:jc w:val="left"/>
        <w:rPr>
          <w:b/>
          <w:sz w:val="28"/>
        </w:rPr>
      </w:pPr>
      <w:bookmarkStart w:name="_bookmark236" w:id="410"/>
      <w:bookmarkEnd w:id="410"/>
      <w:r>
        <w:rPr/>
      </w:r>
      <w:r>
        <w:rPr>
          <w:b/>
          <w:sz w:val="28"/>
          <w:u w:val="thick"/>
        </w:rPr>
        <w:t>Annexe 5 : Statuts de performance permettant de sélectionner les patients à</w:t>
      </w:r>
      <w:r>
        <w:rPr>
          <w:b/>
          <w:sz w:val="28"/>
        </w:rPr>
        <w:t> </w:t>
      </w:r>
      <w:r>
        <w:rPr>
          <w:b/>
          <w:sz w:val="28"/>
          <w:u w:val="thick"/>
        </w:rPr>
        <w:t>inclure dans l’étude</w:t>
      </w:r>
    </w:p>
    <w:p>
      <w:pPr>
        <w:pStyle w:val="BodyText"/>
        <w:rPr>
          <w:b/>
          <w:sz w:val="20"/>
        </w:rPr>
      </w:pPr>
    </w:p>
    <w:p>
      <w:pPr>
        <w:spacing w:before="225"/>
        <w:ind w:left="538" w:right="0" w:firstLine="0"/>
        <w:jc w:val="left"/>
        <w:rPr>
          <w:i/>
          <w:sz w:val="24"/>
        </w:rPr>
      </w:pPr>
      <w:r>
        <w:rPr>
          <w:i/>
          <w:sz w:val="24"/>
        </w:rPr>
        <w:t>(Inspirés de l’Eastern Cooperative Oncology Group (ECOG), adaptés pour l’animal)</w:t>
      </w:r>
    </w:p>
    <w:p>
      <w:pPr>
        <w:pStyle w:val="BodyText"/>
        <w:rPr>
          <w:i/>
          <w:sz w:val="20"/>
        </w:rPr>
      </w:pPr>
    </w:p>
    <w:p>
      <w:pPr>
        <w:pStyle w:val="BodyText"/>
        <w:rPr>
          <w:i/>
          <w:sz w:val="20"/>
        </w:rPr>
      </w:pPr>
    </w:p>
    <w:p>
      <w:pPr>
        <w:pStyle w:val="BodyText"/>
        <w:spacing w:before="9"/>
        <w:rPr>
          <w:i/>
          <w:sz w:val="17"/>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7790"/>
      </w:tblGrid>
      <w:tr>
        <w:trPr>
          <w:trHeight w:val="300" w:hRule="atLeast"/>
        </w:trPr>
        <w:tc>
          <w:tcPr>
            <w:tcW w:w="1272" w:type="dxa"/>
          </w:tcPr>
          <w:p>
            <w:pPr>
              <w:pStyle w:val="TableParagraph"/>
              <w:spacing w:before="1"/>
              <w:ind w:left="285" w:right="282"/>
              <w:jc w:val="center"/>
              <w:rPr>
                <w:b/>
                <w:sz w:val="24"/>
              </w:rPr>
            </w:pPr>
            <w:r>
              <w:rPr>
                <w:b/>
                <w:sz w:val="24"/>
              </w:rPr>
              <w:t>Grade</w:t>
            </w:r>
          </w:p>
        </w:tc>
        <w:tc>
          <w:tcPr>
            <w:tcW w:w="7790" w:type="dxa"/>
          </w:tcPr>
          <w:p>
            <w:pPr>
              <w:pStyle w:val="TableParagraph"/>
              <w:spacing w:before="1"/>
              <w:ind w:left="90" w:right="97"/>
              <w:jc w:val="center"/>
              <w:rPr>
                <w:b/>
                <w:sz w:val="24"/>
              </w:rPr>
            </w:pPr>
            <w:r>
              <w:rPr>
                <w:b/>
                <w:sz w:val="24"/>
              </w:rPr>
              <w:t>Statuts de performance ECOG adaptés pour l’animal</w:t>
            </w:r>
          </w:p>
        </w:tc>
      </w:tr>
      <w:tr>
        <w:trPr>
          <w:trHeight w:val="620" w:hRule="atLeast"/>
        </w:trPr>
        <w:tc>
          <w:tcPr>
            <w:tcW w:w="1272" w:type="dxa"/>
          </w:tcPr>
          <w:p>
            <w:pPr>
              <w:pStyle w:val="TableParagraph"/>
              <w:spacing w:line="270" w:lineRule="exact"/>
              <w:ind w:left="4"/>
              <w:jc w:val="center"/>
              <w:rPr>
                <w:sz w:val="24"/>
              </w:rPr>
            </w:pPr>
            <w:r>
              <w:rPr>
                <w:sz w:val="24"/>
              </w:rPr>
              <w:t>0</w:t>
            </w:r>
          </w:p>
        </w:tc>
        <w:tc>
          <w:tcPr>
            <w:tcW w:w="7790" w:type="dxa"/>
          </w:tcPr>
          <w:p>
            <w:pPr>
              <w:pStyle w:val="TableParagraph"/>
              <w:spacing w:line="270" w:lineRule="exact"/>
              <w:ind w:left="96" w:right="97"/>
              <w:jc w:val="center"/>
              <w:rPr>
                <w:sz w:val="24"/>
              </w:rPr>
            </w:pPr>
            <w:r>
              <w:rPr>
                <w:sz w:val="24"/>
              </w:rPr>
              <w:t>Complètement actif – capable de réaliser les activités antérieures à la maladie</w:t>
            </w:r>
          </w:p>
          <w:p>
            <w:pPr>
              <w:pStyle w:val="TableParagraph"/>
              <w:spacing w:before="41"/>
              <w:ind w:left="96" w:right="97"/>
              <w:jc w:val="center"/>
              <w:rPr>
                <w:sz w:val="24"/>
              </w:rPr>
            </w:pPr>
            <w:r>
              <w:rPr>
                <w:sz w:val="24"/>
              </w:rPr>
              <w:t>sans restriction</w:t>
            </w:r>
          </w:p>
        </w:tc>
      </w:tr>
      <w:tr>
        <w:trPr>
          <w:trHeight w:val="620" w:hRule="atLeast"/>
        </w:trPr>
        <w:tc>
          <w:tcPr>
            <w:tcW w:w="1272" w:type="dxa"/>
          </w:tcPr>
          <w:p>
            <w:pPr>
              <w:pStyle w:val="TableParagraph"/>
              <w:spacing w:line="273" w:lineRule="exact"/>
              <w:ind w:left="4"/>
              <w:jc w:val="center"/>
              <w:rPr>
                <w:sz w:val="24"/>
              </w:rPr>
            </w:pPr>
            <w:r>
              <w:rPr>
                <w:sz w:val="24"/>
              </w:rPr>
              <w:t>1</w:t>
            </w:r>
          </w:p>
        </w:tc>
        <w:tc>
          <w:tcPr>
            <w:tcW w:w="7790" w:type="dxa"/>
          </w:tcPr>
          <w:p>
            <w:pPr>
              <w:pStyle w:val="TableParagraph"/>
              <w:spacing w:line="273" w:lineRule="exact"/>
              <w:ind w:left="97" w:right="97"/>
              <w:jc w:val="center"/>
              <w:rPr>
                <w:sz w:val="24"/>
              </w:rPr>
            </w:pPr>
            <w:r>
              <w:rPr>
                <w:sz w:val="24"/>
              </w:rPr>
              <w:t>Moins actif qu’avant la maladie mais toujours de l’entrain pour les activités de</w:t>
            </w:r>
          </w:p>
          <w:p>
            <w:pPr>
              <w:pStyle w:val="TableParagraph"/>
              <w:spacing w:before="41"/>
              <w:ind w:left="96" w:right="97"/>
              <w:jc w:val="center"/>
              <w:rPr>
                <w:sz w:val="24"/>
              </w:rPr>
            </w:pPr>
            <w:r>
              <w:rPr>
                <w:sz w:val="24"/>
              </w:rPr>
              <w:t>jeu et de promenades</w:t>
            </w:r>
          </w:p>
        </w:tc>
      </w:tr>
      <w:tr>
        <w:trPr>
          <w:trHeight w:val="300" w:hRule="atLeast"/>
        </w:trPr>
        <w:tc>
          <w:tcPr>
            <w:tcW w:w="1272" w:type="dxa"/>
          </w:tcPr>
          <w:p>
            <w:pPr>
              <w:pStyle w:val="TableParagraph"/>
              <w:spacing w:line="270" w:lineRule="exact"/>
              <w:ind w:left="4"/>
              <w:jc w:val="center"/>
              <w:rPr>
                <w:sz w:val="24"/>
              </w:rPr>
            </w:pPr>
            <w:r>
              <w:rPr>
                <w:sz w:val="24"/>
              </w:rPr>
              <w:t>2</w:t>
            </w:r>
          </w:p>
        </w:tc>
        <w:tc>
          <w:tcPr>
            <w:tcW w:w="7790" w:type="dxa"/>
          </w:tcPr>
          <w:p>
            <w:pPr>
              <w:pStyle w:val="TableParagraph"/>
              <w:spacing w:line="270" w:lineRule="exact"/>
              <w:ind w:left="95" w:right="97"/>
              <w:jc w:val="center"/>
              <w:rPr>
                <w:sz w:val="24"/>
              </w:rPr>
            </w:pPr>
            <w:r>
              <w:rPr>
                <w:sz w:val="24"/>
              </w:rPr>
              <w:t>Ambulatoire et propre – peu d’entrain pour les jeux et les promenades</w:t>
            </w:r>
          </w:p>
        </w:tc>
      </w:tr>
      <w:tr>
        <w:trPr>
          <w:trHeight w:val="940" w:hRule="atLeast"/>
        </w:trPr>
        <w:tc>
          <w:tcPr>
            <w:tcW w:w="1272" w:type="dxa"/>
          </w:tcPr>
          <w:p>
            <w:pPr>
              <w:pStyle w:val="TableParagraph"/>
              <w:spacing w:line="273" w:lineRule="exact"/>
              <w:ind w:left="4"/>
              <w:jc w:val="center"/>
              <w:rPr>
                <w:sz w:val="24"/>
              </w:rPr>
            </w:pPr>
            <w:r>
              <w:rPr>
                <w:sz w:val="24"/>
              </w:rPr>
              <w:t>3</w:t>
            </w:r>
          </w:p>
        </w:tc>
        <w:tc>
          <w:tcPr>
            <w:tcW w:w="7790" w:type="dxa"/>
          </w:tcPr>
          <w:p>
            <w:pPr>
              <w:pStyle w:val="TableParagraph"/>
              <w:spacing w:line="273" w:lineRule="exact"/>
              <w:ind w:left="93" w:right="97"/>
              <w:jc w:val="center"/>
              <w:rPr>
                <w:sz w:val="24"/>
              </w:rPr>
            </w:pPr>
            <w:r>
              <w:rPr>
                <w:sz w:val="24"/>
              </w:rPr>
              <w:t>Activité sévèrement compromise (absence d’entrain pour les jeux et les</w:t>
            </w:r>
          </w:p>
          <w:p>
            <w:pPr>
              <w:pStyle w:val="TableParagraph"/>
              <w:spacing w:line="310" w:lineRule="atLeast" w:before="7"/>
              <w:ind w:left="96" w:right="97"/>
              <w:jc w:val="center"/>
              <w:rPr>
                <w:sz w:val="24"/>
              </w:rPr>
            </w:pPr>
            <w:r>
              <w:rPr>
                <w:sz w:val="24"/>
              </w:rPr>
              <w:t>promenades) - ambulatoire uniquement pour aller manger et pour les sorties hygiéniques</w:t>
            </w:r>
          </w:p>
        </w:tc>
      </w:tr>
      <w:tr>
        <w:trPr>
          <w:trHeight w:val="300" w:hRule="atLeast"/>
        </w:trPr>
        <w:tc>
          <w:tcPr>
            <w:tcW w:w="1272" w:type="dxa"/>
          </w:tcPr>
          <w:p>
            <w:pPr>
              <w:pStyle w:val="TableParagraph"/>
              <w:spacing w:line="273" w:lineRule="exact"/>
              <w:ind w:left="4"/>
              <w:jc w:val="center"/>
              <w:rPr>
                <w:sz w:val="24"/>
              </w:rPr>
            </w:pPr>
            <w:r>
              <w:rPr>
                <w:sz w:val="24"/>
              </w:rPr>
              <w:t>4</w:t>
            </w:r>
          </w:p>
        </w:tc>
        <w:tc>
          <w:tcPr>
            <w:tcW w:w="7790" w:type="dxa"/>
          </w:tcPr>
          <w:p>
            <w:pPr>
              <w:pStyle w:val="TableParagraph"/>
              <w:spacing w:line="273" w:lineRule="exact"/>
              <w:ind w:left="95" w:right="97"/>
              <w:jc w:val="center"/>
              <w:rPr>
                <w:sz w:val="24"/>
              </w:rPr>
            </w:pPr>
            <w:r>
              <w:rPr>
                <w:sz w:val="24"/>
              </w:rPr>
              <w:t>Complètement handicapé, doit être nourri de force, incontinent, amorphe</w:t>
            </w:r>
          </w:p>
        </w:tc>
      </w:tr>
      <w:tr>
        <w:trPr>
          <w:trHeight w:val="300" w:hRule="atLeast"/>
        </w:trPr>
        <w:tc>
          <w:tcPr>
            <w:tcW w:w="1272" w:type="dxa"/>
          </w:tcPr>
          <w:p>
            <w:pPr>
              <w:pStyle w:val="TableParagraph"/>
              <w:spacing w:line="270" w:lineRule="exact"/>
              <w:ind w:left="4"/>
              <w:jc w:val="center"/>
              <w:rPr>
                <w:sz w:val="24"/>
              </w:rPr>
            </w:pPr>
            <w:r>
              <w:rPr>
                <w:sz w:val="24"/>
              </w:rPr>
              <w:t>5</w:t>
            </w:r>
          </w:p>
        </w:tc>
        <w:tc>
          <w:tcPr>
            <w:tcW w:w="7790" w:type="dxa"/>
          </w:tcPr>
          <w:p>
            <w:pPr>
              <w:pStyle w:val="TableParagraph"/>
              <w:spacing w:line="270" w:lineRule="exact"/>
              <w:ind w:left="97" w:right="97"/>
              <w:jc w:val="center"/>
              <w:rPr>
                <w:sz w:val="24"/>
              </w:rPr>
            </w:pPr>
            <w:r>
              <w:rPr>
                <w:sz w:val="24"/>
              </w:rPr>
              <w:t>Mort</w:t>
            </w:r>
          </w:p>
        </w:tc>
      </w:tr>
    </w:tbl>
    <w:p>
      <w:pPr>
        <w:spacing w:after="0" w:line="270" w:lineRule="exact"/>
        <w:jc w:val="center"/>
        <w:rPr>
          <w:sz w:val="24"/>
        </w:rPr>
        <w:sectPr>
          <w:pgSz w:w="11910" w:h="16840"/>
          <w:pgMar w:header="0" w:footer="1055" w:top="1320" w:bottom="1180" w:left="1300" w:right="1300"/>
        </w:sectPr>
      </w:pPr>
    </w:p>
    <w:p>
      <w:pPr>
        <w:pStyle w:val="Heading3"/>
        <w:spacing w:before="73"/>
        <w:ind w:left="342" w:firstLine="0"/>
      </w:pPr>
      <w:r>
        <w:rPr/>
        <w:pict>
          <v:group style="position:absolute;margin-left:396.049988pt;margin-top:247.769989pt;width:109.5pt;height:171.3pt;mso-position-horizontal-relative:page;mso-position-vertical-relative:page;z-index:-263128" coordorigin="7921,4955" coordsize="2190,3426">
            <v:shape style="position:absolute;left:7977;top:4955;width:2085;height:1685" type="#_x0000_t75" stroked="false">
              <v:imagedata r:id="rId83" o:title=""/>
            </v:shape>
            <v:shape style="position:absolute;left:7921;top:6625;width:2190;height:1756" type="#_x0000_t75" stroked="false">
              <v:imagedata r:id="rId84" o:title=""/>
            </v:shape>
            <w10:wrap type="none"/>
          </v:group>
        </w:pict>
      </w:r>
      <w:bookmarkStart w:name="_bookmark237" w:id="411"/>
      <w:bookmarkEnd w:id="411"/>
      <w:r>
        <w:rPr>
          <w:b w:val="0"/>
        </w:rPr>
      </w:r>
      <w:r>
        <w:rPr>
          <w:u w:val="thick"/>
        </w:rPr>
        <w:t>Annexe 6 : Système de condition corporelle (Note d’Etat Corporel NEC)</w:t>
      </w:r>
    </w:p>
    <w:p>
      <w:pPr>
        <w:pStyle w:val="BodyText"/>
        <w:spacing w:before="10"/>
        <w:rPr>
          <w:b/>
          <w:sz w:val="21"/>
        </w:rPr>
      </w:pPr>
    </w:p>
    <w:p>
      <w:pPr>
        <w:spacing w:before="90"/>
        <w:ind w:left="980" w:right="0" w:firstLine="0"/>
        <w:jc w:val="left"/>
        <w:rPr>
          <w:i/>
          <w:sz w:val="24"/>
        </w:rPr>
      </w:pPr>
      <w:r>
        <w:rPr>
          <w:i/>
          <w:sz w:val="24"/>
        </w:rPr>
        <w:t>Traduction de la grille disponible dans l’ouvrage Withrow (2013), page 262</w:t>
      </w:r>
    </w:p>
    <w:p>
      <w:pPr>
        <w:pStyle w:val="BodyText"/>
        <w:rPr>
          <w:i/>
          <w:sz w:val="20"/>
        </w:rPr>
      </w:pPr>
    </w:p>
    <w:p>
      <w:pPr>
        <w:pStyle w:val="BodyText"/>
        <w:spacing w:before="9"/>
        <w:rPr>
          <w:i/>
          <w:sz w:val="11"/>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3"/>
        <w:gridCol w:w="336"/>
        <w:gridCol w:w="4854"/>
        <w:gridCol w:w="2991"/>
      </w:tblGrid>
      <w:tr>
        <w:trPr>
          <w:trHeight w:val="1100" w:hRule="atLeast"/>
        </w:trPr>
        <w:tc>
          <w:tcPr>
            <w:tcW w:w="883" w:type="dxa"/>
            <w:vMerge w:val="restart"/>
          </w:tcPr>
          <w:p>
            <w:pPr>
              <w:pStyle w:val="TableParagraph"/>
              <w:rPr>
                <w:i/>
                <w:sz w:val="26"/>
              </w:rPr>
            </w:pPr>
          </w:p>
          <w:p>
            <w:pPr>
              <w:pStyle w:val="TableParagraph"/>
              <w:rPr>
                <w:i/>
                <w:sz w:val="26"/>
              </w:rPr>
            </w:pPr>
          </w:p>
          <w:p>
            <w:pPr>
              <w:pStyle w:val="TableParagraph"/>
              <w:rPr>
                <w:i/>
                <w:sz w:val="26"/>
              </w:rPr>
            </w:pPr>
          </w:p>
          <w:p>
            <w:pPr>
              <w:pStyle w:val="TableParagraph"/>
              <w:rPr>
                <w:i/>
                <w:sz w:val="26"/>
              </w:rPr>
            </w:pPr>
          </w:p>
          <w:p>
            <w:pPr>
              <w:pStyle w:val="TableParagraph"/>
              <w:rPr>
                <w:i/>
                <w:sz w:val="26"/>
              </w:rPr>
            </w:pPr>
          </w:p>
          <w:p>
            <w:pPr>
              <w:pStyle w:val="TableParagraph"/>
              <w:spacing w:before="153"/>
              <w:ind w:left="105" w:right="81"/>
              <w:rPr>
                <w:sz w:val="24"/>
              </w:rPr>
            </w:pPr>
            <w:r>
              <w:rPr>
                <w:sz w:val="24"/>
              </w:rPr>
              <w:t>Trop maigre</w:t>
            </w:r>
          </w:p>
        </w:tc>
        <w:tc>
          <w:tcPr>
            <w:tcW w:w="336" w:type="dxa"/>
          </w:tcPr>
          <w:p>
            <w:pPr>
              <w:pStyle w:val="TableParagraph"/>
              <w:spacing w:line="273" w:lineRule="exact"/>
              <w:jc w:val="center"/>
              <w:rPr>
                <w:b/>
                <w:sz w:val="24"/>
              </w:rPr>
            </w:pPr>
            <w:r>
              <w:rPr>
                <w:b/>
                <w:sz w:val="24"/>
              </w:rPr>
              <w:t>1</w:t>
            </w:r>
          </w:p>
        </w:tc>
        <w:tc>
          <w:tcPr>
            <w:tcW w:w="4854" w:type="dxa"/>
          </w:tcPr>
          <w:p>
            <w:pPr>
              <w:pStyle w:val="TableParagraph"/>
              <w:tabs>
                <w:tab w:pos="546" w:val="left" w:leader="none"/>
                <w:tab w:pos="1359" w:val="left" w:leader="none"/>
                <w:tab w:pos="2520" w:val="left" w:leader="none"/>
                <w:tab w:pos="3268" w:val="left" w:leader="none"/>
                <w:tab w:pos="3709" w:val="left" w:leader="none"/>
              </w:tabs>
              <w:ind w:left="102" w:right="99"/>
              <w:rPr>
                <w:sz w:val="24"/>
              </w:rPr>
            </w:pPr>
            <w:r>
              <w:rPr>
                <w:sz w:val="24"/>
              </w:rPr>
              <w:t>Côtes visibles chez les chats à poils courts ; pas de</w:t>
              <w:tab/>
              <w:t>grasse</w:t>
              <w:tab/>
              <w:t>palpable ;</w:t>
              <w:tab/>
              <w:t>creux</w:t>
              <w:tab/>
              <w:t>de</w:t>
              <w:tab/>
              <w:t>l’abdomen</w:t>
            </w:r>
          </w:p>
          <w:p>
            <w:pPr>
              <w:pStyle w:val="TableParagraph"/>
              <w:spacing w:line="270" w:lineRule="atLeast" w:before="8"/>
              <w:ind w:left="102" w:right="43"/>
              <w:rPr>
                <w:sz w:val="24"/>
              </w:rPr>
            </w:pPr>
            <w:r>
              <w:rPr>
                <w:sz w:val="24"/>
              </w:rPr>
              <w:t>sévèrement marqué ; vertèbres lombaires et ailes de l’ilium facilement palpables</w:t>
            </w:r>
          </w:p>
        </w:tc>
        <w:tc>
          <w:tcPr>
            <w:tcW w:w="2991" w:type="dxa"/>
            <w:vMerge w:val="restart"/>
          </w:tcPr>
          <w:p>
            <w:pPr>
              <w:pStyle w:val="TableParagraph"/>
              <w:ind w:left="478"/>
              <w:rPr>
                <w:sz w:val="20"/>
              </w:rPr>
            </w:pPr>
            <w:r>
              <w:rPr>
                <w:sz w:val="20"/>
              </w:rPr>
              <w:drawing>
                <wp:inline distT="0" distB="0" distL="0" distR="0">
                  <wp:extent cx="1336568" cy="1117282"/>
                  <wp:effectExtent l="0" t="0" r="0" b="0"/>
                  <wp:docPr id="75" name="image43.jpeg" descr=""/>
                  <wp:cNvGraphicFramePr>
                    <a:graphicFrameLocks noChangeAspect="1"/>
                  </wp:cNvGraphicFramePr>
                  <a:graphic>
                    <a:graphicData uri="http://schemas.openxmlformats.org/drawingml/2006/picture">
                      <pic:pic>
                        <pic:nvPicPr>
                          <pic:cNvPr id="76" name="image43.jpeg"/>
                          <pic:cNvPicPr/>
                        </pic:nvPicPr>
                        <pic:blipFill>
                          <a:blip r:embed="rId85" cstate="print"/>
                          <a:stretch>
                            <a:fillRect/>
                          </a:stretch>
                        </pic:blipFill>
                        <pic:spPr>
                          <a:xfrm>
                            <a:off x="0" y="0"/>
                            <a:ext cx="1336568" cy="1117282"/>
                          </a:xfrm>
                          <a:prstGeom prst="rect">
                            <a:avLst/>
                          </a:prstGeom>
                        </pic:spPr>
                      </pic:pic>
                    </a:graphicData>
                  </a:graphic>
                </wp:inline>
              </w:drawing>
            </w:r>
            <w:r>
              <w:rPr>
                <w:sz w:val="20"/>
              </w:rPr>
            </w:r>
          </w:p>
        </w:tc>
      </w:tr>
      <w:tr>
        <w:trPr>
          <w:trHeight w:val="1100" w:hRule="atLeast"/>
        </w:trPr>
        <w:tc>
          <w:tcPr>
            <w:tcW w:w="883" w:type="dxa"/>
            <w:vMerge/>
            <w:tcBorders>
              <w:top w:val="nil"/>
            </w:tcBorders>
          </w:tcPr>
          <w:p>
            <w:pPr>
              <w:rPr>
                <w:sz w:val="2"/>
                <w:szCs w:val="2"/>
              </w:rPr>
            </w:pPr>
          </w:p>
        </w:tc>
        <w:tc>
          <w:tcPr>
            <w:tcW w:w="336" w:type="dxa"/>
          </w:tcPr>
          <w:p>
            <w:pPr>
              <w:pStyle w:val="TableParagraph"/>
              <w:spacing w:line="273" w:lineRule="exact"/>
              <w:jc w:val="center"/>
              <w:rPr>
                <w:b/>
                <w:sz w:val="24"/>
              </w:rPr>
            </w:pPr>
            <w:r>
              <w:rPr>
                <w:b/>
                <w:sz w:val="24"/>
              </w:rPr>
              <w:t>2</w:t>
            </w:r>
          </w:p>
        </w:tc>
        <w:tc>
          <w:tcPr>
            <w:tcW w:w="4854" w:type="dxa"/>
          </w:tcPr>
          <w:p>
            <w:pPr>
              <w:pStyle w:val="TableParagraph"/>
              <w:ind w:left="102" w:right="103"/>
              <w:jc w:val="both"/>
              <w:rPr>
                <w:sz w:val="24"/>
              </w:rPr>
            </w:pPr>
            <w:r>
              <w:rPr>
                <w:sz w:val="24"/>
              </w:rPr>
              <w:t>Côtes facilement visibles chez les chats à poils courts ; vertèbres lombaires évidentes avec une masse     musculaire     minimale ;     creux   </w:t>
            </w:r>
            <w:r>
              <w:rPr>
                <w:spacing w:val="55"/>
                <w:sz w:val="24"/>
              </w:rPr>
              <w:t> </w:t>
            </w:r>
            <w:r>
              <w:rPr>
                <w:sz w:val="24"/>
              </w:rPr>
              <w:t>de</w:t>
            </w:r>
          </w:p>
          <w:p>
            <w:pPr>
              <w:pStyle w:val="TableParagraph"/>
              <w:spacing w:line="264" w:lineRule="exact" w:before="9"/>
              <w:ind w:left="102"/>
              <w:jc w:val="both"/>
              <w:rPr>
                <w:sz w:val="24"/>
              </w:rPr>
            </w:pPr>
            <w:r>
              <w:rPr>
                <w:sz w:val="24"/>
              </w:rPr>
              <w:t>l’abdomen prononcé ; pas de graisse palpable</w:t>
            </w:r>
          </w:p>
        </w:tc>
        <w:tc>
          <w:tcPr>
            <w:tcW w:w="2991" w:type="dxa"/>
            <w:vMerge/>
            <w:tcBorders>
              <w:top w:val="nil"/>
            </w:tcBorders>
          </w:tcPr>
          <w:p>
            <w:pPr>
              <w:rPr>
                <w:sz w:val="2"/>
                <w:szCs w:val="2"/>
              </w:rPr>
            </w:pPr>
          </w:p>
        </w:tc>
      </w:tr>
      <w:tr>
        <w:trPr>
          <w:trHeight w:val="820" w:hRule="atLeast"/>
        </w:trPr>
        <w:tc>
          <w:tcPr>
            <w:tcW w:w="883" w:type="dxa"/>
            <w:vMerge/>
            <w:tcBorders>
              <w:top w:val="nil"/>
            </w:tcBorders>
          </w:tcPr>
          <w:p>
            <w:pPr>
              <w:rPr>
                <w:sz w:val="2"/>
                <w:szCs w:val="2"/>
              </w:rPr>
            </w:pPr>
          </w:p>
        </w:tc>
        <w:tc>
          <w:tcPr>
            <w:tcW w:w="336" w:type="dxa"/>
          </w:tcPr>
          <w:p>
            <w:pPr>
              <w:pStyle w:val="TableParagraph"/>
              <w:spacing w:line="273" w:lineRule="exact"/>
              <w:jc w:val="center"/>
              <w:rPr>
                <w:b/>
                <w:sz w:val="24"/>
              </w:rPr>
            </w:pPr>
            <w:r>
              <w:rPr>
                <w:b/>
                <w:sz w:val="24"/>
              </w:rPr>
              <w:t>3</w:t>
            </w:r>
          </w:p>
        </w:tc>
        <w:tc>
          <w:tcPr>
            <w:tcW w:w="4854" w:type="dxa"/>
          </w:tcPr>
          <w:p>
            <w:pPr>
              <w:pStyle w:val="TableParagraph"/>
              <w:tabs>
                <w:tab w:pos="1407" w:val="left" w:leader="none"/>
                <w:tab w:pos="2592" w:val="left" w:leader="none"/>
                <w:tab w:pos="3789" w:val="left" w:leader="none"/>
              </w:tabs>
              <w:ind w:left="102" w:right="103"/>
              <w:rPr>
                <w:sz w:val="24"/>
              </w:rPr>
            </w:pPr>
            <w:r>
              <w:rPr>
                <w:sz w:val="24"/>
              </w:rPr>
              <w:t>Côtes facilement palpables avec une couverture graisseuse</w:t>
              <w:tab/>
              <w:t>minime ;</w:t>
              <w:tab/>
              <w:t>vertèbres</w:t>
              <w:tab/>
              <w:t>lombaires</w:t>
            </w:r>
          </w:p>
          <w:p>
            <w:pPr>
              <w:pStyle w:val="TableParagraph"/>
              <w:spacing w:line="264" w:lineRule="exact" w:before="8"/>
              <w:ind w:left="102"/>
              <w:rPr>
                <w:sz w:val="24"/>
              </w:rPr>
            </w:pPr>
            <w:r>
              <w:rPr>
                <w:sz w:val="24"/>
              </w:rPr>
              <w:t>évidentes ; creux de l’abdomen évident</w:t>
            </w:r>
          </w:p>
        </w:tc>
        <w:tc>
          <w:tcPr>
            <w:tcW w:w="2991" w:type="dxa"/>
            <w:vMerge w:val="restart"/>
          </w:tcPr>
          <w:p>
            <w:pPr>
              <w:pStyle w:val="TableParagraph"/>
              <w:rPr>
                <w:sz w:val="24"/>
              </w:rPr>
            </w:pPr>
          </w:p>
        </w:tc>
      </w:tr>
      <w:tr>
        <w:trPr>
          <w:trHeight w:val="820" w:hRule="atLeast"/>
        </w:trPr>
        <w:tc>
          <w:tcPr>
            <w:tcW w:w="883" w:type="dxa"/>
            <w:vMerge/>
            <w:tcBorders>
              <w:top w:val="nil"/>
            </w:tcBorders>
          </w:tcPr>
          <w:p>
            <w:pPr>
              <w:rPr>
                <w:sz w:val="2"/>
                <w:szCs w:val="2"/>
              </w:rPr>
            </w:pPr>
          </w:p>
        </w:tc>
        <w:tc>
          <w:tcPr>
            <w:tcW w:w="336" w:type="dxa"/>
          </w:tcPr>
          <w:p>
            <w:pPr>
              <w:pStyle w:val="TableParagraph"/>
              <w:spacing w:line="273" w:lineRule="exact"/>
              <w:jc w:val="center"/>
              <w:rPr>
                <w:b/>
                <w:sz w:val="24"/>
              </w:rPr>
            </w:pPr>
            <w:r>
              <w:rPr>
                <w:b/>
                <w:sz w:val="24"/>
              </w:rPr>
              <w:t>4</w:t>
            </w:r>
          </w:p>
        </w:tc>
        <w:tc>
          <w:tcPr>
            <w:tcW w:w="4854" w:type="dxa"/>
          </w:tcPr>
          <w:p>
            <w:pPr>
              <w:pStyle w:val="TableParagraph"/>
              <w:ind w:left="102" w:right="99"/>
              <w:rPr>
                <w:sz w:val="24"/>
              </w:rPr>
            </w:pPr>
            <w:r>
              <w:rPr>
                <w:sz w:val="24"/>
              </w:rPr>
              <w:t>Côtes palpables avec une couverture graisseuse minime  ; creux de l’abdomen visible ; dépôt de</w:t>
            </w:r>
          </w:p>
          <w:p>
            <w:pPr>
              <w:pStyle w:val="TableParagraph"/>
              <w:spacing w:line="264" w:lineRule="exact" w:before="8"/>
              <w:ind w:left="102"/>
              <w:rPr>
                <w:sz w:val="24"/>
              </w:rPr>
            </w:pPr>
            <w:r>
              <w:rPr>
                <w:sz w:val="24"/>
              </w:rPr>
              <w:t>graisse abdominale absent</w:t>
            </w:r>
          </w:p>
        </w:tc>
        <w:tc>
          <w:tcPr>
            <w:tcW w:w="2991" w:type="dxa"/>
            <w:vMerge/>
            <w:tcBorders>
              <w:top w:val="nil"/>
            </w:tcBorders>
          </w:tcPr>
          <w:p>
            <w:pPr>
              <w:rPr>
                <w:sz w:val="2"/>
                <w:szCs w:val="2"/>
              </w:rPr>
            </w:pPr>
          </w:p>
        </w:tc>
      </w:tr>
      <w:tr>
        <w:trPr>
          <w:trHeight w:val="2200" w:hRule="atLeast"/>
        </w:trPr>
        <w:tc>
          <w:tcPr>
            <w:tcW w:w="883" w:type="dxa"/>
          </w:tcPr>
          <w:p>
            <w:pPr>
              <w:pStyle w:val="TableParagraph"/>
              <w:spacing w:line="270" w:lineRule="exact"/>
              <w:ind w:left="105"/>
              <w:rPr>
                <w:sz w:val="24"/>
              </w:rPr>
            </w:pPr>
            <w:r>
              <w:rPr>
                <w:sz w:val="24"/>
              </w:rPr>
              <w:t>Idéal</w:t>
            </w:r>
          </w:p>
        </w:tc>
        <w:tc>
          <w:tcPr>
            <w:tcW w:w="336" w:type="dxa"/>
          </w:tcPr>
          <w:p>
            <w:pPr>
              <w:pStyle w:val="TableParagraph"/>
              <w:spacing w:line="275" w:lineRule="exact"/>
              <w:jc w:val="center"/>
              <w:rPr>
                <w:b/>
                <w:sz w:val="24"/>
              </w:rPr>
            </w:pPr>
            <w:r>
              <w:rPr>
                <w:b/>
                <w:sz w:val="24"/>
              </w:rPr>
              <w:t>5</w:t>
            </w:r>
          </w:p>
        </w:tc>
        <w:tc>
          <w:tcPr>
            <w:tcW w:w="4854" w:type="dxa"/>
          </w:tcPr>
          <w:p>
            <w:pPr>
              <w:pStyle w:val="TableParagraph"/>
              <w:ind w:left="102" w:right="103"/>
              <w:jc w:val="both"/>
              <w:rPr>
                <w:sz w:val="24"/>
              </w:rPr>
            </w:pPr>
            <w:r>
              <w:rPr>
                <w:sz w:val="24"/>
              </w:rPr>
              <w:t>Bien proportionné ; creux de l’abdomen légèrement visible ; côtes palpables avec une couverture adipeuse légère ; dépôt de graisse abdominale minime</w:t>
            </w:r>
          </w:p>
        </w:tc>
        <w:tc>
          <w:tcPr>
            <w:tcW w:w="2991" w:type="dxa"/>
          </w:tcPr>
          <w:p>
            <w:pPr>
              <w:pStyle w:val="TableParagraph"/>
              <w:rPr>
                <w:sz w:val="24"/>
              </w:rPr>
            </w:pPr>
          </w:p>
        </w:tc>
      </w:tr>
      <w:tr>
        <w:trPr>
          <w:trHeight w:val="1100" w:hRule="atLeast"/>
        </w:trPr>
        <w:tc>
          <w:tcPr>
            <w:tcW w:w="883" w:type="dxa"/>
            <w:vMerge w:val="restart"/>
          </w:tcPr>
          <w:p>
            <w:pPr>
              <w:pStyle w:val="TableParagraph"/>
              <w:rPr>
                <w:i/>
                <w:sz w:val="26"/>
              </w:rPr>
            </w:pPr>
          </w:p>
          <w:p>
            <w:pPr>
              <w:pStyle w:val="TableParagraph"/>
              <w:rPr>
                <w:i/>
                <w:sz w:val="26"/>
              </w:rPr>
            </w:pPr>
          </w:p>
          <w:p>
            <w:pPr>
              <w:pStyle w:val="TableParagraph"/>
              <w:rPr>
                <w:i/>
                <w:sz w:val="26"/>
              </w:rPr>
            </w:pPr>
          </w:p>
          <w:p>
            <w:pPr>
              <w:pStyle w:val="TableParagraph"/>
              <w:rPr>
                <w:i/>
                <w:sz w:val="26"/>
              </w:rPr>
            </w:pPr>
          </w:p>
          <w:p>
            <w:pPr>
              <w:pStyle w:val="TableParagraph"/>
              <w:rPr>
                <w:i/>
                <w:sz w:val="26"/>
              </w:rPr>
            </w:pPr>
          </w:p>
          <w:p>
            <w:pPr>
              <w:pStyle w:val="TableParagraph"/>
              <w:spacing w:before="3"/>
              <w:rPr>
                <w:i/>
                <w:sz w:val="37"/>
              </w:rPr>
            </w:pPr>
          </w:p>
          <w:p>
            <w:pPr>
              <w:pStyle w:val="TableParagraph"/>
              <w:ind w:left="105" w:right="281"/>
              <w:rPr>
                <w:sz w:val="24"/>
              </w:rPr>
            </w:pPr>
            <w:r>
              <w:rPr>
                <w:sz w:val="24"/>
              </w:rPr>
              <w:t>Trop</w:t>
            </w:r>
            <w:r>
              <w:rPr>
                <w:w w:val="99"/>
                <w:sz w:val="24"/>
              </w:rPr>
              <w:t> </w:t>
            </w:r>
            <w:r>
              <w:rPr>
                <w:sz w:val="24"/>
              </w:rPr>
              <w:t>gras</w:t>
            </w:r>
          </w:p>
        </w:tc>
        <w:tc>
          <w:tcPr>
            <w:tcW w:w="336" w:type="dxa"/>
          </w:tcPr>
          <w:p>
            <w:pPr>
              <w:pStyle w:val="TableParagraph"/>
              <w:spacing w:line="273" w:lineRule="exact"/>
              <w:jc w:val="center"/>
              <w:rPr>
                <w:b/>
                <w:sz w:val="24"/>
              </w:rPr>
            </w:pPr>
            <w:r>
              <w:rPr>
                <w:b/>
                <w:sz w:val="24"/>
              </w:rPr>
              <w:t>6</w:t>
            </w:r>
          </w:p>
        </w:tc>
        <w:tc>
          <w:tcPr>
            <w:tcW w:w="4854" w:type="dxa"/>
          </w:tcPr>
          <w:p>
            <w:pPr>
              <w:pStyle w:val="TableParagraph"/>
              <w:ind w:left="102" w:right="101"/>
              <w:jc w:val="both"/>
              <w:rPr>
                <w:sz w:val="24"/>
              </w:rPr>
            </w:pPr>
            <w:r>
              <w:rPr>
                <w:sz w:val="24"/>
              </w:rPr>
              <w:t>Côtes palpables avec un léger excès de couverture graisseuse ; taille et dépôt de graisse abdominale  distinguables  mais  non  évidents ;</w:t>
            </w:r>
          </w:p>
          <w:p>
            <w:pPr>
              <w:pStyle w:val="TableParagraph"/>
              <w:spacing w:line="264" w:lineRule="exact" w:before="8"/>
              <w:ind w:left="102"/>
              <w:jc w:val="both"/>
              <w:rPr>
                <w:sz w:val="24"/>
              </w:rPr>
            </w:pPr>
            <w:r>
              <w:rPr>
                <w:sz w:val="24"/>
              </w:rPr>
              <w:t>creux de l’abdomen absent</w:t>
            </w:r>
          </w:p>
        </w:tc>
        <w:tc>
          <w:tcPr>
            <w:tcW w:w="2991" w:type="dxa"/>
            <w:vMerge w:val="restart"/>
          </w:tcPr>
          <w:p>
            <w:pPr>
              <w:pStyle w:val="TableParagraph"/>
              <w:ind w:left="460"/>
              <w:rPr>
                <w:sz w:val="20"/>
              </w:rPr>
            </w:pPr>
            <w:r>
              <w:rPr>
                <w:sz w:val="20"/>
              </w:rPr>
              <w:drawing>
                <wp:inline distT="0" distB="0" distL="0" distR="0">
                  <wp:extent cx="1368634" cy="1092993"/>
                  <wp:effectExtent l="0" t="0" r="0" b="0"/>
                  <wp:docPr id="77" name="image44.jpeg" descr=""/>
                  <wp:cNvGraphicFramePr>
                    <a:graphicFrameLocks noChangeAspect="1"/>
                  </wp:cNvGraphicFramePr>
                  <a:graphic>
                    <a:graphicData uri="http://schemas.openxmlformats.org/drawingml/2006/picture">
                      <pic:pic>
                        <pic:nvPicPr>
                          <pic:cNvPr id="78" name="image44.jpeg"/>
                          <pic:cNvPicPr/>
                        </pic:nvPicPr>
                        <pic:blipFill>
                          <a:blip r:embed="rId86" cstate="print"/>
                          <a:stretch>
                            <a:fillRect/>
                          </a:stretch>
                        </pic:blipFill>
                        <pic:spPr>
                          <a:xfrm>
                            <a:off x="0" y="0"/>
                            <a:ext cx="1368634" cy="1092993"/>
                          </a:xfrm>
                          <a:prstGeom prst="rect">
                            <a:avLst/>
                          </a:prstGeom>
                        </pic:spPr>
                      </pic:pic>
                    </a:graphicData>
                  </a:graphic>
                </wp:inline>
              </w:drawing>
            </w:r>
            <w:r>
              <w:rPr>
                <w:sz w:val="20"/>
              </w:rPr>
            </w:r>
          </w:p>
        </w:tc>
      </w:tr>
      <w:tr>
        <w:trPr>
          <w:trHeight w:val="1380" w:hRule="atLeast"/>
        </w:trPr>
        <w:tc>
          <w:tcPr>
            <w:tcW w:w="883" w:type="dxa"/>
            <w:vMerge/>
            <w:tcBorders>
              <w:top w:val="nil"/>
            </w:tcBorders>
          </w:tcPr>
          <w:p>
            <w:pPr>
              <w:rPr>
                <w:sz w:val="2"/>
                <w:szCs w:val="2"/>
              </w:rPr>
            </w:pPr>
          </w:p>
        </w:tc>
        <w:tc>
          <w:tcPr>
            <w:tcW w:w="336" w:type="dxa"/>
          </w:tcPr>
          <w:p>
            <w:pPr>
              <w:pStyle w:val="TableParagraph"/>
              <w:spacing w:line="273" w:lineRule="exact"/>
              <w:jc w:val="center"/>
              <w:rPr>
                <w:b/>
                <w:sz w:val="24"/>
              </w:rPr>
            </w:pPr>
            <w:r>
              <w:rPr>
                <w:b/>
                <w:sz w:val="24"/>
              </w:rPr>
              <w:t>7</w:t>
            </w:r>
          </w:p>
        </w:tc>
        <w:tc>
          <w:tcPr>
            <w:tcW w:w="4854" w:type="dxa"/>
          </w:tcPr>
          <w:p>
            <w:pPr>
              <w:pStyle w:val="TableParagraph"/>
              <w:ind w:left="102" w:right="103"/>
              <w:jc w:val="both"/>
              <w:rPr>
                <w:sz w:val="24"/>
              </w:rPr>
            </w:pPr>
            <w:r>
              <w:rPr>
                <w:sz w:val="24"/>
              </w:rPr>
              <w:t>Côtes non facilement palpables avec une couverture graisseuse modérée ; taille difficilement observable ; arrondissement</w:t>
            </w:r>
            <w:r>
              <w:rPr>
                <w:spacing w:val="51"/>
                <w:sz w:val="24"/>
              </w:rPr>
              <w:t> </w:t>
            </w:r>
            <w:r>
              <w:rPr>
                <w:sz w:val="24"/>
              </w:rPr>
              <w:t>de l’abdomen</w:t>
            </w:r>
            <w:r>
              <w:rPr>
                <w:spacing w:val="-17"/>
                <w:sz w:val="24"/>
              </w:rPr>
              <w:t> </w:t>
            </w:r>
            <w:r>
              <w:rPr>
                <w:sz w:val="24"/>
              </w:rPr>
              <w:t>évident</w:t>
            </w:r>
            <w:r>
              <w:rPr>
                <w:spacing w:val="-2"/>
                <w:sz w:val="24"/>
              </w:rPr>
              <w:t> </w:t>
            </w:r>
            <w:r>
              <w:rPr>
                <w:sz w:val="24"/>
              </w:rPr>
              <w:t>;</w:t>
            </w:r>
            <w:r>
              <w:rPr>
                <w:spacing w:val="-16"/>
                <w:sz w:val="24"/>
              </w:rPr>
              <w:t> </w:t>
            </w:r>
            <w:r>
              <w:rPr>
                <w:sz w:val="24"/>
              </w:rPr>
              <w:t>dépôt</w:t>
            </w:r>
            <w:r>
              <w:rPr>
                <w:spacing w:val="-16"/>
                <w:sz w:val="24"/>
              </w:rPr>
              <w:t> </w:t>
            </w:r>
            <w:r>
              <w:rPr>
                <w:sz w:val="24"/>
              </w:rPr>
              <w:t>de</w:t>
            </w:r>
            <w:r>
              <w:rPr>
                <w:spacing w:val="-15"/>
                <w:sz w:val="24"/>
              </w:rPr>
              <w:t> </w:t>
            </w:r>
            <w:r>
              <w:rPr>
                <w:sz w:val="24"/>
              </w:rPr>
              <w:t>graisse</w:t>
            </w:r>
            <w:r>
              <w:rPr>
                <w:spacing w:val="-16"/>
                <w:sz w:val="24"/>
              </w:rPr>
              <w:t> </w:t>
            </w:r>
            <w:r>
              <w:rPr>
                <w:sz w:val="24"/>
              </w:rPr>
              <w:t>abdominale</w:t>
            </w:r>
          </w:p>
          <w:p>
            <w:pPr>
              <w:pStyle w:val="TableParagraph"/>
              <w:spacing w:line="264" w:lineRule="exact" w:before="9"/>
              <w:ind w:left="102"/>
              <w:jc w:val="both"/>
              <w:rPr>
                <w:sz w:val="24"/>
              </w:rPr>
            </w:pPr>
            <w:r>
              <w:rPr>
                <w:sz w:val="24"/>
              </w:rPr>
              <w:t>modéré</w:t>
            </w:r>
          </w:p>
        </w:tc>
        <w:tc>
          <w:tcPr>
            <w:tcW w:w="2991" w:type="dxa"/>
            <w:vMerge/>
            <w:tcBorders>
              <w:top w:val="nil"/>
            </w:tcBorders>
          </w:tcPr>
          <w:p>
            <w:pPr>
              <w:rPr>
                <w:sz w:val="2"/>
                <w:szCs w:val="2"/>
              </w:rPr>
            </w:pPr>
          </w:p>
        </w:tc>
      </w:tr>
      <w:tr>
        <w:trPr>
          <w:trHeight w:val="1360" w:hRule="atLeast"/>
        </w:trPr>
        <w:tc>
          <w:tcPr>
            <w:tcW w:w="883" w:type="dxa"/>
            <w:vMerge/>
            <w:tcBorders>
              <w:top w:val="nil"/>
            </w:tcBorders>
          </w:tcPr>
          <w:p>
            <w:pPr>
              <w:rPr>
                <w:sz w:val="2"/>
                <w:szCs w:val="2"/>
              </w:rPr>
            </w:pPr>
          </w:p>
        </w:tc>
        <w:tc>
          <w:tcPr>
            <w:tcW w:w="336" w:type="dxa"/>
          </w:tcPr>
          <w:p>
            <w:pPr>
              <w:pStyle w:val="TableParagraph"/>
              <w:spacing w:line="273" w:lineRule="exact"/>
              <w:jc w:val="center"/>
              <w:rPr>
                <w:b/>
                <w:sz w:val="24"/>
              </w:rPr>
            </w:pPr>
            <w:r>
              <w:rPr>
                <w:b/>
                <w:sz w:val="24"/>
              </w:rPr>
              <w:t>8</w:t>
            </w:r>
          </w:p>
        </w:tc>
        <w:tc>
          <w:tcPr>
            <w:tcW w:w="4854" w:type="dxa"/>
          </w:tcPr>
          <w:p>
            <w:pPr>
              <w:pStyle w:val="TableParagraph"/>
              <w:ind w:left="102" w:right="101"/>
              <w:jc w:val="both"/>
              <w:rPr>
                <w:sz w:val="24"/>
              </w:rPr>
            </w:pPr>
            <w:r>
              <w:rPr>
                <w:sz w:val="24"/>
              </w:rPr>
              <w:t>Côtes non palpables avec une couverture graisseuse en excès ; taille absente ; arrondissement de l’abdomen évident avec dépôt de graisse abdominale proéminent ;</w:t>
            </w:r>
            <w:r>
              <w:rPr>
                <w:spacing w:val="30"/>
                <w:sz w:val="24"/>
              </w:rPr>
              <w:t> </w:t>
            </w:r>
            <w:r>
              <w:rPr>
                <w:sz w:val="24"/>
              </w:rPr>
              <w:t>dépôt</w:t>
            </w:r>
          </w:p>
          <w:p>
            <w:pPr>
              <w:pStyle w:val="TableParagraph"/>
              <w:spacing w:line="264" w:lineRule="exact" w:before="8"/>
              <w:ind w:left="102"/>
              <w:jc w:val="both"/>
              <w:rPr>
                <w:sz w:val="24"/>
              </w:rPr>
            </w:pPr>
            <w:r>
              <w:rPr>
                <w:sz w:val="24"/>
              </w:rPr>
              <w:t>de graisse en région lombaire</w:t>
            </w:r>
          </w:p>
        </w:tc>
        <w:tc>
          <w:tcPr>
            <w:tcW w:w="2991" w:type="dxa"/>
            <w:vMerge w:val="restart"/>
          </w:tcPr>
          <w:p>
            <w:pPr>
              <w:pStyle w:val="TableParagraph"/>
              <w:ind w:left="441"/>
              <w:rPr>
                <w:sz w:val="20"/>
              </w:rPr>
            </w:pPr>
            <w:r>
              <w:rPr>
                <w:sz w:val="20"/>
              </w:rPr>
              <w:drawing>
                <wp:inline distT="0" distB="0" distL="0" distR="0">
                  <wp:extent cx="1407398" cy="1144428"/>
                  <wp:effectExtent l="0" t="0" r="0" b="0"/>
                  <wp:docPr id="79" name="image45.jpeg" descr=""/>
                  <wp:cNvGraphicFramePr>
                    <a:graphicFrameLocks noChangeAspect="1"/>
                  </wp:cNvGraphicFramePr>
                  <a:graphic>
                    <a:graphicData uri="http://schemas.openxmlformats.org/drawingml/2006/picture">
                      <pic:pic>
                        <pic:nvPicPr>
                          <pic:cNvPr id="80" name="image45.jpeg"/>
                          <pic:cNvPicPr/>
                        </pic:nvPicPr>
                        <pic:blipFill>
                          <a:blip r:embed="rId87" cstate="print"/>
                          <a:stretch>
                            <a:fillRect/>
                          </a:stretch>
                        </pic:blipFill>
                        <pic:spPr>
                          <a:xfrm>
                            <a:off x="0" y="0"/>
                            <a:ext cx="1407398" cy="1144428"/>
                          </a:xfrm>
                          <a:prstGeom prst="rect">
                            <a:avLst/>
                          </a:prstGeom>
                        </pic:spPr>
                      </pic:pic>
                    </a:graphicData>
                  </a:graphic>
                </wp:inline>
              </w:drawing>
            </w:r>
            <w:r>
              <w:rPr>
                <w:sz w:val="20"/>
              </w:rPr>
            </w:r>
          </w:p>
        </w:tc>
      </w:tr>
      <w:tr>
        <w:trPr>
          <w:trHeight w:val="1360" w:hRule="atLeast"/>
        </w:trPr>
        <w:tc>
          <w:tcPr>
            <w:tcW w:w="883" w:type="dxa"/>
            <w:vMerge/>
            <w:tcBorders>
              <w:top w:val="nil"/>
            </w:tcBorders>
          </w:tcPr>
          <w:p>
            <w:pPr>
              <w:rPr>
                <w:sz w:val="2"/>
                <w:szCs w:val="2"/>
              </w:rPr>
            </w:pPr>
          </w:p>
        </w:tc>
        <w:tc>
          <w:tcPr>
            <w:tcW w:w="336" w:type="dxa"/>
          </w:tcPr>
          <w:p>
            <w:pPr>
              <w:pStyle w:val="TableParagraph"/>
              <w:spacing w:line="273" w:lineRule="exact"/>
              <w:jc w:val="center"/>
              <w:rPr>
                <w:b/>
                <w:sz w:val="24"/>
              </w:rPr>
            </w:pPr>
            <w:r>
              <w:rPr>
                <w:b/>
                <w:sz w:val="24"/>
              </w:rPr>
              <w:t>9</w:t>
            </w:r>
          </w:p>
        </w:tc>
        <w:tc>
          <w:tcPr>
            <w:tcW w:w="4854" w:type="dxa"/>
          </w:tcPr>
          <w:p>
            <w:pPr>
              <w:pStyle w:val="TableParagraph"/>
              <w:ind w:left="102" w:right="101"/>
              <w:jc w:val="both"/>
              <w:rPr>
                <w:sz w:val="24"/>
              </w:rPr>
            </w:pPr>
            <w:r>
              <w:rPr>
                <w:sz w:val="24"/>
              </w:rPr>
              <w:t>Côtes non palpables sous une large couverture graisseuse ; larges dépôts graisseux en région lombaire, sur la tête et au niveau des membres</w:t>
            </w:r>
            <w:r>
              <w:rPr>
                <w:spacing w:val="55"/>
                <w:sz w:val="24"/>
              </w:rPr>
              <w:t> </w:t>
            </w:r>
            <w:r>
              <w:rPr>
                <w:sz w:val="24"/>
              </w:rPr>
              <w:t>;</w:t>
            </w:r>
          </w:p>
          <w:p>
            <w:pPr>
              <w:pStyle w:val="TableParagraph"/>
              <w:spacing w:line="270" w:lineRule="atLeast" w:before="8"/>
              <w:ind w:left="102" w:right="105"/>
              <w:jc w:val="both"/>
              <w:rPr>
                <w:sz w:val="24"/>
              </w:rPr>
            </w:pPr>
            <w:r>
              <w:rPr>
                <w:sz w:val="24"/>
              </w:rPr>
              <w:t>distension abdominale, dépôt de graisse abdominale étendu</w:t>
            </w:r>
          </w:p>
        </w:tc>
        <w:tc>
          <w:tcPr>
            <w:tcW w:w="2991" w:type="dxa"/>
            <w:vMerge/>
            <w:tcBorders>
              <w:top w:val="nil"/>
            </w:tcBorders>
          </w:tcPr>
          <w:p>
            <w:pPr>
              <w:rPr>
                <w:sz w:val="2"/>
                <w:szCs w:val="2"/>
              </w:rPr>
            </w:pPr>
          </w:p>
        </w:tc>
      </w:tr>
    </w:tbl>
    <w:p>
      <w:pPr>
        <w:spacing w:after="0"/>
        <w:rPr>
          <w:sz w:val="2"/>
          <w:szCs w:val="2"/>
        </w:rPr>
        <w:sectPr>
          <w:pgSz w:w="11910" w:h="16840"/>
          <w:pgMar w:header="0" w:footer="995" w:top="1320" w:bottom="1240" w:left="1300" w:right="1300"/>
        </w:sectPr>
      </w:pPr>
    </w:p>
    <w:p>
      <w:pPr>
        <w:pStyle w:val="Heading3"/>
        <w:spacing w:before="73"/>
        <w:ind w:left="164" w:firstLine="0"/>
      </w:pPr>
      <w:bookmarkStart w:name="_bookmark238" w:id="412"/>
      <w:bookmarkEnd w:id="412"/>
      <w:r>
        <w:rPr>
          <w:b w:val="0"/>
        </w:rPr>
      </w:r>
      <w:r>
        <w:rPr>
          <w:u w:val="thick"/>
        </w:rPr>
        <w:t>Annexe 7 : Grille d’évaluation de la toxicité d’un traitement par le clinicien</w:t>
      </w:r>
    </w:p>
    <w:p>
      <w:pPr>
        <w:pStyle w:val="BodyText"/>
        <w:rPr>
          <w:b/>
          <w:sz w:val="20"/>
        </w:rPr>
      </w:pPr>
    </w:p>
    <w:p>
      <w:pPr>
        <w:pStyle w:val="BodyText"/>
        <w:spacing w:before="9"/>
        <w:rPr>
          <w:b/>
          <w:sz w:val="21"/>
        </w:rPr>
      </w:pPr>
    </w:p>
    <w:p>
      <w:pPr>
        <w:spacing w:before="0"/>
        <w:ind w:left="1748" w:right="0" w:firstLine="0"/>
        <w:jc w:val="left"/>
        <w:rPr>
          <w:i/>
          <w:sz w:val="24"/>
        </w:rPr>
      </w:pPr>
      <w:r>
        <w:rPr>
          <w:i/>
          <w:sz w:val="24"/>
        </w:rPr>
        <w:t>(inspiré et modifié d’après l’article de Spugnini et al., 2014)</w:t>
      </w:r>
    </w:p>
    <w:p>
      <w:pPr>
        <w:pStyle w:val="BodyText"/>
        <w:rPr>
          <w:i/>
          <w:sz w:val="20"/>
        </w:rPr>
      </w:pPr>
    </w:p>
    <w:p>
      <w:pPr>
        <w:pStyle w:val="BodyText"/>
        <w:spacing w:before="6"/>
        <w:rPr>
          <w:i/>
          <w:sz w:val="20"/>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7372"/>
      </w:tblGrid>
      <w:tr>
        <w:trPr>
          <w:trHeight w:val="540" w:hRule="atLeast"/>
        </w:trPr>
        <w:tc>
          <w:tcPr>
            <w:tcW w:w="1838" w:type="dxa"/>
            <w:shd w:val="clear" w:color="auto" w:fill="D9D9D9"/>
          </w:tcPr>
          <w:p>
            <w:pPr>
              <w:pStyle w:val="TableParagraph"/>
              <w:spacing w:line="276" w:lineRule="exact"/>
              <w:ind w:left="575" w:right="408" w:hanging="142"/>
              <w:rPr>
                <w:b/>
                <w:sz w:val="24"/>
              </w:rPr>
            </w:pPr>
            <w:r>
              <w:rPr>
                <w:b/>
                <w:sz w:val="24"/>
              </w:rPr>
              <w:t>Toxicité - grades</w:t>
            </w:r>
          </w:p>
        </w:tc>
        <w:tc>
          <w:tcPr>
            <w:tcW w:w="7372" w:type="dxa"/>
            <w:shd w:val="clear" w:color="auto" w:fill="D9D9D9"/>
          </w:tcPr>
          <w:p>
            <w:pPr>
              <w:pStyle w:val="TableParagraph"/>
              <w:spacing w:line="273" w:lineRule="exact"/>
              <w:ind w:left="642" w:right="644"/>
              <w:jc w:val="center"/>
              <w:rPr>
                <w:b/>
                <w:sz w:val="24"/>
              </w:rPr>
            </w:pPr>
            <w:r>
              <w:rPr>
                <w:b/>
                <w:sz w:val="24"/>
              </w:rPr>
              <w:t>Critères d’évaluation</w:t>
            </w:r>
          </w:p>
        </w:tc>
      </w:tr>
      <w:tr>
        <w:trPr>
          <w:trHeight w:val="260" w:hRule="atLeast"/>
        </w:trPr>
        <w:tc>
          <w:tcPr>
            <w:tcW w:w="1838" w:type="dxa"/>
            <w:shd w:val="clear" w:color="auto" w:fill="F1F1F1"/>
          </w:tcPr>
          <w:p>
            <w:pPr>
              <w:pStyle w:val="TableParagraph"/>
              <w:spacing w:line="256" w:lineRule="exact"/>
              <w:ind w:left="169" w:right="166"/>
              <w:jc w:val="center"/>
              <w:rPr>
                <w:sz w:val="24"/>
              </w:rPr>
            </w:pPr>
            <w:r>
              <w:rPr>
                <w:sz w:val="24"/>
              </w:rPr>
              <w:t>Hospitalisation</w:t>
            </w:r>
          </w:p>
        </w:tc>
        <w:tc>
          <w:tcPr>
            <w:tcW w:w="7372" w:type="dxa"/>
            <w:shd w:val="clear" w:color="auto" w:fill="F1F1F1"/>
          </w:tcPr>
          <w:p>
            <w:pPr>
              <w:pStyle w:val="TableParagraph"/>
              <w:spacing w:line="256" w:lineRule="exact"/>
              <w:ind w:left="644" w:right="641"/>
              <w:jc w:val="center"/>
              <w:rPr>
                <w:sz w:val="24"/>
              </w:rPr>
            </w:pPr>
            <w:r>
              <w:rPr>
                <w:sz w:val="24"/>
              </w:rPr>
              <w:t>Jours</w:t>
            </w:r>
          </w:p>
        </w:tc>
      </w:tr>
      <w:tr>
        <w:trPr>
          <w:trHeight w:val="260" w:hRule="atLeast"/>
        </w:trPr>
        <w:tc>
          <w:tcPr>
            <w:tcW w:w="1838" w:type="dxa"/>
          </w:tcPr>
          <w:p>
            <w:pPr>
              <w:pStyle w:val="TableParagraph"/>
              <w:spacing w:line="256" w:lineRule="exact"/>
              <w:ind w:left="4"/>
              <w:jc w:val="center"/>
              <w:rPr>
                <w:sz w:val="24"/>
              </w:rPr>
            </w:pPr>
            <w:r>
              <w:rPr>
                <w:sz w:val="24"/>
              </w:rPr>
              <w:t>0</w:t>
            </w:r>
          </w:p>
        </w:tc>
        <w:tc>
          <w:tcPr>
            <w:tcW w:w="7372" w:type="dxa"/>
          </w:tcPr>
          <w:p>
            <w:pPr>
              <w:pStyle w:val="TableParagraph"/>
              <w:spacing w:line="256" w:lineRule="exact"/>
              <w:ind w:right="1"/>
              <w:jc w:val="center"/>
              <w:rPr>
                <w:sz w:val="24"/>
              </w:rPr>
            </w:pPr>
            <w:r>
              <w:rPr>
                <w:sz w:val="24"/>
              </w:rPr>
              <w:t>0</w:t>
            </w:r>
          </w:p>
        </w:tc>
      </w:tr>
      <w:tr>
        <w:trPr>
          <w:trHeight w:val="260" w:hRule="atLeast"/>
        </w:trPr>
        <w:tc>
          <w:tcPr>
            <w:tcW w:w="1838" w:type="dxa"/>
          </w:tcPr>
          <w:p>
            <w:pPr>
              <w:pStyle w:val="TableParagraph"/>
              <w:spacing w:line="256" w:lineRule="exact"/>
              <w:ind w:left="4"/>
              <w:jc w:val="center"/>
              <w:rPr>
                <w:sz w:val="24"/>
              </w:rPr>
            </w:pPr>
            <w:r>
              <w:rPr>
                <w:sz w:val="24"/>
              </w:rPr>
              <w:t>1</w:t>
            </w:r>
          </w:p>
        </w:tc>
        <w:tc>
          <w:tcPr>
            <w:tcW w:w="7372" w:type="dxa"/>
          </w:tcPr>
          <w:p>
            <w:pPr>
              <w:pStyle w:val="TableParagraph"/>
              <w:spacing w:line="256" w:lineRule="exact"/>
              <w:ind w:right="1"/>
              <w:jc w:val="center"/>
              <w:rPr>
                <w:sz w:val="24"/>
              </w:rPr>
            </w:pPr>
            <w:r>
              <w:rPr>
                <w:sz w:val="24"/>
              </w:rPr>
              <w:t>1</w:t>
            </w:r>
          </w:p>
        </w:tc>
      </w:tr>
      <w:tr>
        <w:trPr>
          <w:trHeight w:val="260" w:hRule="atLeast"/>
        </w:trPr>
        <w:tc>
          <w:tcPr>
            <w:tcW w:w="1838" w:type="dxa"/>
          </w:tcPr>
          <w:p>
            <w:pPr>
              <w:pStyle w:val="TableParagraph"/>
              <w:spacing w:line="256" w:lineRule="exact"/>
              <w:ind w:left="4"/>
              <w:jc w:val="center"/>
              <w:rPr>
                <w:sz w:val="24"/>
              </w:rPr>
            </w:pPr>
            <w:r>
              <w:rPr>
                <w:sz w:val="24"/>
              </w:rPr>
              <w:t>2</w:t>
            </w:r>
          </w:p>
        </w:tc>
        <w:tc>
          <w:tcPr>
            <w:tcW w:w="7372" w:type="dxa"/>
          </w:tcPr>
          <w:p>
            <w:pPr>
              <w:pStyle w:val="TableParagraph"/>
              <w:spacing w:line="256" w:lineRule="exact"/>
              <w:ind w:left="644" w:right="644"/>
              <w:jc w:val="center"/>
              <w:rPr>
                <w:sz w:val="24"/>
              </w:rPr>
            </w:pPr>
            <w:r>
              <w:rPr>
                <w:sz w:val="24"/>
              </w:rPr>
              <w:t>2-3</w:t>
            </w:r>
          </w:p>
        </w:tc>
      </w:tr>
      <w:tr>
        <w:trPr>
          <w:trHeight w:val="260" w:hRule="atLeast"/>
        </w:trPr>
        <w:tc>
          <w:tcPr>
            <w:tcW w:w="1838" w:type="dxa"/>
          </w:tcPr>
          <w:p>
            <w:pPr>
              <w:pStyle w:val="TableParagraph"/>
              <w:spacing w:line="259" w:lineRule="exact"/>
              <w:ind w:left="4"/>
              <w:jc w:val="center"/>
              <w:rPr>
                <w:sz w:val="24"/>
              </w:rPr>
            </w:pPr>
            <w:r>
              <w:rPr>
                <w:sz w:val="24"/>
              </w:rPr>
              <w:t>3</w:t>
            </w:r>
          </w:p>
        </w:tc>
        <w:tc>
          <w:tcPr>
            <w:tcW w:w="7372" w:type="dxa"/>
          </w:tcPr>
          <w:p>
            <w:pPr>
              <w:pStyle w:val="TableParagraph"/>
              <w:spacing w:line="259" w:lineRule="exact"/>
              <w:ind w:left="644" w:right="644"/>
              <w:jc w:val="center"/>
              <w:rPr>
                <w:sz w:val="24"/>
              </w:rPr>
            </w:pPr>
            <w:r>
              <w:rPr>
                <w:sz w:val="24"/>
              </w:rPr>
              <w:t>4-5</w:t>
            </w:r>
          </w:p>
        </w:tc>
      </w:tr>
      <w:tr>
        <w:trPr>
          <w:trHeight w:val="260" w:hRule="atLeast"/>
        </w:trPr>
        <w:tc>
          <w:tcPr>
            <w:tcW w:w="1838" w:type="dxa"/>
          </w:tcPr>
          <w:p>
            <w:pPr>
              <w:pStyle w:val="TableParagraph"/>
              <w:spacing w:line="256" w:lineRule="exact"/>
              <w:ind w:left="4"/>
              <w:jc w:val="center"/>
              <w:rPr>
                <w:sz w:val="24"/>
              </w:rPr>
            </w:pPr>
            <w:r>
              <w:rPr>
                <w:sz w:val="24"/>
              </w:rPr>
              <w:t>4</w:t>
            </w:r>
          </w:p>
        </w:tc>
        <w:tc>
          <w:tcPr>
            <w:tcW w:w="7372" w:type="dxa"/>
          </w:tcPr>
          <w:p>
            <w:pPr>
              <w:pStyle w:val="TableParagraph"/>
              <w:spacing w:line="256" w:lineRule="exact"/>
              <w:ind w:left="644" w:right="644"/>
              <w:jc w:val="center"/>
              <w:rPr>
                <w:sz w:val="24"/>
              </w:rPr>
            </w:pPr>
            <w:r>
              <w:rPr>
                <w:sz w:val="24"/>
              </w:rPr>
              <w:t>&gt;5</w:t>
            </w:r>
          </w:p>
        </w:tc>
      </w:tr>
      <w:tr>
        <w:trPr>
          <w:trHeight w:val="260" w:hRule="atLeast"/>
        </w:trPr>
        <w:tc>
          <w:tcPr>
            <w:tcW w:w="1838" w:type="dxa"/>
            <w:shd w:val="clear" w:color="auto" w:fill="F1F1F1"/>
          </w:tcPr>
          <w:p>
            <w:pPr>
              <w:pStyle w:val="TableParagraph"/>
              <w:spacing w:line="256" w:lineRule="exact"/>
              <w:ind w:left="168" w:right="166"/>
              <w:jc w:val="center"/>
              <w:rPr>
                <w:sz w:val="24"/>
              </w:rPr>
            </w:pPr>
            <w:r>
              <w:rPr>
                <w:sz w:val="24"/>
              </w:rPr>
              <w:t>Neutropénie</w:t>
            </w:r>
          </w:p>
        </w:tc>
        <w:tc>
          <w:tcPr>
            <w:tcW w:w="7372" w:type="dxa"/>
            <w:shd w:val="clear" w:color="auto" w:fill="F1F1F1"/>
          </w:tcPr>
          <w:p>
            <w:pPr>
              <w:pStyle w:val="TableParagraph"/>
              <w:spacing w:line="256" w:lineRule="exact"/>
              <w:ind w:left="643" w:right="644"/>
              <w:jc w:val="center"/>
              <w:rPr>
                <w:sz w:val="24"/>
              </w:rPr>
            </w:pPr>
            <w:r>
              <w:rPr>
                <w:sz w:val="24"/>
              </w:rPr>
              <w:t>Nombre de neutrophiles</w:t>
            </w:r>
          </w:p>
        </w:tc>
      </w:tr>
      <w:tr>
        <w:trPr>
          <w:trHeight w:val="260" w:hRule="atLeast"/>
        </w:trPr>
        <w:tc>
          <w:tcPr>
            <w:tcW w:w="1838" w:type="dxa"/>
          </w:tcPr>
          <w:p>
            <w:pPr>
              <w:pStyle w:val="TableParagraph"/>
              <w:spacing w:line="256" w:lineRule="exact"/>
              <w:ind w:left="4"/>
              <w:jc w:val="center"/>
              <w:rPr>
                <w:sz w:val="24"/>
              </w:rPr>
            </w:pPr>
            <w:r>
              <w:rPr>
                <w:sz w:val="24"/>
              </w:rPr>
              <w:t>0</w:t>
            </w:r>
          </w:p>
        </w:tc>
        <w:tc>
          <w:tcPr>
            <w:tcW w:w="7372" w:type="dxa"/>
          </w:tcPr>
          <w:p>
            <w:pPr>
              <w:pStyle w:val="TableParagraph"/>
              <w:spacing w:line="256" w:lineRule="exact"/>
              <w:ind w:left="644" w:right="643"/>
              <w:jc w:val="center"/>
              <w:rPr>
                <w:sz w:val="16"/>
              </w:rPr>
            </w:pPr>
            <w:r>
              <w:rPr>
                <w:sz w:val="24"/>
              </w:rPr>
              <w:t>&gt;2500 neutrophiles/ mm</w:t>
            </w:r>
            <w:r>
              <w:rPr>
                <w:position w:val="9"/>
                <w:sz w:val="16"/>
              </w:rPr>
              <w:t>3</w:t>
            </w:r>
          </w:p>
        </w:tc>
      </w:tr>
      <w:tr>
        <w:trPr>
          <w:trHeight w:val="260" w:hRule="atLeast"/>
        </w:trPr>
        <w:tc>
          <w:tcPr>
            <w:tcW w:w="1838" w:type="dxa"/>
          </w:tcPr>
          <w:p>
            <w:pPr>
              <w:pStyle w:val="TableParagraph"/>
              <w:spacing w:line="256" w:lineRule="exact"/>
              <w:ind w:left="4"/>
              <w:jc w:val="center"/>
              <w:rPr>
                <w:sz w:val="24"/>
              </w:rPr>
            </w:pPr>
            <w:r>
              <w:rPr>
                <w:sz w:val="24"/>
              </w:rPr>
              <w:t>1</w:t>
            </w:r>
          </w:p>
        </w:tc>
        <w:tc>
          <w:tcPr>
            <w:tcW w:w="7372" w:type="dxa"/>
          </w:tcPr>
          <w:p>
            <w:pPr>
              <w:pStyle w:val="TableParagraph"/>
              <w:spacing w:line="256" w:lineRule="exact"/>
              <w:ind w:left="643" w:right="644"/>
              <w:jc w:val="center"/>
              <w:rPr>
                <w:sz w:val="16"/>
              </w:rPr>
            </w:pPr>
            <w:r>
              <w:rPr>
                <w:sz w:val="24"/>
              </w:rPr>
              <w:t>1500-2500 neutrophiles/ mm</w:t>
            </w:r>
            <w:r>
              <w:rPr>
                <w:position w:val="9"/>
                <w:sz w:val="16"/>
              </w:rPr>
              <w:t>3</w:t>
            </w:r>
          </w:p>
        </w:tc>
      </w:tr>
      <w:tr>
        <w:trPr>
          <w:trHeight w:val="260" w:hRule="atLeast"/>
        </w:trPr>
        <w:tc>
          <w:tcPr>
            <w:tcW w:w="1838" w:type="dxa"/>
          </w:tcPr>
          <w:p>
            <w:pPr>
              <w:pStyle w:val="TableParagraph"/>
              <w:spacing w:line="256" w:lineRule="exact"/>
              <w:ind w:left="4"/>
              <w:jc w:val="center"/>
              <w:rPr>
                <w:sz w:val="24"/>
              </w:rPr>
            </w:pPr>
            <w:r>
              <w:rPr>
                <w:sz w:val="24"/>
              </w:rPr>
              <w:t>2</w:t>
            </w:r>
          </w:p>
        </w:tc>
        <w:tc>
          <w:tcPr>
            <w:tcW w:w="7372" w:type="dxa"/>
          </w:tcPr>
          <w:p>
            <w:pPr>
              <w:pStyle w:val="TableParagraph"/>
              <w:spacing w:line="256" w:lineRule="exact"/>
              <w:ind w:left="643" w:right="644"/>
              <w:jc w:val="center"/>
              <w:rPr>
                <w:sz w:val="16"/>
              </w:rPr>
            </w:pPr>
            <w:r>
              <w:rPr>
                <w:sz w:val="24"/>
              </w:rPr>
              <w:t>1000-1499 neutrophiles/ mm</w:t>
            </w:r>
            <w:r>
              <w:rPr>
                <w:position w:val="9"/>
                <w:sz w:val="16"/>
              </w:rPr>
              <w:t>3</w:t>
            </w:r>
          </w:p>
        </w:tc>
      </w:tr>
      <w:tr>
        <w:trPr>
          <w:trHeight w:val="260" w:hRule="atLeast"/>
        </w:trPr>
        <w:tc>
          <w:tcPr>
            <w:tcW w:w="1838" w:type="dxa"/>
          </w:tcPr>
          <w:p>
            <w:pPr>
              <w:pStyle w:val="TableParagraph"/>
              <w:spacing w:line="258" w:lineRule="exact"/>
              <w:ind w:left="4"/>
              <w:jc w:val="center"/>
              <w:rPr>
                <w:sz w:val="24"/>
              </w:rPr>
            </w:pPr>
            <w:r>
              <w:rPr>
                <w:sz w:val="24"/>
              </w:rPr>
              <w:t>3</w:t>
            </w:r>
          </w:p>
        </w:tc>
        <w:tc>
          <w:tcPr>
            <w:tcW w:w="7372" w:type="dxa"/>
          </w:tcPr>
          <w:p>
            <w:pPr>
              <w:pStyle w:val="TableParagraph"/>
              <w:spacing w:line="258" w:lineRule="exact"/>
              <w:ind w:left="643" w:right="644"/>
              <w:jc w:val="center"/>
              <w:rPr>
                <w:sz w:val="16"/>
              </w:rPr>
            </w:pPr>
            <w:r>
              <w:rPr>
                <w:sz w:val="24"/>
              </w:rPr>
              <w:t>500-999 neutrophiles/ mm</w:t>
            </w:r>
            <w:r>
              <w:rPr>
                <w:position w:val="9"/>
                <w:sz w:val="16"/>
              </w:rPr>
              <w:t>3</w:t>
            </w:r>
          </w:p>
        </w:tc>
      </w:tr>
      <w:tr>
        <w:trPr>
          <w:trHeight w:val="260" w:hRule="atLeast"/>
        </w:trPr>
        <w:tc>
          <w:tcPr>
            <w:tcW w:w="1838" w:type="dxa"/>
          </w:tcPr>
          <w:p>
            <w:pPr>
              <w:pStyle w:val="TableParagraph"/>
              <w:spacing w:line="256" w:lineRule="exact"/>
              <w:ind w:left="4"/>
              <w:jc w:val="center"/>
              <w:rPr>
                <w:sz w:val="24"/>
              </w:rPr>
            </w:pPr>
            <w:r>
              <w:rPr>
                <w:sz w:val="24"/>
              </w:rPr>
              <w:t>4</w:t>
            </w:r>
          </w:p>
        </w:tc>
        <w:tc>
          <w:tcPr>
            <w:tcW w:w="7372" w:type="dxa"/>
          </w:tcPr>
          <w:p>
            <w:pPr>
              <w:pStyle w:val="TableParagraph"/>
              <w:spacing w:line="256" w:lineRule="exact"/>
              <w:ind w:left="643" w:right="644"/>
              <w:jc w:val="center"/>
              <w:rPr>
                <w:sz w:val="16"/>
              </w:rPr>
            </w:pPr>
            <w:r>
              <w:rPr>
                <w:sz w:val="24"/>
              </w:rPr>
              <w:t>&lt;500 neutrophiles/mm</w:t>
            </w:r>
            <w:r>
              <w:rPr>
                <w:position w:val="9"/>
                <w:sz w:val="16"/>
              </w:rPr>
              <w:t>3</w:t>
            </w:r>
          </w:p>
        </w:tc>
      </w:tr>
      <w:tr>
        <w:trPr>
          <w:trHeight w:val="260" w:hRule="atLeast"/>
        </w:trPr>
        <w:tc>
          <w:tcPr>
            <w:tcW w:w="1838" w:type="dxa"/>
            <w:shd w:val="clear" w:color="auto" w:fill="F1F1F1"/>
          </w:tcPr>
          <w:p>
            <w:pPr>
              <w:pStyle w:val="TableParagraph"/>
              <w:spacing w:line="256" w:lineRule="exact"/>
              <w:ind w:left="169" w:right="164"/>
              <w:jc w:val="center"/>
              <w:rPr>
                <w:sz w:val="24"/>
              </w:rPr>
            </w:pPr>
            <w:r>
              <w:rPr>
                <w:sz w:val="24"/>
              </w:rPr>
              <w:t>Anorexie</w:t>
            </w:r>
          </w:p>
        </w:tc>
        <w:tc>
          <w:tcPr>
            <w:tcW w:w="7372" w:type="dxa"/>
            <w:shd w:val="clear" w:color="auto" w:fill="F1F1F1"/>
          </w:tcPr>
          <w:p>
            <w:pPr>
              <w:pStyle w:val="TableParagraph"/>
              <w:rPr>
                <w:sz w:val="20"/>
              </w:rPr>
            </w:pPr>
          </w:p>
        </w:tc>
      </w:tr>
      <w:tr>
        <w:trPr>
          <w:trHeight w:val="260" w:hRule="atLeast"/>
        </w:trPr>
        <w:tc>
          <w:tcPr>
            <w:tcW w:w="1838" w:type="dxa"/>
          </w:tcPr>
          <w:p>
            <w:pPr>
              <w:pStyle w:val="TableParagraph"/>
              <w:spacing w:line="256" w:lineRule="exact"/>
              <w:ind w:left="4"/>
              <w:jc w:val="center"/>
              <w:rPr>
                <w:sz w:val="24"/>
              </w:rPr>
            </w:pPr>
            <w:r>
              <w:rPr>
                <w:sz w:val="24"/>
              </w:rPr>
              <w:t>0</w:t>
            </w:r>
          </w:p>
        </w:tc>
        <w:tc>
          <w:tcPr>
            <w:tcW w:w="7372" w:type="dxa"/>
          </w:tcPr>
          <w:p>
            <w:pPr>
              <w:pStyle w:val="TableParagraph"/>
              <w:spacing w:line="256" w:lineRule="exact"/>
              <w:ind w:left="643" w:right="644"/>
              <w:jc w:val="center"/>
              <w:rPr>
                <w:sz w:val="24"/>
              </w:rPr>
            </w:pPr>
            <w:r>
              <w:rPr>
                <w:sz w:val="24"/>
              </w:rPr>
              <w:t>Aucune</w:t>
            </w:r>
          </w:p>
        </w:tc>
      </w:tr>
      <w:tr>
        <w:trPr>
          <w:trHeight w:val="260" w:hRule="atLeast"/>
        </w:trPr>
        <w:tc>
          <w:tcPr>
            <w:tcW w:w="1838" w:type="dxa"/>
          </w:tcPr>
          <w:p>
            <w:pPr>
              <w:pStyle w:val="TableParagraph"/>
              <w:spacing w:line="256" w:lineRule="exact"/>
              <w:ind w:left="4"/>
              <w:jc w:val="center"/>
              <w:rPr>
                <w:sz w:val="24"/>
              </w:rPr>
            </w:pPr>
            <w:r>
              <w:rPr>
                <w:sz w:val="24"/>
              </w:rPr>
              <w:t>1</w:t>
            </w:r>
          </w:p>
        </w:tc>
        <w:tc>
          <w:tcPr>
            <w:tcW w:w="7372" w:type="dxa"/>
          </w:tcPr>
          <w:p>
            <w:pPr>
              <w:pStyle w:val="TableParagraph"/>
              <w:spacing w:line="256" w:lineRule="exact"/>
              <w:ind w:left="644" w:right="644"/>
              <w:jc w:val="center"/>
              <w:rPr>
                <w:sz w:val="24"/>
              </w:rPr>
            </w:pPr>
            <w:r>
              <w:rPr>
                <w:sz w:val="24"/>
              </w:rPr>
              <w:t>Inappétence</w:t>
            </w:r>
          </w:p>
        </w:tc>
      </w:tr>
      <w:tr>
        <w:trPr>
          <w:trHeight w:val="260" w:hRule="atLeast"/>
        </w:trPr>
        <w:tc>
          <w:tcPr>
            <w:tcW w:w="1838" w:type="dxa"/>
          </w:tcPr>
          <w:p>
            <w:pPr>
              <w:pStyle w:val="TableParagraph"/>
              <w:spacing w:line="256" w:lineRule="exact"/>
              <w:ind w:left="4"/>
              <w:jc w:val="center"/>
              <w:rPr>
                <w:sz w:val="24"/>
              </w:rPr>
            </w:pPr>
            <w:r>
              <w:rPr>
                <w:sz w:val="24"/>
              </w:rPr>
              <w:t>2</w:t>
            </w:r>
          </w:p>
        </w:tc>
        <w:tc>
          <w:tcPr>
            <w:tcW w:w="7372" w:type="dxa"/>
          </w:tcPr>
          <w:p>
            <w:pPr>
              <w:pStyle w:val="TableParagraph"/>
              <w:spacing w:line="256" w:lineRule="exact"/>
              <w:ind w:left="644" w:right="644"/>
              <w:jc w:val="center"/>
              <w:rPr>
                <w:sz w:val="24"/>
              </w:rPr>
            </w:pPr>
            <w:r>
              <w:rPr>
                <w:sz w:val="24"/>
              </w:rPr>
              <w:t>Anorexie &lt;3 jours</w:t>
            </w:r>
          </w:p>
        </w:tc>
      </w:tr>
      <w:tr>
        <w:trPr>
          <w:trHeight w:val="260" w:hRule="atLeast"/>
        </w:trPr>
        <w:tc>
          <w:tcPr>
            <w:tcW w:w="1838" w:type="dxa"/>
          </w:tcPr>
          <w:p>
            <w:pPr>
              <w:pStyle w:val="TableParagraph"/>
              <w:spacing w:line="258" w:lineRule="exact"/>
              <w:ind w:left="4"/>
              <w:jc w:val="center"/>
              <w:rPr>
                <w:sz w:val="24"/>
              </w:rPr>
            </w:pPr>
            <w:r>
              <w:rPr>
                <w:sz w:val="24"/>
              </w:rPr>
              <w:t>3</w:t>
            </w:r>
          </w:p>
        </w:tc>
        <w:tc>
          <w:tcPr>
            <w:tcW w:w="7372" w:type="dxa"/>
          </w:tcPr>
          <w:p>
            <w:pPr>
              <w:pStyle w:val="TableParagraph"/>
              <w:spacing w:line="258" w:lineRule="exact"/>
              <w:ind w:left="644" w:right="644"/>
              <w:jc w:val="center"/>
              <w:rPr>
                <w:sz w:val="24"/>
              </w:rPr>
            </w:pPr>
            <w:r>
              <w:rPr>
                <w:sz w:val="24"/>
              </w:rPr>
              <w:t>Anorexie &gt;3 jours mais &lt;5 jours</w:t>
            </w:r>
          </w:p>
        </w:tc>
      </w:tr>
      <w:tr>
        <w:trPr>
          <w:trHeight w:val="260" w:hRule="atLeast"/>
        </w:trPr>
        <w:tc>
          <w:tcPr>
            <w:tcW w:w="1838" w:type="dxa"/>
          </w:tcPr>
          <w:p>
            <w:pPr>
              <w:pStyle w:val="TableParagraph"/>
              <w:spacing w:line="256" w:lineRule="exact"/>
              <w:ind w:left="4"/>
              <w:jc w:val="center"/>
              <w:rPr>
                <w:sz w:val="24"/>
              </w:rPr>
            </w:pPr>
            <w:r>
              <w:rPr>
                <w:sz w:val="24"/>
              </w:rPr>
              <w:t>4</w:t>
            </w:r>
          </w:p>
        </w:tc>
        <w:tc>
          <w:tcPr>
            <w:tcW w:w="7372" w:type="dxa"/>
          </w:tcPr>
          <w:p>
            <w:pPr>
              <w:pStyle w:val="TableParagraph"/>
              <w:spacing w:line="256" w:lineRule="exact"/>
              <w:ind w:left="644" w:right="644"/>
              <w:jc w:val="center"/>
              <w:rPr>
                <w:sz w:val="24"/>
              </w:rPr>
            </w:pPr>
            <w:r>
              <w:rPr>
                <w:sz w:val="24"/>
              </w:rPr>
              <w:t>Anorexie &gt;5 jours</w:t>
            </w:r>
          </w:p>
        </w:tc>
      </w:tr>
      <w:tr>
        <w:trPr>
          <w:trHeight w:val="260" w:hRule="atLeast"/>
        </w:trPr>
        <w:tc>
          <w:tcPr>
            <w:tcW w:w="1838" w:type="dxa"/>
            <w:shd w:val="clear" w:color="auto" w:fill="F1F1F1"/>
          </w:tcPr>
          <w:p>
            <w:pPr>
              <w:pStyle w:val="TableParagraph"/>
              <w:spacing w:line="256" w:lineRule="exact"/>
              <w:ind w:left="167" w:right="166"/>
              <w:jc w:val="center"/>
              <w:rPr>
                <w:sz w:val="24"/>
              </w:rPr>
            </w:pPr>
            <w:r>
              <w:rPr>
                <w:sz w:val="24"/>
              </w:rPr>
              <w:t>Vomissements</w:t>
            </w:r>
          </w:p>
        </w:tc>
        <w:tc>
          <w:tcPr>
            <w:tcW w:w="7372" w:type="dxa"/>
            <w:shd w:val="clear" w:color="auto" w:fill="F1F1F1"/>
          </w:tcPr>
          <w:p>
            <w:pPr>
              <w:pStyle w:val="TableParagraph"/>
              <w:rPr>
                <w:sz w:val="20"/>
              </w:rPr>
            </w:pPr>
          </w:p>
        </w:tc>
      </w:tr>
      <w:tr>
        <w:trPr>
          <w:trHeight w:val="260" w:hRule="atLeast"/>
        </w:trPr>
        <w:tc>
          <w:tcPr>
            <w:tcW w:w="1838" w:type="dxa"/>
          </w:tcPr>
          <w:p>
            <w:pPr>
              <w:pStyle w:val="TableParagraph"/>
              <w:spacing w:line="256" w:lineRule="exact"/>
              <w:ind w:left="4"/>
              <w:jc w:val="center"/>
              <w:rPr>
                <w:sz w:val="24"/>
              </w:rPr>
            </w:pPr>
            <w:r>
              <w:rPr>
                <w:sz w:val="24"/>
              </w:rPr>
              <w:t>0</w:t>
            </w:r>
          </w:p>
        </w:tc>
        <w:tc>
          <w:tcPr>
            <w:tcW w:w="7372" w:type="dxa"/>
          </w:tcPr>
          <w:p>
            <w:pPr>
              <w:pStyle w:val="TableParagraph"/>
              <w:spacing w:line="256" w:lineRule="exact"/>
              <w:ind w:left="644" w:right="644"/>
              <w:jc w:val="center"/>
              <w:rPr>
                <w:sz w:val="24"/>
              </w:rPr>
            </w:pPr>
            <w:r>
              <w:rPr>
                <w:sz w:val="24"/>
              </w:rPr>
              <w:t>Aucun</w:t>
            </w:r>
          </w:p>
        </w:tc>
      </w:tr>
      <w:tr>
        <w:trPr>
          <w:trHeight w:val="260" w:hRule="atLeast"/>
        </w:trPr>
        <w:tc>
          <w:tcPr>
            <w:tcW w:w="1838" w:type="dxa"/>
          </w:tcPr>
          <w:p>
            <w:pPr>
              <w:pStyle w:val="TableParagraph"/>
              <w:spacing w:line="256" w:lineRule="exact"/>
              <w:ind w:left="4"/>
              <w:jc w:val="center"/>
              <w:rPr>
                <w:sz w:val="24"/>
              </w:rPr>
            </w:pPr>
            <w:r>
              <w:rPr>
                <w:sz w:val="24"/>
              </w:rPr>
              <w:t>1</w:t>
            </w:r>
          </w:p>
        </w:tc>
        <w:tc>
          <w:tcPr>
            <w:tcW w:w="7372" w:type="dxa"/>
          </w:tcPr>
          <w:p>
            <w:pPr>
              <w:pStyle w:val="TableParagraph"/>
              <w:spacing w:line="256" w:lineRule="exact"/>
              <w:ind w:left="644" w:right="644"/>
              <w:jc w:val="center"/>
              <w:rPr>
                <w:sz w:val="24"/>
              </w:rPr>
            </w:pPr>
            <w:r>
              <w:rPr>
                <w:sz w:val="24"/>
              </w:rPr>
              <w:t>Nausées</w:t>
            </w:r>
          </w:p>
        </w:tc>
      </w:tr>
      <w:tr>
        <w:trPr>
          <w:trHeight w:val="260" w:hRule="atLeast"/>
        </w:trPr>
        <w:tc>
          <w:tcPr>
            <w:tcW w:w="1838" w:type="dxa"/>
          </w:tcPr>
          <w:p>
            <w:pPr>
              <w:pStyle w:val="TableParagraph"/>
              <w:spacing w:line="256" w:lineRule="exact"/>
              <w:ind w:left="4"/>
              <w:jc w:val="center"/>
              <w:rPr>
                <w:sz w:val="24"/>
              </w:rPr>
            </w:pPr>
            <w:r>
              <w:rPr>
                <w:sz w:val="24"/>
              </w:rPr>
              <w:t>2</w:t>
            </w:r>
          </w:p>
        </w:tc>
        <w:tc>
          <w:tcPr>
            <w:tcW w:w="7372" w:type="dxa"/>
          </w:tcPr>
          <w:p>
            <w:pPr>
              <w:pStyle w:val="TableParagraph"/>
              <w:spacing w:line="256" w:lineRule="exact"/>
              <w:ind w:left="644" w:right="644"/>
              <w:jc w:val="center"/>
              <w:rPr>
                <w:sz w:val="24"/>
              </w:rPr>
            </w:pPr>
            <w:r>
              <w:rPr>
                <w:sz w:val="24"/>
              </w:rPr>
              <w:t>Sporadiques – résolution spontanée</w:t>
            </w:r>
          </w:p>
        </w:tc>
      </w:tr>
      <w:tr>
        <w:trPr>
          <w:trHeight w:val="260" w:hRule="atLeast"/>
        </w:trPr>
        <w:tc>
          <w:tcPr>
            <w:tcW w:w="1838" w:type="dxa"/>
          </w:tcPr>
          <w:p>
            <w:pPr>
              <w:pStyle w:val="TableParagraph"/>
              <w:spacing w:line="256" w:lineRule="exact"/>
              <w:ind w:left="4"/>
              <w:jc w:val="center"/>
              <w:rPr>
                <w:sz w:val="24"/>
              </w:rPr>
            </w:pPr>
            <w:r>
              <w:rPr>
                <w:sz w:val="24"/>
              </w:rPr>
              <w:t>3</w:t>
            </w:r>
          </w:p>
        </w:tc>
        <w:tc>
          <w:tcPr>
            <w:tcW w:w="7372" w:type="dxa"/>
          </w:tcPr>
          <w:p>
            <w:pPr>
              <w:pStyle w:val="TableParagraph"/>
              <w:spacing w:line="256" w:lineRule="exact"/>
              <w:ind w:left="644" w:right="644"/>
              <w:jc w:val="center"/>
              <w:rPr>
                <w:sz w:val="24"/>
              </w:rPr>
            </w:pPr>
            <w:r>
              <w:rPr>
                <w:sz w:val="24"/>
              </w:rPr>
              <w:t>1-5 épisodes par jour, moins de 2 jours – prise d’antiémétiques</w:t>
            </w:r>
          </w:p>
        </w:tc>
      </w:tr>
      <w:tr>
        <w:trPr>
          <w:trHeight w:val="260" w:hRule="atLeast"/>
        </w:trPr>
        <w:tc>
          <w:tcPr>
            <w:tcW w:w="1838" w:type="dxa"/>
          </w:tcPr>
          <w:p>
            <w:pPr>
              <w:pStyle w:val="TableParagraph"/>
              <w:spacing w:line="258" w:lineRule="exact"/>
              <w:ind w:left="4"/>
              <w:jc w:val="center"/>
              <w:rPr>
                <w:sz w:val="24"/>
              </w:rPr>
            </w:pPr>
            <w:r>
              <w:rPr>
                <w:sz w:val="24"/>
              </w:rPr>
              <w:t>4</w:t>
            </w:r>
          </w:p>
        </w:tc>
        <w:tc>
          <w:tcPr>
            <w:tcW w:w="7372" w:type="dxa"/>
          </w:tcPr>
          <w:p>
            <w:pPr>
              <w:pStyle w:val="TableParagraph"/>
              <w:spacing w:line="258" w:lineRule="exact"/>
              <w:ind w:left="644" w:right="644"/>
              <w:jc w:val="center"/>
              <w:rPr>
                <w:sz w:val="24"/>
              </w:rPr>
            </w:pPr>
            <w:r>
              <w:rPr>
                <w:sz w:val="24"/>
              </w:rPr>
              <w:t>6-10 épisodes par jour, hospitalisation</w:t>
            </w:r>
          </w:p>
        </w:tc>
      </w:tr>
      <w:tr>
        <w:trPr>
          <w:trHeight w:val="260" w:hRule="atLeast"/>
        </w:trPr>
        <w:tc>
          <w:tcPr>
            <w:tcW w:w="1838" w:type="dxa"/>
            <w:shd w:val="clear" w:color="auto" w:fill="F1F1F1"/>
          </w:tcPr>
          <w:p>
            <w:pPr>
              <w:pStyle w:val="TableParagraph"/>
              <w:spacing w:line="256" w:lineRule="exact"/>
              <w:ind w:left="169" w:right="166"/>
              <w:jc w:val="center"/>
              <w:rPr>
                <w:sz w:val="24"/>
              </w:rPr>
            </w:pPr>
            <w:r>
              <w:rPr>
                <w:sz w:val="24"/>
              </w:rPr>
              <w:t>Diarrhée</w:t>
            </w:r>
          </w:p>
        </w:tc>
        <w:tc>
          <w:tcPr>
            <w:tcW w:w="7372" w:type="dxa"/>
            <w:shd w:val="clear" w:color="auto" w:fill="F1F1F1"/>
          </w:tcPr>
          <w:p>
            <w:pPr>
              <w:pStyle w:val="TableParagraph"/>
              <w:rPr>
                <w:sz w:val="20"/>
              </w:rPr>
            </w:pPr>
          </w:p>
        </w:tc>
      </w:tr>
      <w:tr>
        <w:trPr>
          <w:trHeight w:val="260" w:hRule="atLeast"/>
        </w:trPr>
        <w:tc>
          <w:tcPr>
            <w:tcW w:w="1838" w:type="dxa"/>
          </w:tcPr>
          <w:p>
            <w:pPr>
              <w:pStyle w:val="TableParagraph"/>
              <w:spacing w:line="256" w:lineRule="exact"/>
              <w:ind w:left="4"/>
              <w:jc w:val="center"/>
              <w:rPr>
                <w:sz w:val="24"/>
              </w:rPr>
            </w:pPr>
            <w:r>
              <w:rPr>
                <w:sz w:val="24"/>
              </w:rPr>
              <w:t>0</w:t>
            </w:r>
          </w:p>
        </w:tc>
        <w:tc>
          <w:tcPr>
            <w:tcW w:w="7372" w:type="dxa"/>
          </w:tcPr>
          <w:p>
            <w:pPr>
              <w:pStyle w:val="TableParagraph"/>
              <w:spacing w:line="256" w:lineRule="exact"/>
              <w:ind w:left="643" w:right="644"/>
              <w:jc w:val="center"/>
              <w:rPr>
                <w:sz w:val="24"/>
              </w:rPr>
            </w:pPr>
            <w:r>
              <w:rPr>
                <w:sz w:val="24"/>
              </w:rPr>
              <w:t>Aucune</w:t>
            </w:r>
          </w:p>
        </w:tc>
      </w:tr>
      <w:tr>
        <w:trPr>
          <w:trHeight w:val="260" w:hRule="atLeast"/>
        </w:trPr>
        <w:tc>
          <w:tcPr>
            <w:tcW w:w="1838" w:type="dxa"/>
          </w:tcPr>
          <w:p>
            <w:pPr>
              <w:pStyle w:val="TableParagraph"/>
              <w:spacing w:line="256" w:lineRule="exact"/>
              <w:ind w:left="4"/>
              <w:jc w:val="center"/>
              <w:rPr>
                <w:sz w:val="24"/>
              </w:rPr>
            </w:pPr>
            <w:r>
              <w:rPr>
                <w:sz w:val="24"/>
              </w:rPr>
              <w:t>1</w:t>
            </w:r>
          </w:p>
        </w:tc>
        <w:tc>
          <w:tcPr>
            <w:tcW w:w="7372" w:type="dxa"/>
          </w:tcPr>
          <w:p>
            <w:pPr>
              <w:pStyle w:val="TableParagraph"/>
              <w:spacing w:line="256" w:lineRule="exact"/>
              <w:ind w:left="640" w:right="644"/>
              <w:jc w:val="center"/>
              <w:rPr>
                <w:sz w:val="24"/>
              </w:rPr>
            </w:pPr>
            <w:r>
              <w:rPr>
                <w:sz w:val="24"/>
              </w:rPr>
              <w:t>Selles molles, résolution avec changement alimentaire</w:t>
            </w:r>
          </w:p>
        </w:tc>
      </w:tr>
      <w:tr>
        <w:trPr>
          <w:trHeight w:val="260" w:hRule="atLeast"/>
        </w:trPr>
        <w:tc>
          <w:tcPr>
            <w:tcW w:w="1838" w:type="dxa"/>
          </w:tcPr>
          <w:p>
            <w:pPr>
              <w:pStyle w:val="TableParagraph"/>
              <w:spacing w:line="256" w:lineRule="exact"/>
              <w:ind w:left="4"/>
              <w:jc w:val="center"/>
              <w:rPr>
                <w:sz w:val="24"/>
              </w:rPr>
            </w:pPr>
            <w:r>
              <w:rPr>
                <w:sz w:val="24"/>
              </w:rPr>
              <w:t>2</w:t>
            </w:r>
          </w:p>
        </w:tc>
        <w:tc>
          <w:tcPr>
            <w:tcW w:w="7372" w:type="dxa"/>
          </w:tcPr>
          <w:p>
            <w:pPr>
              <w:pStyle w:val="TableParagraph"/>
              <w:spacing w:line="256" w:lineRule="exact"/>
              <w:ind w:left="643" w:right="644"/>
              <w:jc w:val="center"/>
              <w:rPr>
                <w:sz w:val="24"/>
              </w:rPr>
            </w:pPr>
            <w:r>
              <w:rPr>
                <w:sz w:val="24"/>
              </w:rPr>
              <w:t>1-4 épisodes de selles molles par jour, &lt;2 jours</w:t>
            </w:r>
          </w:p>
        </w:tc>
      </w:tr>
      <w:tr>
        <w:trPr>
          <w:trHeight w:val="260" w:hRule="atLeast"/>
        </w:trPr>
        <w:tc>
          <w:tcPr>
            <w:tcW w:w="1838" w:type="dxa"/>
          </w:tcPr>
          <w:p>
            <w:pPr>
              <w:pStyle w:val="TableParagraph"/>
              <w:spacing w:line="256" w:lineRule="exact"/>
              <w:ind w:left="4"/>
              <w:jc w:val="center"/>
              <w:rPr>
                <w:sz w:val="24"/>
              </w:rPr>
            </w:pPr>
            <w:r>
              <w:rPr>
                <w:sz w:val="24"/>
              </w:rPr>
              <w:t>3</w:t>
            </w:r>
          </w:p>
        </w:tc>
        <w:tc>
          <w:tcPr>
            <w:tcW w:w="7372" w:type="dxa"/>
          </w:tcPr>
          <w:p>
            <w:pPr>
              <w:pStyle w:val="TableParagraph"/>
              <w:spacing w:line="256" w:lineRule="exact"/>
              <w:ind w:left="642" w:right="644"/>
              <w:jc w:val="center"/>
              <w:rPr>
                <w:sz w:val="24"/>
              </w:rPr>
            </w:pPr>
            <w:r>
              <w:rPr>
                <w:sz w:val="24"/>
              </w:rPr>
              <w:t>4-7 épisodes de selles molles par jour, ou &gt;2 jours</w:t>
            </w:r>
          </w:p>
        </w:tc>
      </w:tr>
      <w:tr>
        <w:trPr>
          <w:trHeight w:val="540" w:hRule="atLeast"/>
        </w:trPr>
        <w:tc>
          <w:tcPr>
            <w:tcW w:w="1838" w:type="dxa"/>
          </w:tcPr>
          <w:p>
            <w:pPr>
              <w:pStyle w:val="TableParagraph"/>
              <w:spacing w:line="270" w:lineRule="exact"/>
              <w:ind w:left="4"/>
              <w:jc w:val="center"/>
              <w:rPr>
                <w:sz w:val="24"/>
              </w:rPr>
            </w:pPr>
            <w:r>
              <w:rPr>
                <w:sz w:val="24"/>
              </w:rPr>
              <w:t>4</w:t>
            </w:r>
          </w:p>
        </w:tc>
        <w:tc>
          <w:tcPr>
            <w:tcW w:w="7372" w:type="dxa"/>
          </w:tcPr>
          <w:p>
            <w:pPr>
              <w:pStyle w:val="TableParagraph"/>
              <w:spacing w:line="270" w:lineRule="exact"/>
              <w:ind w:left="644" w:right="644"/>
              <w:jc w:val="center"/>
              <w:rPr>
                <w:sz w:val="24"/>
              </w:rPr>
            </w:pPr>
            <w:r>
              <w:rPr>
                <w:sz w:val="24"/>
              </w:rPr>
              <w:t>&gt;7 épisodes de selles molles par jour ou présence de sang ou</w:t>
            </w:r>
          </w:p>
          <w:p>
            <w:pPr>
              <w:pStyle w:val="TableParagraph"/>
              <w:spacing w:line="264" w:lineRule="exact"/>
              <w:ind w:left="644" w:right="643"/>
              <w:jc w:val="center"/>
              <w:rPr>
                <w:sz w:val="24"/>
              </w:rPr>
            </w:pPr>
            <w:r>
              <w:rPr>
                <w:sz w:val="24"/>
              </w:rPr>
              <w:t>hospitalisation</w:t>
            </w:r>
          </w:p>
        </w:tc>
      </w:tr>
      <w:tr>
        <w:trPr>
          <w:trHeight w:val="260" w:hRule="atLeast"/>
        </w:trPr>
        <w:tc>
          <w:tcPr>
            <w:tcW w:w="1838" w:type="dxa"/>
            <w:shd w:val="clear" w:color="auto" w:fill="F1F1F1"/>
          </w:tcPr>
          <w:p>
            <w:pPr>
              <w:pStyle w:val="TableParagraph"/>
              <w:spacing w:line="256" w:lineRule="exact"/>
              <w:ind w:left="166" w:right="166"/>
              <w:jc w:val="center"/>
              <w:rPr>
                <w:sz w:val="24"/>
              </w:rPr>
            </w:pPr>
            <w:r>
              <w:rPr>
                <w:sz w:val="24"/>
              </w:rPr>
              <w:t>Infection</w:t>
            </w:r>
          </w:p>
        </w:tc>
        <w:tc>
          <w:tcPr>
            <w:tcW w:w="7372" w:type="dxa"/>
            <w:shd w:val="clear" w:color="auto" w:fill="F1F1F1"/>
          </w:tcPr>
          <w:p>
            <w:pPr>
              <w:pStyle w:val="TableParagraph"/>
              <w:rPr>
                <w:sz w:val="20"/>
              </w:rPr>
            </w:pPr>
          </w:p>
        </w:tc>
      </w:tr>
      <w:tr>
        <w:trPr>
          <w:trHeight w:val="260" w:hRule="atLeast"/>
        </w:trPr>
        <w:tc>
          <w:tcPr>
            <w:tcW w:w="1838" w:type="dxa"/>
          </w:tcPr>
          <w:p>
            <w:pPr>
              <w:pStyle w:val="TableParagraph"/>
              <w:spacing w:line="256" w:lineRule="exact"/>
              <w:ind w:left="4"/>
              <w:jc w:val="center"/>
              <w:rPr>
                <w:sz w:val="24"/>
              </w:rPr>
            </w:pPr>
            <w:r>
              <w:rPr>
                <w:sz w:val="24"/>
              </w:rPr>
              <w:t>0</w:t>
            </w:r>
          </w:p>
        </w:tc>
        <w:tc>
          <w:tcPr>
            <w:tcW w:w="7372" w:type="dxa"/>
          </w:tcPr>
          <w:p>
            <w:pPr>
              <w:pStyle w:val="TableParagraph"/>
              <w:spacing w:line="256" w:lineRule="exact"/>
              <w:ind w:left="643" w:right="644"/>
              <w:jc w:val="center"/>
              <w:rPr>
                <w:sz w:val="24"/>
              </w:rPr>
            </w:pPr>
            <w:r>
              <w:rPr>
                <w:sz w:val="24"/>
              </w:rPr>
              <w:t>Aucune</w:t>
            </w:r>
          </w:p>
        </w:tc>
      </w:tr>
      <w:tr>
        <w:trPr>
          <w:trHeight w:val="260" w:hRule="atLeast"/>
        </w:trPr>
        <w:tc>
          <w:tcPr>
            <w:tcW w:w="1838" w:type="dxa"/>
          </w:tcPr>
          <w:p>
            <w:pPr>
              <w:pStyle w:val="TableParagraph"/>
              <w:spacing w:line="256" w:lineRule="exact"/>
              <w:ind w:left="4"/>
              <w:jc w:val="center"/>
              <w:rPr>
                <w:sz w:val="24"/>
              </w:rPr>
            </w:pPr>
            <w:r>
              <w:rPr>
                <w:sz w:val="24"/>
              </w:rPr>
              <w:t>1</w:t>
            </w:r>
          </w:p>
        </w:tc>
        <w:tc>
          <w:tcPr>
            <w:tcW w:w="7372" w:type="dxa"/>
          </w:tcPr>
          <w:p>
            <w:pPr>
              <w:pStyle w:val="TableParagraph"/>
              <w:spacing w:line="256" w:lineRule="exact"/>
              <w:ind w:left="641" w:right="644"/>
              <w:jc w:val="center"/>
              <w:rPr>
                <w:sz w:val="24"/>
              </w:rPr>
            </w:pPr>
            <w:r>
              <w:rPr>
                <w:sz w:val="24"/>
              </w:rPr>
              <w:t>Thérapie non nécessaire</w:t>
            </w:r>
          </w:p>
        </w:tc>
      </w:tr>
      <w:tr>
        <w:trPr>
          <w:trHeight w:val="260" w:hRule="atLeast"/>
        </w:trPr>
        <w:tc>
          <w:tcPr>
            <w:tcW w:w="1838" w:type="dxa"/>
          </w:tcPr>
          <w:p>
            <w:pPr>
              <w:pStyle w:val="TableParagraph"/>
              <w:spacing w:line="256" w:lineRule="exact"/>
              <w:ind w:left="4"/>
              <w:jc w:val="center"/>
              <w:rPr>
                <w:sz w:val="24"/>
              </w:rPr>
            </w:pPr>
            <w:r>
              <w:rPr>
                <w:sz w:val="24"/>
              </w:rPr>
              <w:t>2</w:t>
            </w:r>
          </w:p>
        </w:tc>
        <w:tc>
          <w:tcPr>
            <w:tcW w:w="7372" w:type="dxa"/>
          </w:tcPr>
          <w:p>
            <w:pPr>
              <w:pStyle w:val="TableParagraph"/>
              <w:spacing w:line="256" w:lineRule="exact"/>
              <w:ind w:left="644" w:right="644"/>
              <w:jc w:val="center"/>
              <w:rPr>
                <w:sz w:val="24"/>
              </w:rPr>
            </w:pPr>
            <w:r>
              <w:rPr>
                <w:sz w:val="24"/>
              </w:rPr>
              <w:t>Thérapie nécessaire</w:t>
            </w:r>
          </w:p>
        </w:tc>
      </w:tr>
      <w:tr>
        <w:trPr>
          <w:trHeight w:val="260" w:hRule="atLeast"/>
        </w:trPr>
        <w:tc>
          <w:tcPr>
            <w:tcW w:w="1838" w:type="dxa"/>
          </w:tcPr>
          <w:p>
            <w:pPr>
              <w:pStyle w:val="TableParagraph"/>
              <w:spacing w:line="256" w:lineRule="exact"/>
              <w:ind w:left="4"/>
              <w:jc w:val="center"/>
              <w:rPr>
                <w:sz w:val="24"/>
              </w:rPr>
            </w:pPr>
            <w:r>
              <w:rPr>
                <w:sz w:val="24"/>
              </w:rPr>
              <w:t>3</w:t>
            </w:r>
          </w:p>
        </w:tc>
        <w:tc>
          <w:tcPr>
            <w:tcW w:w="7372" w:type="dxa"/>
          </w:tcPr>
          <w:p>
            <w:pPr>
              <w:pStyle w:val="TableParagraph"/>
              <w:spacing w:line="256" w:lineRule="exact"/>
              <w:ind w:left="643" w:right="644"/>
              <w:jc w:val="center"/>
              <w:rPr>
                <w:sz w:val="24"/>
              </w:rPr>
            </w:pPr>
            <w:r>
              <w:rPr>
                <w:sz w:val="24"/>
              </w:rPr>
              <w:t>Débilitant</w:t>
            </w:r>
          </w:p>
        </w:tc>
      </w:tr>
      <w:tr>
        <w:trPr>
          <w:trHeight w:val="260" w:hRule="atLeast"/>
        </w:trPr>
        <w:tc>
          <w:tcPr>
            <w:tcW w:w="1838" w:type="dxa"/>
          </w:tcPr>
          <w:p>
            <w:pPr>
              <w:pStyle w:val="TableParagraph"/>
              <w:spacing w:line="258" w:lineRule="exact"/>
              <w:ind w:left="4"/>
              <w:jc w:val="center"/>
              <w:rPr>
                <w:sz w:val="24"/>
              </w:rPr>
            </w:pPr>
            <w:r>
              <w:rPr>
                <w:sz w:val="24"/>
              </w:rPr>
              <w:t>4</w:t>
            </w:r>
          </w:p>
        </w:tc>
        <w:tc>
          <w:tcPr>
            <w:tcW w:w="7372" w:type="dxa"/>
          </w:tcPr>
          <w:p>
            <w:pPr>
              <w:pStyle w:val="TableParagraph"/>
              <w:spacing w:line="258" w:lineRule="exact"/>
              <w:ind w:left="641" w:right="644"/>
              <w:jc w:val="center"/>
              <w:rPr>
                <w:sz w:val="24"/>
              </w:rPr>
            </w:pPr>
            <w:r>
              <w:rPr>
                <w:sz w:val="24"/>
              </w:rPr>
              <w:t>Danger de mort</w:t>
            </w:r>
          </w:p>
        </w:tc>
      </w:tr>
    </w:tbl>
    <w:p>
      <w:pPr>
        <w:pStyle w:val="BodyText"/>
        <w:rPr>
          <w:i/>
          <w:sz w:val="20"/>
        </w:rPr>
      </w:pPr>
    </w:p>
    <w:p>
      <w:pPr>
        <w:pStyle w:val="BodyText"/>
        <w:rPr>
          <w:i/>
          <w:sz w:val="21"/>
        </w:rPr>
      </w:pPr>
    </w:p>
    <w:p>
      <w:pPr>
        <w:pStyle w:val="BodyText"/>
        <w:spacing w:line="273" w:lineRule="auto" w:before="1"/>
        <w:ind w:left="116" w:firstLine="707"/>
      </w:pPr>
      <w:r>
        <w:rPr/>
        <w:t>Une note de toxicité peut ainsi être obtenue en faisant la moyenne des différentes catégories.</w:t>
      </w:r>
    </w:p>
    <w:p>
      <w:pPr>
        <w:spacing w:after="0" w:line="273" w:lineRule="auto"/>
        <w:sectPr>
          <w:pgSz w:w="11910" w:h="16840"/>
          <w:pgMar w:header="0" w:footer="1055" w:top="1320" w:bottom="1240" w:left="1300" w:right="1160"/>
        </w:sectPr>
      </w:pPr>
    </w:p>
    <w:p>
      <w:pPr>
        <w:pStyle w:val="Heading3"/>
        <w:spacing w:line="259" w:lineRule="auto" w:before="73"/>
        <w:ind w:left="1861" w:right="765" w:hanging="1623"/>
      </w:pPr>
      <w:bookmarkStart w:name="_bookmark239" w:id="413"/>
      <w:bookmarkEnd w:id="413"/>
      <w:r>
        <w:rPr>
          <w:b w:val="0"/>
        </w:rPr>
      </w:r>
      <w:r>
        <w:rPr>
          <w:u w:val="thick"/>
        </w:rPr>
        <w:t>Annexe 8 : Grille d’évaluation des effets secondaires d’un traitement et de</w:t>
      </w:r>
      <w:r>
        <w:rPr/>
        <w:t> </w:t>
      </w:r>
      <w:r>
        <w:rPr>
          <w:u w:val="thick"/>
        </w:rPr>
        <w:t>la qualité de vie de l’animal par le propriétaire</w:t>
      </w:r>
    </w:p>
    <w:p>
      <w:pPr>
        <w:pStyle w:val="BodyText"/>
        <w:rPr>
          <w:b/>
          <w:sz w:val="20"/>
        </w:rPr>
      </w:pPr>
    </w:p>
    <w:p>
      <w:pPr>
        <w:pStyle w:val="BodyText"/>
        <w:spacing w:before="3"/>
        <w:rPr>
          <w:b/>
          <w:sz w:val="21"/>
        </w:rPr>
      </w:pPr>
    </w:p>
    <w:p>
      <w:pPr>
        <w:spacing w:before="0"/>
        <w:ind w:left="1748" w:right="0" w:firstLine="0"/>
        <w:jc w:val="left"/>
        <w:rPr>
          <w:i/>
          <w:sz w:val="24"/>
        </w:rPr>
      </w:pPr>
      <w:r>
        <w:rPr>
          <w:i/>
          <w:sz w:val="24"/>
        </w:rPr>
        <w:t>(inspiré et modifié d’après l’article de Spugnini et al., 2014)</w:t>
      </w:r>
    </w:p>
    <w:p>
      <w:pPr>
        <w:pStyle w:val="BodyText"/>
        <w:rPr>
          <w:i/>
          <w:sz w:val="20"/>
        </w:rPr>
      </w:pPr>
    </w:p>
    <w:p>
      <w:pPr>
        <w:pStyle w:val="BodyText"/>
        <w:rPr>
          <w:i/>
          <w:sz w:val="20"/>
        </w:rPr>
      </w:pPr>
    </w:p>
    <w:p>
      <w:pPr>
        <w:pStyle w:val="BodyText"/>
        <w:spacing w:before="8"/>
        <w:rPr>
          <w:i/>
          <w:sz w:val="19"/>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1841"/>
        <w:gridCol w:w="2127"/>
        <w:gridCol w:w="2256"/>
        <w:gridCol w:w="2249"/>
      </w:tblGrid>
      <w:tr>
        <w:trPr>
          <w:trHeight w:val="260" w:hRule="atLeast"/>
        </w:trPr>
        <w:tc>
          <w:tcPr>
            <w:tcW w:w="1130" w:type="dxa"/>
          </w:tcPr>
          <w:p>
            <w:pPr>
              <w:pStyle w:val="TableParagraph"/>
              <w:spacing w:line="256" w:lineRule="exact"/>
              <w:ind w:left="120" w:right="118"/>
              <w:jc w:val="center"/>
              <w:rPr>
                <w:sz w:val="24"/>
              </w:rPr>
            </w:pPr>
            <w:r>
              <w:rPr>
                <w:sz w:val="24"/>
              </w:rPr>
              <w:t>Animal</w:t>
            </w:r>
          </w:p>
        </w:tc>
        <w:tc>
          <w:tcPr>
            <w:tcW w:w="1841" w:type="dxa"/>
          </w:tcPr>
          <w:p>
            <w:pPr>
              <w:pStyle w:val="TableParagraph"/>
              <w:rPr>
                <w:sz w:val="20"/>
              </w:rPr>
            </w:pPr>
          </w:p>
        </w:tc>
        <w:tc>
          <w:tcPr>
            <w:tcW w:w="2127" w:type="dxa"/>
          </w:tcPr>
          <w:p>
            <w:pPr>
              <w:pStyle w:val="TableParagraph"/>
              <w:spacing w:line="256" w:lineRule="exact"/>
              <w:ind w:left="195" w:right="195"/>
              <w:jc w:val="center"/>
              <w:rPr>
                <w:sz w:val="24"/>
              </w:rPr>
            </w:pPr>
            <w:r>
              <w:rPr>
                <w:sz w:val="24"/>
              </w:rPr>
              <w:t>Date</w:t>
            </w:r>
          </w:p>
        </w:tc>
        <w:tc>
          <w:tcPr>
            <w:tcW w:w="2256" w:type="dxa"/>
          </w:tcPr>
          <w:p>
            <w:pPr>
              <w:pStyle w:val="TableParagraph"/>
              <w:rPr>
                <w:sz w:val="20"/>
              </w:rPr>
            </w:pPr>
          </w:p>
        </w:tc>
        <w:tc>
          <w:tcPr>
            <w:tcW w:w="2249" w:type="dxa"/>
          </w:tcPr>
          <w:p>
            <w:pPr>
              <w:pStyle w:val="TableParagraph"/>
              <w:rPr>
                <w:sz w:val="20"/>
              </w:rPr>
            </w:pPr>
          </w:p>
        </w:tc>
      </w:tr>
      <w:tr>
        <w:trPr>
          <w:trHeight w:val="260" w:hRule="atLeast"/>
        </w:trPr>
        <w:tc>
          <w:tcPr>
            <w:tcW w:w="9604" w:type="dxa"/>
            <w:gridSpan w:val="5"/>
            <w:shd w:val="clear" w:color="auto" w:fill="F1F1F1"/>
          </w:tcPr>
          <w:p>
            <w:pPr>
              <w:pStyle w:val="TableParagraph"/>
              <w:spacing w:line="257" w:lineRule="exact"/>
              <w:ind w:left="4044" w:right="4043"/>
              <w:jc w:val="center"/>
              <w:rPr>
                <w:b/>
                <w:sz w:val="24"/>
              </w:rPr>
            </w:pPr>
            <w:r>
              <w:rPr>
                <w:b/>
                <w:sz w:val="24"/>
              </w:rPr>
              <w:t>Vomissements</w:t>
            </w:r>
          </w:p>
        </w:tc>
      </w:tr>
      <w:tr>
        <w:trPr>
          <w:trHeight w:val="260" w:hRule="atLeast"/>
        </w:trPr>
        <w:tc>
          <w:tcPr>
            <w:tcW w:w="1130" w:type="dxa"/>
          </w:tcPr>
          <w:p>
            <w:pPr>
              <w:pStyle w:val="TableParagraph"/>
              <w:spacing w:line="257" w:lineRule="exact"/>
              <w:ind w:left="2"/>
              <w:jc w:val="center"/>
              <w:rPr>
                <w:sz w:val="24"/>
              </w:rPr>
            </w:pPr>
            <w:r>
              <w:rPr>
                <w:sz w:val="24"/>
              </w:rPr>
              <w:t>0</w:t>
            </w:r>
          </w:p>
        </w:tc>
        <w:tc>
          <w:tcPr>
            <w:tcW w:w="1841" w:type="dxa"/>
          </w:tcPr>
          <w:p>
            <w:pPr>
              <w:pStyle w:val="TableParagraph"/>
              <w:spacing w:line="257" w:lineRule="exact"/>
              <w:ind w:left="1"/>
              <w:jc w:val="center"/>
              <w:rPr>
                <w:sz w:val="24"/>
              </w:rPr>
            </w:pPr>
            <w:r>
              <w:rPr>
                <w:sz w:val="24"/>
              </w:rPr>
              <w:t>1</w:t>
            </w:r>
          </w:p>
        </w:tc>
        <w:tc>
          <w:tcPr>
            <w:tcW w:w="2127" w:type="dxa"/>
          </w:tcPr>
          <w:p>
            <w:pPr>
              <w:pStyle w:val="TableParagraph"/>
              <w:spacing w:line="257" w:lineRule="exact"/>
              <w:ind w:left="4"/>
              <w:jc w:val="center"/>
              <w:rPr>
                <w:sz w:val="24"/>
              </w:rPr>
            </w:pPr>
            <w:r>
              <w:rPr>
                <w:sz w:val="24"/>
              </w:rPr>
              <w:t>2</w:t>
            </w:r>
          </w:p>
        </w:tc>
        <w:tc>
          <w:tcPr>
            <w:tcW w:w="2256" w:type="dxa"/>
          </w:tcPr>
          <w:p>
            <w:pPr>
              <w:pStyle w:val="TableParagraph"/>
              <w:spacing w:line="257" w:lineRule="exact"/>
              <w:ind w:left="4"/>
              <w:jc w:val="center"/>
              <w:rPr>
                <w:sz w:val="24"/>
              </w:rPr>
            </w:pPr>
            <w:r>
              <w:rPr>
                <w:sz w:val="24"/>
              </w:rPr>
              <w:t>3</w:t>
            </w:r>
          </w:p>
        </w:tc>
        <w:tc>
          <w:tcPr>
            <w:tcW w:w="2249" w:type="dxa"/>
          </w:tcPr>
          <w:p>
            <w:pPr>
              <w:pStyle w:val="TableParagraph"/>
              <w:spacing w:line="257" w:lineRule="exact"/>
              <w:ind w:left="2"/>
              <w:jc w:val="center"/>
              <w:rPr>
                <w:sz w:val="24"/>
              </w:rPr>
            </w:pPr>
            <w:r>
              <w:rPr>
                <w:sz w:val="24"/>
              </w:rPr>
              <w:t>4</w:t>
            </w:r>
          </w:p>
        </w:tc>
      </w:tr>
      <w:tr>
        <w:trPr>
          <w:trHeight w:val="1100" w:hRule="atLeast"/>
        </w:trPr>
        <w:tc>
          <w:tcPr>
            <w:tcW w:w="1130" w:type="dxa"/>
          </w:tcPr>
          <w:p>
            <w:pPr>
              <w:pStyle w:val="TableParagraph"/>
              <w:spacing w:line="268" w:lineRule="exact"/>
              <w:ind w:left="120" w:right="120"/>
              <w:jc w:val="center"/>
              <w:rPr>
                <w:sz w:val="24"/>
              </w:rPr>
            </w:pPr>
            <w:r>
              <w:rPr>
                <w:sz w:val="24"/>
              </w:rPr>
              <w:t>Aucun</w:t>
            </w:r>
          </w:p>
        </w:tc>
        <w:tc>
          <w:tcPr>
            <w:tcW w:w="1841" w:type="dxa"/>
          </w:tcPr>
          <w:p>
            <w:pPr>
              <w:pStyle w:val="TableParagraph"/>
              <w:spacing w:line="268" w:lineRule="exact"/>
              <w:ind w:left="118" w:right="119"/>
              <w:jc w:val="center"/>
              <w:rPr>
                <w:sz w:val="24"/>
              </w:rPr>
            </w:pPr>
            <w:r>
              <w:rPr>
                <w:sz w:val="24"/>
              </w:rPr>
              <w:t>Nausées</w:t>
            </w:r>
          </w:p>
        </w:tc>
        <w:tc>
          <w:tcPr>
            <w:tcW w:w="2127" w:type="dxa"/>
          </w:tcPr>
          <w:p>
            <w:pPr>
              <w:pStyle w:val="TableParagraph"/>
              <w:ind w:left="580" w:right="354" w:hanging="204"/>
              <w:rPr>
                <w:sz w:val="24"/>
              </w:rPr>
            </w:pPr>
            <w:r>
              <w:rPr>
                <w:sz w:val="24"/>
              </w:rPr>
              <w:t>Sporadiques – résolution spontanée</w:t>
            </w:r>
          </w:p>
        </w:tc>
        <w:tc>
          <w:tcPr>
            <w:tcW w:w="2256" w:type="dxa"/>
          </w:tcPr>
          <w:p>
            <w:pPr>
              <w:pStyle w:val="TableParagraph"/>
              <w:ind w:left="155" w:right="148"/>
              <w:jc w:val="center"/>
              <w:rPr>
                <w:sz w:val="24"/>
              </w:rPr>
            </w:pPr>
            <w:r>
              <w:rPr>
                <w:sz w:val="24"/>
              </w:rPr>
              <w:t>1-5 épisodes par jour, moins de 2</w:t>
            </w:r>
          </w:p>
          <w:p>
            <w:pPr>
              <w:pStyle w:val="TableParagraph"/>
              <w:spacing w:line="270" w:lineRule="atLeast" w:before="8"/>
              <w:ind w:left="357" w:right="355" w:firstLine="5"/>
              <w:jc w:val="center"/>
              <w:rPr>
                <w:sz w:val="24"/>
              </w:rPr>
            </w:pPr>
            <w:r>
              <w:rPr>
                <w:sz w:val="24"/>
              </w:rPr>
              <w:t>jours – prise d’antiémétiques</w:t>
            </w:r>
          </w:p>
        </w:tc>
        <w:tc>
          <w:tcPr>
            <w:tcW w:w="2249" w:type="dxa"/>
          </w:tcPr>
          <w:p>
            <w:pPr>
              <w:pStyle w:val="TableParagraph"/>
              <w:ind w:left="167" w:right="145" w:firstLine="108"/>
              <w:rPr>
                <w:sz w:val="24"/>
              </w:rPr>
            </w:pPr>
            <w:r>
              <w:rPr>
                <w:sz w:val="24"/>
              </w:rPr>
              <w:t>6-10 épisodes par jour, hospitalisation</w:t>
            </w:r>
          </w:p>
        </w:tc>
      </w:tr>
      <w:tr>
        <w:trPr>
          <w:trHeight w:val="260" w:hRule="atLeast"/>
        </w:trPr>
        <w:tc>
          <w:tcPr>
            <w:tcW w:w="1130" w:type="dxa"/>
          </w:tcPr>
          <w:p>
            <w:pPr>
              <w:pStyle w:val="TableParagraph"/>
              <w:rPr>
                <w:sz w:val="20"/>
              </w:rPr>
            </w:pPr>
          </w:p>
        </w:tc>
        <w:tc>
          <w:tcPr>
            <w:tcW w:w="1841" w:type="dxa"/>
          </w:tcPr>
          <w:p>
            <w:pPr>
              <w:pStyle w:val="TableParagraph"/>
              <w:rPr>
                <w:sz w:val="20"/>
              </w:rPr>
            </w:pPr>
          </w:p>
        </w:tc>
        <w:tc>
          <w:tcPr>
            <w:tcW w:w="2127" w:type="dxa"/>
          </w:tcPr>
          <w:p>
            <w:pPr>
              <w:pStyle w:val="TableParagraph"/>
              <w:rPr>
                <w:sz w:val="20"/>
              </w:rPr>
            </w:pPr>
          </w:p>
        </w:tc>
        <w:tc>
          <w:tcPr>
            <w:tcW w:w="2256" w:type="dxa"/>
          </w:tcPr>
          <w:p>
            <w:pPr>
              <w:pStyle w:val="TableParagraph"/>
              <w:rPr>
                <w:sz w:val="20"/>
              </w:rPr>
            </w:pPr>
          </w:p>
        </w:tc>
        <w:tc>
          <w:tcPr>
            <w:tcW w:w="2249" w:type="dxa"/>
          </w:tcPr>
          <w:p>
            <w:pPr>
              <w:pStyle w:val="TableParagraph"/>
              <w:rPr>
                <w:sz w:val="20"/>
              </w:rPr>
            </w:pPr>
          </w:p>
        </w:tc>
      </w:tr>
      <w:tr>
        <w:trPr>
          <w:trHeight w:val="260" w:hRule="atLeast"/>
        </w:trPr>
        <w:tc>
          <w:tcPr>
            <w:tcW w:w="9604" w:type="dxa"/>
            <w:gridSpan w:val="5"/>
            <w:shd w:val="clear" w:color="auto" w:fill="F1F1F1"/>
          </w:tcPr>
          <w:p>
            <w:pPr>
              <w:pStyle w:val="TableParagraph"/>
              <w:spacing w:line="256" w:lineRule="exact"/>
              <w:ind w:left="4044" w:right="4042"/>
              <w:jc w:val="center"/>
              <w:rPr>
                <w:b/>
                <w:sz w:val="24"/>
              </w:rPr>
            </w:pPr>
            <w:r>
              <w:rPr>
                <w:b/>
                <w:sz w:val="24"/>
              </w:rPr>
              <w:t>Diarrhée</w:t>
            </w:r>
          </w:p>
        </w:tc>
      </w:tr>
      <w:tr>
        <w:trPr>
          <w:trHeight w:val="260" w:hRule="atLeast"/>
        </w:trPr>
        <w:tc>
          <w:tcPr>
            <w:tcW w:w="1130" w:type="dxa"/>
          </w:tcPr>
          <w:p>
            <w:pPr>
              <w:pStyle w:val="TableParagraph"/>
              <w:spacing w:line="256" w:lineRule="exact"/>
              <w:ind w:left="2"/>
              <w:jc w:val="center"/>
              <w:rPr>
                <w:sz w:val="24"/>
              </w:rPr>
            </w:pPr>
            <w:r>
              <w:rPr>
                <w:sz w:val="24"/>
              </w:rPr>
              <w:t>0</w:t>
            </w:r>
          </w:p>
        </w:tc>
        <w:tc>
          <w:tcPr>
            <w:tcW w:w="1841" w:type="dxa"/>
          </w:tcPr>
          <w:p>
            <w:pPr>
              <w:pStyle w:val="TableParagraph"/>
              <w:spacing w:line="256" w:lineRule="exact"/>
              <w:ind w:left="1"/>
              <w:jc w:val="center"/>
              <w:rPr>
                <w:sz w:val="24"/>
              </w:rPr>
            </w:pPr>
            <w:r>
              <w:rPr>
                <w:sz w:val="24"/>
              </w:rPr>
              <w:t>1</w:t>
            </w:r>
          </w:p>
        </w:tc>
        <w:tc>
          <w:tcPr>
            <w:tcW w:w="2127" w:type="dxa"/>
          </w:tcPr>
          <w:p>
            <w:pPr>
              <w:pStyle w:val="TableParagraph"/>
              <w:spacing w:line="256" w:lineRule="exact"/>
              <w:ind w:left="4"/>
              <w:jc w:val="center"/>
              <w:rPr>
                <w:sz w:val="24"/>
              </w:rPr>
            </w:pPr>
            <w:r>
              <w:rPr>
                <w:sz w:val="24"/>
              </w:rPr>
              <w:t>2</w:t>
            </w:r>
          </w:p>
        </w:tc>
        <w:tc>
          <w:tcPr>
            <w:tcW w:w="2256" w:type="dxa"/>
          </w:tcPr>
          <w:p>
            <w:pPr>
              <w:pStyle w:val="TableParagraph"/>
              <w:spacing w:line="256" w:lineRule="exact"/>
              <w:ind w:left="4"/>
              <w:jc w:val="center"/>
              <w:rPr>
                <w:sz w:val="24"/>
              </w:rPr>
            </w:pPr>
            <w:r>
              <w:rPr>
                <w:sz w:val="24"/>
              </w:rPr>
              <w:t>3</w:t>
            </w:r>
          </w:p>
        </w:tc>
        <w:tc>
          <w:tcPr>
            <w:tcW w:w="2249" w:type="dxa"/>
          </w:tcPr>
          <w:p>
            <w:pPr>
              <w:pStyle w:val="TableParagraph"/>
              <w:spacing w:line="256" w:lineRule="exact"/>
              <w:ind w:left="2"/>
              <w:jc w:val="center"/>
              <w:rPr>
                <w:sz w:val="24"/>
              </w:rPr>
            </w:pPr>
            <w:r>
              <w:rPr>
                <w:sz w:val="24"/>
              </w:rPr>
              <w:t>4</w:t>
            </w:r>
          </w:p>
        </w:tc>
      </w:tr>
      <w:tr>
        <w:trPr>
          <w:trHeight w:val="1120" w:hRule="atLeast"/>
        </w:trPr>
        <w:tc>
          <w:tcPr>
            <w:tcW w:w="1130" w:type="dxa"/>
          </w:tcPr>
          <w:p>
            <w:pPr>
              <w:pStyle w:val="TableParagraph"/>
              <w:spacing w:line="270" w:lineRule="exact"/>
              <w:ind w:left="120" w:right="120"/>
              <w:jc w:val="center"/>
              <w:rPr>
                <w:sz w:val="24"/>
              </w:rPr>
            </w:pPr>
            <w:r>
              <w:rPr>
                <w:sz w:val="24"/>
              </w:rPr>
              <w:t>Absence</w:t>
            </w:r>
          </w:p>
        </w:tc>
        <w:tc>
          <w:tcPr>
            <w:tcW w:w="1841" w:type="dxa"/>
          </w:tcPr>
          <w:p>
            <w:pPr>
              <w:pStyle w:val="TableParagraph"/>
              <w:ind w:left="186" w:right="184" w:firstLine="1"/>
              <w:jc w:val="center"/>
              <w:rPr>
                <w:sz w:val="24"/>
              </w:rPr>
            </w:pPr>
            <w:r>
              <w:rPr>
                <w:sz w:val="24"/>
              </w:rPr>
              <w:t>Selles molles, résolution avec changement alimentaire</w:t>
            </w:r>
          </w:p>
        </w:tc>
        <w:tc>
          <w:tcPr>
            <w:tcW w:w="2127" w:type="dxa"/>
          </w:tcPr>
          <w:p>
            <w:pPr>
              <w:pStyle w:val="TableParagraph"/>
              <w:ind w:left="261" w:right="254" w:hanging="3"/>
              <w:jc w:val="center"/>
              <w:rPr>
                <w:sz w:val="24"/>
              </w:rPr>
            </w:pPr>
            <w:r>
              <w:rPr>
                <w:sz w:val="24"/>
              </w:rPr>
              <w:t>1-4 épisodes de selles molles par jour, &lt;2 jours</w:t>
            </w:r>
          </w:p>
        </w:tc>
        <w:tc>
          <w:tcPr>
            <w:tcW w:w="2256" w:type="dxa"/>
          </w:tcPr>
          <w:p>
            <w:pPr>
              <w:pStyle w:val="TableParagraph"/>
              <w:ind w:left="323" w:right="319" w:firstLine="55"/>
              <w:jc w:val="both"/>
              <w:rPr>
                <w:sz w:val="24"/>
              </w:rPr>
            </w:pPr>
            <w:r>
              <w:rPr>
                <w:sz w:val="24"/>
              </w:rPr>
              <w:t>4-7 épisodes de selles molles par jour, ou &gt;2 jours</w:t>
            </w:r>
          </w:p>
        </w:tc>
        <w:tc>
          <w:tcPr>
            <w:tcW w:w="2249" w:type="dxa"/>
          </w:tcPr>
          <w:p>
            <w:pPr>
              <w:pStyle w:val="TableParagraph"/>
              <w:ind w:left="110" w:right="107"/>
              <w:jc w:val="center"/>
              <w:rPr>
                <w:sz w:val="24"/>
              </w:rPr>
            </w:pPr>
            <w:r>
              <w:rPr>
                <w:sz w:val="24"/>
              </w:rPr>
              <w:t>&gt;7 épisodes de selles molles par jour ou présence de sang ou hospitalisation</w:t>
            </w:r>
          </w:p>
        </w:tc>
      </w:tr>
      <w:tr>
        <w:trPr>
          <w:trHeight w:val="260" w:hRule="atLeast"/>
        </w:trPr>
        <w:tc>
          <w:tcPr>
            <w:tcW w:w="1130" w:type="dxa"/>
          </w:tcPr>
          <w:p>
            <w:pPr>
              <w:pStyle w:val="TableParagraph"/>
              <w:rPr>
                <w:sz w:val="20"/>
              </w:rPr>
            </w:pPr>
          </w:p>
        </w:tc>
        <w:tc>
          <w:tcPr>
            <w:tcW w:w="1841" w:type="dxa"/>
          </w:tcPr>
          <w:p>
            <w:pPr>
              <w:pStyle w:val="TableParagraph"/>
              <w:rPr>
                <w:sz w:val="20"/>
              </w:rPr>
            </w:pPr>
          </w:p>
        </w:tc>
        <w:tc>
          <w:tcPr>
            <w:tcW w:w="2127" w:type="dxa"/>
          </w:tcPr>
          <w:p>
            <w:pPr>
              <w:pStyle w:val="TableParagraph"/>
              <w:rPr>
                <w:sz w:val="20"/>
              </w:rPr>
            </w:pPr>
          </w:p>
        </w:tc>
        <w:tc>
          <w:tcPr>
            <w:tcW w:w="2256" w:type="dxa"/>
          </w:tcPr>
          <w:p>
            <w:pPr>
              <w:pStyle w:val="TableParagraph"/>
              <w:rPr>
                <w:sz w:val="20"/>
              </w:rPr>
            </w:pPr>
          </w:p>
        </w:tc>
        <w:tc>
          <w:tcPr>
            <w:tcW w:w="2249" w:type="dxa"/>
          </w:tcPr>
          <w:p>
            <w:pPr>
              <w:pStyle w:val="TableParagraph"/>
              <w:rPr>
                <w:sz w:val="20"/>
              </w:rPr>
            </w:pPr>
          </w:p>
        </w:tc>
      </w:tr>
      <w:tr>
        <w:trPr>
          <w:trHeight w:val="280" w:hRule="atLeast"/>
        </w:trPr>
        <w:tc>
          <w:tcPr>
            <w:tcW w:w="9604" w:type="dxa"/>
            <w:gridSpan w:val="5"/>
            <w:shd w:val="clear" w:color="auto" w:fill="F1F1F1"/>
          </w:tcPr>
          <w:p>
            <w:pPr>
              <w:pStyle w:val="TableParagraph"/>
              <w:spacing w:line="273" w:lineRule="exact"/>
              <w:ind w:left="4044" w:right="4042"/>
              <w:jc w:val="center"/>
              <w:rPr>
                <w:b/>
                <w:sz w:val="24"/>
              </w:rPr>
            </w:pPr>
            <w:r>
              <w:rPr>
                <w:b/>
                <w:sz w:val="24"/>
              </w:rPr>
              <w:t>Appétit</w:t>
            </w:r>
          </w:p>
        </w:tc>
      </w:tr>
      <w:tr>
        <w:trPr>
          <w:trHeight w:val="260" w:hRule="atLeast"/>
        </w:trPr>
        <w:tc>
          <w:tcPr>
            <w:tcW w:w="1130" w:type="dxa"/>
          </w:tcPr>
          <w:p>
            <w:pPr>
              <w:pStyle w:val="TableParagraph"/>
              <w:spacing w:line="256" w:lineRule="exact"/>
              <w:ind w:left="2"/>
              <w:jc w:val="center"/>
              <w:rPr>
                <w:sz w:val="24"/>
              </w:rPr>
            </w:pPr>
            <w:r>
              <w:rPr>
                <w:sz w:val="24"/>
              </w:rPr>
              <w:t>0</w:t>
            </w:r>
          </w:p>
        </w:tc>
        <w:tc>
          <w:tcPr>
            <w:tcW w:w="1841" w:type="dxa"/>
          </w:tcPr>
          <w:p>
            <w:pPr>
              <w:pStyle w:val="TableParagraph"/>
              <w:spacing w:line="256" w:lineRule="exact"/>
              <w:ind w:left="1"/>
              <w:jc w:val="center"/>
              <w:rPr>
                <w:sz w:val="24"/>
              </w:rPr>
            </w:pPr>
            <w:r>
              <w:rPr>
                <w:sz w:val="24"/>
              </w:rPr>
              <w:t>1</w:t>
            </w:r>
          </w:p>
        </w:tc>
        <w:tc>
          <w:tcPr>
            <w:tcW w:w="2127" w:type="dxa"/>
          </w:tcPr>
          <w:p>
            <w:pPr>
              <w:pStyle w:val="TableParagraph"/>
              <w:spacing w:line="256" w:lineRule="exact"/>
              <w:ind w:left="4"/>
              <w:jc w:val="center"/>
              <w:rPr>
                <w:sz w:val="24"/>
              </w:rPr>
            </w:pPr>
            <w:r>
              <w:rPr>
                <w:sz w:val="24"/>
              </w:rPr>
              <w:t>2</w:t>
            </w:r>
          </w:p>
        </w:tc>
        <w:tc>
          <w:tcPr>
            <w:tcW w:w="2256" w:type="dxa"/>
          </w:tcPr>
          <w:p>
            <w:pPr>
              <w:pStyle w:val="TableParagraph"/>
              <w:spacing w:line="256" w:lineRule="exact"/>
              <w:ind w:left="4"/>
              <w:jc w:val="center"/>
              <w:rPr>
                <w:sz w:val="24"/>
              </w:rPr>
            </w:pPr>
            <w:r>
              <w:rPr>
                <w:sz w:val="24"/>
              </w:rPr>
              <w:t>3</w:t>
            </w:r>
          </w:p>
        </w:tc>
        <w:tc>
          <w:tcPr>
            <w:tcW w:w="2249" w:type="dxa"/>
          </w:tcPr>
          <w:p>
            <w:pPr>
              <w:pStyle w:val="TableParagraph"/>
              <w:spacing w:line="256" w:lineRule="exact"/>
              <w:ind w:left="2"/>
              <w:jc w:val="center"/>
              <w:rPr>
                <w:sz w:val="24"/>
              </w:rPr>
            </w:pPr>
            <w:r>
              <w:rPr>
                <w:sz w:val="24"/>
              </w:rPr>
              <w:t>4</w:t>
            </w:r>
          </w:p>
        </w:tc>
      </w:tr>
      <w:tr>
        <w:trPr>
          <w:trHeight w:val="1360" w:hRule="atLeast"/>
        </w:trPr>
        <w:tc>
          <w:tcPr>
            <w:tcW w:w="1130" w:type="dxa"/>
          </w:tcPr>
          <w:p>
            <w:pPr>
              <w:pStyle w:val="TableParagraph"/>
              <w:spacing w:line="270" w:lineRule="exact"/>
              <w:ind w:left="120" w:right="120"/>
              <w:jc w:val="center"/>
              <w:rPr>
                <w:sz w:val="24"/>
              </w:rPr>
            </w:pPr>
            <w:r>
              <w:rPr>
                <w:sz w:val="24"/>
              </w:rPr>
              <w:t>Normal</w:t>
            </w:r>
          </w:p>
        </w:tc>
        <w:tc>
          <w:tcPr>
            <w:tcW w:w="1841" w:type="dxa"/>
          </w:tcPr>
          <w:p>
            <w:pPr>
              <w:pStyle w:val="TableParagraph"/>
              <w:ind w:left="148" w:right="146" w:firstLine="19"/>
              <w:jc w:val="both"/>
              <w:rPr>
                <w:sz w:val="24"/>
              </w:rPr>
            </w:pPr>
            <w:r>
              <w:rPr>
                <w:sz w:val="24"/>
              </w:rPr>
              <w:t>Avec friandises ou stimulations, mange 100%</w:t>
            </w:r>
          </w:p>
        </w:tc>
        <w:tc>
          <w:tcPr>
            <w:tcW w:w="2127" w:type="dxa"/>
          </w:tcPr>
          <w:p>
            <w:pPr>
              <w:pStyle w:val="TableParagraph"/>
              <w:ind w:left="198" w:right="195"/>
              <w:jc w:val="center"/>
              <w:rPr>
                <w:sz w:val="24"/>
              </w:rPr>
            </w:pPr>
            <w:r>
              <w:rPr>
                <w:sz w:val="24"/>
              </w:rPr>
              <w:t>Perte d’appétit &lt;3 jours ou mange 50% de la ration avec friandises</w:t>
            </w:r>
          </w:p>
        </w:tc>
        <w:tc>
          <w:tcPr>
            <w:tcW w:w="2256" w:type="dxa"/>
          </w:tcPr>
          <w:p>
            <w:pPr>
              <w:pStyle w:val="TableParagraph"/>
              <w:ind w:left="110" w:right="104" w:hanging="2"/>
              <w:jc w:val="center"/>
              <w:rPr>
                <w:sz w:val="24"/>
              </w:rPr>
            </w:pPr>
            <w:r>
              <w:rPr>
                <w:sz w:val="24"/>
              </w:rPr>
              <w:t>Perte d’appétit &gt;3 jours mais &lt;5 jours ou mange quelques</w:t>
            </w:r>
          </w:p>
          <w:p>
            <w:pPr>
              <w:pStyle w:val="TableParagraph"/>
              <w:spacing w:line="274" w:lineRule="exact" w:before="10"/>
              <w:ind w:left="89" w:right="83"/>
              <w:jc w:val="center"/>
              <w:rPr>
                <w:sz w:val="24"/>
              </w:rPr>
            </w:pPr>
            <w:r>
              <w:rPr>
                <w:sz w:val="24"/>
              </w:rPr>
              <w:t>bouchées de la ration avec friandises</w:t>
            </w:r>
          </w:p>
        </w:tc>
        <w:tc>
          <w:tcPr>
            <w:tcW w:w="2249" w:type="dxa"/>
          </w:tcPr>
          <w:p>
            <w:pPr>
              <w:pStyle w:val="TableParagraph"/>
              <w:ind w:left="261" w:right="255"/>
              <w:jc w:val="center"/>
              <w:rPr>
                <w:sz w:val="24"/>
              </w:rPr>
            </w:pPr>
            <w:r>
              <w:rPr>
                <w:sz w:val="24"/>
              </w:rPr>
              <w:t>Perte d’appétit &gt;5 jours ou pas d’appétit ou pas</w:t>
            </w:r>
          </w:p>
          <w:p>
            <w:pPr>
              <w:pStyle w:val="TableParagraph"/>
              <w:spacing w:line="274" w:lineRule="exact" w:before="10"/>
              <w:ind w:left="110" w:right="102"/>
              <w:jc w:val="center"/>
              <w:rPr>
                <w:sz w:val="24"/>
              </w:rPr>
            </w:pPr>
            <w:r>
              <w:rPr>
                <w:sz w:val="24"/>
              </w:rPr>
              <w:t>d’intérêt pour la ration</w:t>
            </w:r>
          </w:p>
        </w:tc>
      </w:tr>
      <w:tr>
        <w:trPr>
          <w:trHeight w:val="260" w:hRule="atLeast"/>
        </w:trPr>
        <w:tc>
          <w:tcPr>
            <w:tcW w:w="1130" w:type="dxa"/>
          </w:tcPr>
          <w:p>
            <w:pPr>
              <w:pStyle w:val="TableParagraph"/>
              <w:rPr>
                <w:sz w:val="20"/>
              </w:rPr>
            </w:pPr>
          </w:p>
        </w:tc>
        <w:tc>
          <w:tcPr>
            <w:tcW w:w="1841" w:type="dxa"/>
          </w:tcPr>
          <w:p>
            <w:pPr>
              <w:pStyle w:val="TableParagraph"/>
              <w:rPr>
                <w:sz w:val="20"/>
              </w:rPr>
            </w:pPr>
          </w:p>
        </w:tc>
        <w:tc>
          <w:tcPr>
            <w:tcW w:w="2127" w:type="dxa"/>
          </w:tcPr>
          <w:p>
            <w:pPr>
              <w:pStyle w:val="TableParagraph"/>
              <w:rPr>
                <w:sz w:val="20"/>
              </w:rPr>
            </w:pPr>
          </w:p>
        </w:tc>
        <w:tc>
          <w:tcPr>
            <w:tcW w:w="2256" w:type="dxa"/>
          </w:tcPr>
          <w:p>
            <w:pPr>
              <w:pStyle w:val="TableParagraph"/>
              <w:rPr>
                <w:sz w:val="20"/>
              </w:rPr>
            </w:pPr>
          </w:p>
        </w:tc>
        <w:tc>
          <w:tcPr>
            <w:tcW w:w="2249" w:type="dxa"/>
          </w:tcPr>
          <w:p>
            <w:pPr>
              <w:pStyle w:val="TableParagraph"/>
              <w:rPr>
                <w:sz w:val="20"/>
              </w:rPr>
            </w:pPr>
          </w:p>
        </w:tc>
      </w:tr>
      <w:tr>
        <w:trPr>
          <w:trHeight w:val="260" w:hRule="atLeast"/>
        </w:trPr>
        <w:tc>
          <w:tcPr>
            <w:tcW w:w="9604" w:type="dxa"/>
            <w:gridSpan w:val="5"/>
            <w:shd w:val="clear" w:color="auto" w:fill="F1F1F1"/>
          </w:tcPr>
          <w:p>
            <w:pPr>
              <w:pStyle w:val="TableParagraph"/>
              <w:spacing w:line="256" w:lineRule="exact"/>
              <w:ind w:left="4044" w:right="4043"/>
              <w:jc w:val="center"/>
              <w:rPr>
                <w:b/>
                <w:sz w:val="24"/>
              </w:rPr>
            </w:pPr>
            <w:r>
              <w:rPr>
                <w:b/>
                <w:sz w:val="24"/>
              </w:rPr>
              <w:t>Flatulences</w:t>
            </w:r>
          </w:p>
        </w:tc>
      </w:tr>
      <w:tr>
        <w:trPr>
          <w:trHeight w:val="260" w:hRule="atLeast"/>
        </w:trPr>
        <w:tc>
          <w:tcPr>
            <w:tcW w:w="1130" w:type="dxa"/>
          </w:tcPr>
          <w:p>
            <w:pPr>
              <w:pStyle w:val="TableParagraph"/>
              <w:spacing w:line="256" w:lineRule="exact"/>
              <w:ind w:left="2"/>
              <w:jc w:val="center"/>
              <w:rPr>
                <w:sz w:val="24"/>
              </w:rPr>
            </w:pPr>
            <w:r>
              <w:rPr>
                <w:sz w:val="24"/>
              </w:rPr>
              <w:t>0</w:t>
            </w:r>
          </w:p>
        </w:tc>
        <w:tc>
          <w:tcPr>
            <w:tcW w:w="1841" w:type="dxa"/>
          </w:tcPr>
          <w:p>
            <w:pPr>
              <w:pStyle w:val="TableParagraph"/>
              <w:spacing w:line="256" w:lineRule="exact"/>
              <w:ind w:left="1"/>
              <w:jc w:val="center"/>
              <w:rPr>
                <w:sz w:val="24"/>
              </w:rPr>
            </w:pPr>
            <w:r>
              <w:rPr>
                <w:sz w:val="24"/>
              </w:rPr>
              <w:t>1</w:t>
            </w:r>
          </w:p>
        </w:tc>
        <w:tc>
          <w:tcPr>
            <w:tcW w:w="2127" w:type="dxa"/>
          </w:tcPr>
          <w:p>
            <w:pPr>
              <w:pStyle w:val="TableParagraph"/>
              <w:spacing w:line="256" w:lineRule="exact"/>
              <w:ind w:left="4"/>
              <w:jc w:val="center"/>
              <w:rPr>
                <w:sz w:val="24"/>
              </w:rPr>
            </w:pPr>
            <w:r>
              <w:rPr>
                <w:sz w:val="24"/>
              </w:rPr>
              <w:t>2</w:t>
            </w:r>
          </w:p>
        </w:tc>
        <w:tc>
          <w:tcPr>
            <w:tcW w:w="2256" w:type="dxa"/>
          </w:tcPr>
          <w:p>
            <w:pPr>
              <w:pStyle w:val="TableParagraph"/>
              <w:spacing w:line="256" w:lineRule="exact"/>
              <w:ind w:left="4"/>
              <w:jc w:val="center"/>
              <w:rPr>
                <w:sz w:val="24"/>
              </w:rPr>
            </w:pPr>
            <w:r>
              <w:rPr>
                <w:sz w:val="24"/>
              </w:rPr>
              <w:t>3</w:t>
            </w:r>
          </w:p>
        </w:tc>
        <w:tc>
          <w:tcPr>
            <w:tcW w:w="2249" w:type="dxa"/>
          </w:tcPr>
          <w:p>
            <w:pPr>
              <w:pStyle w:val="TableParagraph"/>
              <w:spacing w:line="256" w:lineRule="exact"/>
              <w:ind w:left="2"/>
              <w:jc w:val="center"/>
              <w:rPr>
                <w:sz w:val="24"/>
              </w:rPr>
            </w:pPr>
            <w:r>
              <w:rPr>
                <w:sz w:val="24"/>
              </w:rPr>
              <w:t>4</w:t>
            </w:r>
          </w:p>
        </w:tc>
      </w:tr>
      <w:tr>
        <w:trPr>
          <w:trHeight w:val="260" w:hRule="atLeast"/>
        </w:trPr>
        <w:tc>
          <w:tcPr>
            <w:tcW w:w="1130" w:type="dxa"/>
          </w:tcPr>
          <w:p>
            <w:pPr>
              <w:pStyle w:val="TableParagraph"/>
              <w:spacing w:line="256" w:lineRule="exact"/>
              <w:ind w:left="120" w:right="120"/>
              <w:jc w:val="center"/>
              <w:rPr>
                <w:sz w:val="24"/>
              </w:rPr>
            </w:pPr>
            <w:r>
              <w:rPr>
                <w:sz w:val="24"/>
              </w:rPr>
              <w:t>Normal</w:t>
            </w:r>
          </w:p>
        </w:tc>
        <w:tc>
          <w:tcPr>
            <w:tcW w:w="1841" w:type="dxa"/>
          </w:tcPr>
          <w:p>
            <w:pPr>
              <w:pStyle w:val="TableParagraph"/>
              <w:spacing w:line="256" w:lineRule="exact"/>
              <w:ind w:left="119" w:right="119"/>
              <w:jc w:val="center"/>
              <w:rPr>
                <w:sz w:val="24"/>
              </w:rPr>
            </w:pPr>
            <w:r>
              <w:rPr>
                <w:sz w:val="24"/>
              </w:rPr>
              <w:t>1-2 fois par jour</w:t>
            </w:r>
          </w:p>
        </w:tc>
        <w:tc>
          <w:tcPr>
            <w:tcW w:w="2127" w:type="dxa"/>
          </w:tcPr>
          <w:p>
            <w:pPr>
              <w:pStyle w:val="TableParagraph"/>
              <w:spacing w:line="256" w:lineRule="exact"/>
              <w:ind w:left="195" w:right="195"/>
              <w:jc w:val="center"/>
              <w:rPr>
                <w:sz w:val="24"/>
              </w:rPr>
            </w:pPr>
            <w:r>
              <w:rPr>
                <w:sz w:val="24"/>
              </w:rPr>
              <w:t>2-4 fois par jour</w:t>
            </w:r>
          </w:p>
        </w:tc>
        <w:tc>
          <w:tcPr>
            <w:tcW w:w="2256" w:type="dxa"/>
          </w:tcPr>
          <w:p>
            <w:pPr>
              <w:pStyle w:val="TableParagraph"/>
              <w:spacing w:line="256" w:lineRule="exact"/>
              <w:ind w:left="151" w:right="151"/>
              <w:jc w:val="center"/>
              <w:rPr>
                <w:sz w:val="24"/>
              </w:rPr>
            </w:pPr>
            <w:r>
              <w:rPr>
                <w:sz w:val="24"/>
              </w:rPr>
              <w:t>4-6 fois par jour</w:t>
            </w:r>
          </w:p>
        </w:tc>
        <w:tc>
          <w:tcPr>
            <w:tcW w:w="2249" w:type="dxa"/>
          </w:tcPr>
          <w:p>
            <w:pPr>
              <w:pStyle w:val="TableParagraph"/>
              <w:spacing w:line="256" w:lineRule="exact"/>
              <w:ind w:left="108" w:right="107"/>
              <w:jc w:val="center"/>
              <w:rPr>
                <w:sz w:val="24"/>
              </w:rPr>
            </w:pPr>
            <w:r>
              <w:rPr>
                <w:sz w:val="24"/>
              </w:rPr>
              <w:t>&gt;6 fois par jour</w:t>
            </w:r>
          </w:p>
        </w:tc>
      </w:tr>
      <w:tr>
        <w:trPr>
          <w:trHeight w:val="260" w:hRule="atLeast"/>
        </w:trPr>
        <w:tc>
          <w:tcPr>
            <w:tcW w:w="1130" w:type="dxa"/>
          </w:tcPr>
          <w:p>
            <w:pPr>
              <w:pStyle w:val="TableParagraph"/>
              <w:rPr>
                <w:sz w:val="20"/>
              </w:rPr>
            </w:pPr>
          </w:p>
        </w:tc>
        <w:tc>
          <w:tcPr>
            <w:tcW w:w="1841" w:type="dxa"/>
          </w:tcPr>
          <w:p>
            <w:pPr>
              <w:pStyle w:val="TableParagraph"/>
              <w:rPr>
                <w:sz w:val="20"/>
              </w:rPr>
            </w:pPr>
          </w:p>
        </w:tc>
        <w:tc>
          <w:tcPr>
            <w:tcW w:w="2127" w:type="dxa"/>
          </w:tcPr>
          <w:p>
            <w:pPr>
              <w:pStyle w:val="TableParagraph"/>
              <w:rPr>
                <w:sz w:val="20"/>
              </w:rPr>
            </w:pPr>
          </w:p>
        </w:tc>
        <w:tc>
          <w:tcPr>
            <w:tcW w:w="2256" w:type="dxa"/>
          </w:tcPr>
          <w:p>
            <w:pPr>
              <w:pStyle w:val="TableParagraph"/>
              <w:rPr>
                <w:sz w:val="20"/>
              </w:rPr>
            </w:pPr>
          </w:p>
        </w:tc>
        <w:tc>
          <w:tcPr>
            <w:tcW w:w="2249" w:type="dxa"/>
          </w:tcPr>
          <w:p>
            <w:pPr>
              <w:pStyle w:val="TableParagraph"/>
              <w:rPr>
                <w:sz w:val="20"/>
              </w:rPr>
            </w:pPr>
          </w:p>
        </w:tc>
      </w:tr>
      <w:tr>
        <w:trPr>
          <w:trHeight w:val="260" w:hRule="atLeast"/>
        </w:trPr>
        <w:tc>
          <w:tcPr>
            <w:tcW w:w="9604" w:type="dxa"/>
            <w:gridSpan w:val="5"/>
            <w:shd w:val="clear" w:color="auto" w:fill="F1F1F1"/>
          </w:tcPr>
          <w:p>
            <w:pPr>
              <w:pStyle w:val="TableParagraph"/>
              <w:spacing w:line="256" w:lineRule="exact"/>
              <w:ind w:left="4044" w:right="4041"/>
              <w:jc w:val="center"/>
              <w:rPr>
                <w:b/>
                <w:sz w:val="24"/>
              </w:rPr>
            </w:pPr>
            <w:r>
              <w:rPr>
                <w:b/>
                <w:sz w:val="24"/>
              </w:rPr>
              <w:t>Activité</w:t>
            </w:r>
          </w:p>
        </w:tc>
      </w:tr>
      <w:tr>
        <w:trPr>
          <w:trHeight w:val="260" w:hRule="atLeast"/>
        </w:trPr>
        <w:tc>
          <w:tcPr>
            <w:tcW w:w="1130" w:type="dxa"/>
          </w:tcPr>
          <w:p>
            <w:pPr>
              <w:pStyle w:val="TableParagraph"/>
              <w:spacing w:line="258" w:lineRule="exact"/>
              <w:ind w:left="2"/>
              <w:jc w:val="center"/>
              <w:rPr>
                <w:sz w:val="24"/>
              </w:rPr>
            </w:pPr>
            <w:r>
              <w:rPr>
                <w:sz w:val="24"/>
              </w:rPr>
              <w:t>0</w:t>
            </w:r>
          </w:p>
        </w:tc>
        <w:tc>
          <w:tcPr>
            <w:tcW w:w="1841" w:type="dxa"/>
          </w:tcPr>
          <w:p>
            <w:pPr>
              <w:pStyle w:val="TableParagraph"/>
              <w:spacing w:line="258" w:lineRule="exact"/>
              <w:ind w:left="1"/>
              <w:jc w:val="center"/>
              <w:rPr>
                <w:sz w:val="24"/>
              </w:rPr>
            </w:pPr>
            <w:r>
              <w:rPr>
                <w:sz w:val="24"/>
              </w:rPr>
              <w:t>1</w:t>
            </w:r>
          </w:p>
        </w:tc>
        <w:tc>
          <w:tcPr>
            <w:tcW w:w="2127" w:type="dxa"/>
          </w:tcPr>
          <w:p>
            <w:pPr>
              <w:pStyle w:val="TableParagraph"/>
              <w:spacing w:line="258" w:lineRule="exact"/>
              <w:ind w:left="4"/>
              <w:jc w:val="center"/>
              <w:rPr>
                <w:sz w:val="24"/>
              </w:rPr>
            </w:pPr>
            <w:r>
              <w:rPr>
                <w:sz w:val="24"/>
              </w:rPr>
              <w:t>2</w:t>
            </w:r>
          </w:p>
        </w:tc>
        <w:tc>
          <w:tcPr>
            <w:tcW w:w="2256" w:type="dxa"/>
          </w:tcPr>
          <w:p>
            <w:pPr>
              <w:pStyle w:val="TableParagraph"/>
              <w:spacing w:line="258" w:lineRule="exact"/>
              <w:ind w:left="4"/>
              <w:jc w:val="center"/>
              <w:rPr>
                <w:sz w:val="24"/>
              </w:rPr>
            </w:pPr>
            <w:r>
              <w:rPr>
                <w:sz w:val="24"/>
              </w:rPr>
              <w:t>3</w:t>
            </w:r>
          </w:p>
        </w:tc>
        <w:tc>
          <w:tcPr>
            <w:tcW w:w="2249" w:type="dxa"/>
          </w:tcPr>
          <w:p>
            <w:pPr>
              <w:pStyle w:val="TableParagraph"/>
              <w:spacing w:line="258" w:lineRule="exact"/>
              <w:ind w:left="2"/>
              <w:jc w:val="center"/>
              <w:rPr>
                <w:sz w:val="24"/>
              </w:rPr>
            </w:pPr>
            <w:r>
              <w:rPr>
                <w:sz w:val="24"/>
              </w:rPr>
              <w:t>4</w:t>
            </w:r>
          </w:p>
        </w:tc>
      </w:tr>
      <w:tr>
        <w:trPr>
          <w:trHeight w:val="1100" w:hRule="atLeast"/>
        </w:trPr>
        <w:tc>
          <w:tcPr>
            <w:tcW w:w="1130" w:type="dxa"/>
          </w:tcPr>
          <w:p>
            <w:pPr>
              <w:pStyle w:val="TableParagraph"/>
              <w:spacing w:line="268" w:lineRule="exact"/>
              <w:ind w:left="120" w:right="120"/>
              <w:jc w:val="center"/>
              <w:rPr>
                <w:sz w:val="24"/>
              </w:rPr>
            </w:pPr>
            <w:r>
              <w:rPr>
                <w:sz w:val="24"/>
              </w:rPr>
              <w:t>Normale</w:t>
            </w:r>
          </w:p>
        </w:tc>
        <w:tc>
          <w:tcPr>
            <w:tcW w:w="1841" w:type="dxa"/>
          </w:tcPr>
          <w:p>
            <w:pPr>
              <w:pStyle w:val="TableParagraph"/>
              <w:ind w:left="590" w:right="334" w:hanging="233"/>
              <w:rPr>
                <w:sz w:val="24"/>
              </w:rPr>
            </w:pPr>
            <w:r>
              <w:rPr>
                <w:sz w:val="24"/>
              </w:rPr>
              <w:t>Abattement moyen</w:t>
            </w:r>
          </w:p>
        </w:tc>
        <w:tc>
          <w:tcPr>
            <w:tcW w:w="2127" w:type="dxa"/>
          </w:tcPr>
          <w:p>
            <w:pPr>
              <w:pStyle w:val="TableParagraph"/>
              <w:ind w:left="155" w:right="149" w:hanging="1"/>
              <w:jc w:val="center"/>
              <w:rPr>
                <w:sz w:val="24"/>
              </w:rPr>
            </w:pPr>
            <w:r>
              <w:rPr>
                <w:sz w:val="24"/>
              </w:rPr>
              <w:t>Abattement modéré, difficultés avec les activités</w:t>
            </w:r>
          </w:p>
          <w:p>
            <w:pPr>
              <w:pStyle w:val="TableParagraph"/>
              <w:spacing w:line="264" w:lineRule="exact" w:before="8"/>
              <w:ind w:left="196" w:right="195"/>
              <w:jc w:val="center"/>
              <w:rPr>
                <w:sz w:val="24"/>
              </w:rPr>
            </w:pPr>
            <w:r>
              <w:rPr>
                <w:sz w:val="24"/>
              </w:rPr>
              <w:t>quotidiennes</w:t>
            </w:r>
          </w:p>
        </w:tc>
        <w:tc>
          <w:tcPr>
            <w:tcW w:w="2256" w:type="dxa"/>
          </w:tcPr>
          <w:p>
            <w:pPr>
              <w:pStyle w:val="TableParagraph"/>
              <w:ind w:left="155" w:right="151"/>
              <w:jc w:val="center"/>
              <w:rPr>
                <w:sz w:val="24"/>
              </w:rPr>
            </w:pPr>
            <w:r>
              <w:rPr>
                <w:sz w:val="24"/>
              </w:rPr>
              <w:t>Léthargie sévère, ne se lève que pour sortir</w:t>
            </w:r>
          </w:p>
        </w:tc>
        <w:tc>
          <w:tcPr>
            <w:tcW w:w="2249" w:type="dxa"/>
          </w:tcPr>
          <w:p>
            <w:pPr>
              <w:pStyle w:val="TableParagraph"/>
              <w:ind w:left="929" w:hanging="817"/>
              <w:rPr>
                <w:sz w:val="24"/>
              </w:rPr>
            </w:pPr>
            <w:r>
              <w:rPr>
                <w:sz w:val="24"/>
              </w:rPr>
              <w:t>Incapable de se lever seul</w:t>
            </w:r>
          </w:p>
        </w:tc>
      </w:tr>
      <w:tr>
        <w:trPr>
          <w:trHeight w:val="260" w:hRule="atLeast"/>
        </w:trPr>
        <w:tc>
          <w:tcPr>
            <w:tcW w:w="1130" w:type="dxa"/>
          </w:tcPr>
          <w:p>
            <w:pPr>
              <w:pStyle w:val="TableParagraph"/>
              <w:rPr>
                <w:sz w:val="20"/>
              </w:rPr>
            </w:pPr>
          </w:p>
        </w:tc>
        <w:tc>
          <w:tcPr>
            <w:tcW w:w="1841" w:type="dxa"/>
          </w:tcPr>
          <w:p>
            <w:pPr>
              <w:pStyle w:val="TableParagraph"/>
              <w:rPr>
                <w:sz w:val="20"/>
              </w:rPr>
            </w:pPr>
          </w:p>
        </w:tc>
        <w:tc>
          <w:tcPr>
            <w:tcW w:w="2127" w:type="dxa"/>
          </w:tcPr>
          <w:p>
            <w:pPr>
              <w:pStyle w:val="TableParagraph"/>
              <w:rPr>
                <w:sz w:val="20"/>
              </w:rPr>
            </w:pPr>
          </w:p>
        </w:tc>
        <w:tc>
          <w:tcPr>
            <w:tcW w:w="2256" w:type="dxa"/>
          </w:tcPr>
          <w:p>
            <w:pPr>
              <w:pStyle w:val="TableParagraph"/>
              <w:rPr>
                <w:sz w:val="20"/>
              </w:rPr>
            </w:pPr>
          </w:p>
        </w:tc>
        <w:tc>
          <w:tcPr>
            <w:tcW w:w="2249" w:type="dxa"/>
          </w:tcPr>
          <w:p>
            <w:pPr>
              <w:pStyle w:val="TableParagraph"/>
              <w:rPr>
                <w:sz w:val="20"/>
              </w:rPr>
            </w:pPr>
          </w:p>
        </w:tc>
      </w:tr>
    </w:tbl>
    <w:p>
      <w:pPr>
        <w:pStyle w:val="BodyText"/>
        <w:rPr>
          <w:i/>
          <w:sz w:val="20"/>
        </w:rPr>
      </w:pPr>
    </w:p>
    <w:p>
      <w:pPr>
        <w:pStyle w:val="BodyText"/>
        <w:rPr>
          <w:i/>
          <w:sz w:val="21"/>
        </w:rPr>
      </w:pPr>
    </w:p>
    <w:p>
      <w:pPr>
        <w:pStyle w:val="BodyText"/>
        <w:spacing w:line="273" w:lineRule="auto"/>
        <w:ind w:left="116" w:right="643" w:firstLine="707"/>
      </w:pPr>
      <w:r>
        <w:rPr/>
        <w:t>Une note de qualité de vie peut ainsi être obtenue en faisant la moyenne des différentes catégories.</w:t>
      </w:r>
    </w:p>
    <w:p>
      <w:pPr>
        <w:spacing w:after="0" w:line="273" w:lineRule="auto"/>
        <w:sectPr>
          <w:pgSz w:w="11910" w:h="16840"/>
          <w:pgMar w:header="0" w:footer="995" w:top="1320" w:bottom="1240" w:left="1300" w:right="760"/>
        </w:sectPr>
      </w:pPr>
    </w:p>
    <w:p>
      <w:pPr>
        <w:pStyle w:val="BodyText"/>
        <w:spacing w:before="4"/>
        <w:rPr>
          <w:sz w:val="17"/>
        </w:rPr>
      </w:pPr>
    </w:p>
    <w:p>
      <w:pPr>
        <w:spacing w:after="0"/>
        <w:rPr>
          <w:sz w:val="17"/>
        </w:rPr>
        <w:sectPr>
          <w:footerReference w:type="default" r:id="rId88"/>
          <w:pgSz w:w="11910" w:h="16840"/>
          <w:pgMar w:footer="0" w:header="0" w:top="1580" w:bottom="280" w:left="1680" w:right="1680"/>
        </w:sectPr>
      </w:pPr>
    </w:p>
    <w:tbl>
      <w:tblPr>
        <w:tblW w:w="0" w:type="auto"/>
        <w:jc w:val="left"/>
        <w:tblInd w:w="11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064"/>
      </w:tblGrid>
      <w:tr>
        <w:trPr>
          <w:trHeight w:val="2640" w:hRule="atLeast"/>
        </w:trPr>
        <w:tc>
          <w:tcPr>
            <w:tcW w:w="9064" w:type="dxa"/>
            <w:tcBorders>
              <w:left w:val="single" w:sz="4" w:space="0" w:color="000000"/>
              <w:bottom w:val="single" w:sz="4" w:space="0" w:color="000000"/>
              <w:right w:val="single" w:sz="4" w:space="0" w:color="000000"/>
            </w:tcBorders>
          </w:tcPr>
          <w:p>
            <w:pPr>
              <w:pStyle w:val="TableParagraph"/>
              <w:rPr>
                <w:sz w:val="26"/>
              </w:rPr>
            </w:pPr>
          </w:p>
          <w:p>
            <w:pPr>
              <w:pStyle w:val="TableParagraph"/>
              <w:ind w:left="105"/>
              <w:jc w:val="both"/>
              <w:rPr>
                <w:b/>
                <w:sz w:val="28"/>
              </w:rPr>
            </w:pPr>
            <w:r>
              <w:rPr>
                <w:b/>
                <w:sz w:val="28"/>
              </w:rPr>
              <w:t>INGLEBERT Marine</w:t>
            </w:r>
          </w:p>
          <w:p>
            <w:pPr>
              <w:pStyle w:val="TableParagraph"/>
              <w:spacing w:before="230"/>
              <w:ind w:left="105" w:right="96"/>
              <w:jc w:val="both"/>
              <w:rPr>
                <w:b/>
                <w:sz w:val="28"/>
              </w:rPr>
            </w:pPr>
            <w:r>
              <w:rPr>
                <w:b/>
                <w:sz w:val="28"/>
              </w:rPr>
              <w:t>Approche métabolique du traitement du cancer chez le chien et le chat : étude bibliographique et de faisabilité au travers de cas traités au Centre Hospitalier Vétérinaire Saint-Martin</w:t>
            </w:r>
          </w:p>
          <w:p>
            <w:pPr>
              <w:pStyle w:val="TableParagraph"/>
              <w:spacing w:before="9"/>
              <w:rPr>
                <w:sz w:val="23"/>
              </w:rPr>
            </w:pPr>
          </w:p>
          <w:p>
            <w:pPr>
              <w:pStyle w:val="TableParagraph"/>
              <w:ind w:left="105"/>
              <w:jc w:val="both"/>
              <w:rPr>
                <w:i/>
                <w:sz w:val="22"/>
              </w:rPr>
            </w:pPr>
            <w:r>
              <w:rPr>
                <w:b/>
                <w:sz w:val="22"/>
              </w:rPr>
              <w:t>Thèse d’Etat de Doctorat Vétérinaire : </w:t>
            </w:r>
            <w:r>
              <w:rPr>
                <w:sz w:val="22"/>
              </w:rPr>
              <w:t>Lyon</w:t>
            </w:r>
            <w:r>
              <w:rPr>
                <w:i/>
                <w:sz w:val="22"/>
              </w:rPr>
              <w:t>, 12 Juillet 2017</w:t>
            </w:r>
          </w:p>
        </w:tc>
      </w:tr>
      <w:tr>
        <w:trPr>
          <w:trHeight w:val="4960" w:hRule="atLeas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7"/>
              </w:rPr>
            </w:pPr>
          </w:p>
          <w:p>
            <w:pPr>
              <w:pStyle w:val="TableParagraph"/>
              <w:ind w:left="105" w:right="97"/>
              <w:jc w:val="both"/>
              <w:rPr>
                <w:sz w:val="22"/>
              </w:rPr>
            </w:pPr>
            <w:r>
              <w:rPr>
                <w:b/>
                <w:sz w:val="28"/>
              </w:rPr>
              <w:t>RESUME</w:t>
            </w:r>
            <w:r>
              <w:rPr>
                <w:b/>
                <w:spacing w:val="-4"/>
                <w:sz w:val="28"/>
              </w:rPr>
              <w:t> </w:t>
            </w:r>
            <w:r>
              <w:rPr>
                <w:b/>
                <w:sz w:val="28"/>
              </w:rPr>
              <w:t>:</w:t>
            </w:r>
            <w:r>
              <w:rPr>
                <w:b/>
                <w:spacing w:val="-9"/>
                <w:sz w:val="28"/>
              </w:rPr>
              <w:t> </w:t>
            </w:r>
            <w:r>
              <w:rPr>
                <w:sz w:val="22"/>
              </w:rPr>
              <w:t>Les</w:t>
            </w:r>
            <w:r>
              <w:rPr>
                <w:spacing w:val="-7"/>
                <w:sz w:val="22"/>
              </w:rPr>
              <w:t> </w:t>
            </w:r>
            <w:r>
              <w:rPr>
                <w:sz w:val="22"/>
              </w:rPr>
              <w:t>cellules</w:t>
            </w:r>
            <w:r>
              <w:rPr>
                <w:spacing w:val="-4"/>
                <w:sz w:val="22"/>
              </w:rPr>
              <w:t> </w:t>
            </w:r>
            <w:r>
              <w:rPr>
                <w:sz w:val="22"/>
              </w:rPr>
              <w:t>tumorales</w:t>
            </w:r>
            <w:r>
              <w:rPr>
                <w:spacing w:val="-6"/>
                <w:sz w:val="22"/>
              </w:rPr>
              <w:t> </w:t>
            </w:r>
            <w:r>
              <w:rPr>
                <w:sz w:val="22"/>
              </w:rPr>
              <w:t>présentent</w:t>
            </w:r>
            <w:r>
              <w:rPr>
                <w:spacing w:val="-6"/>
                <w:sz w:val="22"/>
              </w:rPr>
              <w:t> </w:t>
            </w:r>
            <w:r>
              <w:rPr>
                <w:sz w:val="22"/>
              </w:rPr>
              <w:t>un</w:t>
            </w:r>
            <w:r>
              <w:rPr>
                <w:spacing w:val="-7"/>
                <w:sz w:val="22"/>
              </w:rPr>
              <w:t> </w:t>
            </w:r>
            <w:r>
              <w:rPr>
                <w:sz w:val="22"/>
              </w:rPr>
              <w:t>métabolisme</w:t>
            </w:r>
            <w:r>
              <w:rPr>
                <w:spacing w:val="-4"/>
                <w:sz w:val="22"/>
              </w:rPr>
              <w:t> </w:t>
            </w:r>
            <w:r>
              <w:rPr>
                <w:sz w:val="22"/>
              </w:rPr>
              <w:t>énergétique</w:t>
            </w:r>
            <w:r>
              <w:rPr>
                <w:spacing w:val="-7"/>
                <w:sz w:val="22"/>
              </w:rPr>
              <w:t> </w:t>
            </w:r>
            <w:r>
              <w:rPr>
                <w:sz w:val="22"/>
              </w:rPr>
              <w:t>spécifique,</w:t>
            </w:r>
            <w:r>
              <w:rPr>
                <w:spacing w:val="-5"/>
                <w:sz w:val="22"/>
              </w:rPr>
              <w:t> </w:t>
            </w:r>
            <w:r>
              <w:rPr>
                <w:sz w:val="22"/>
              </w:rPr>
              <w:t>propice</w:t>
            </w:r>
            <w:r>
              <w:rPr>
                <w:spacing w:val="-9"/>
                <w:sz w:val="22"/>
              </w:rPr>
              <w:t> </w:t>
            </w:r>
            <w:r>
              <w:rPr>
                <w:sz w:val="22"/>
              </w:rPr>
              <w:t>au développement de nouvelles perspectives thérapeutiques. Notre travail porte sur l’étude de ce métabolisme modifié, qui implique de nombreux enzymes (de la glycolyse, du cycle de Krebs, de la glutaminolyse, du métabolisme du lactate…), transporteurs (GLUT…) et facteurs de transcription (HIF…).</w:t>
            </w:r>
            <w:r>
              <w:rPr>
                <w:spacing w:val="-10"/>
                <w:sz w:val="22"/>
              </w:rPr>
              <w:t> </w:t>
            </w:r>
            <w:r>
              <w:rPr>
                <w:sz w:val="22"/>
              </w:rPr>
              <w:t>L’objectif</w:t>
            </w:r>
            <w:r>
              <w:rPr>
                <w:spacing w:val="-10"/>
                <w:sz w:val="22"/>
              </w:rPr>
              <w:t> </w:t>
            </w:r>
            <w:r>
              <w:rPr>
                <w:sz w:val="22"/>
              </w:rPr>
              <w:t>de</w:t>
            </w:r>
            <w:r>
              <w:rPr>
                <w:spacing w:val="-13"/>
                <w:sz w:val="22"/>
              </w:rPr>
              <w:t> </w:t>
            </w:r>
            <w:r>
              <w:rPr>
                <w:sz w:val="22"/>
              </w:rPr>
              <w:t>cette</w:t>
            </w:r>
            <w:r>
              <w:rPr>
                <w:spacing w:val="-13"/>
                <w:sz w:val="22"/>
              </w:rPr>
              <w:t> </w:t>
            </w:r>
            <w:r>
              <w:rPr>
                <w:sz w:val="22"/>
              </w:rPr>
              <w:t>thèse</w:t>
            </w:r>
            <w:r>
              <w:rPr>
                <w:spacing w:val="-11"/>
                <w:sz w:val="22"/>
              </w:rPr>
              <w:t> </w:t>
            </w:r>
            <w:r>
              <w:rPr>
                <w:sz w:val="22"/>
              </w:rPr>
              <w:t>est</w:t>
            </w:r>
            <w:r>
              <w:rPr>
                <w:spacing w:val="-10"/>
                <w:sz w:val="22"/>
              </w:rPr>
              <w:t> </w:t>
            </w:r>
            <w:r>
              <w:rPr>
                <w:sz w:val="22"/>
              </w:rPr>
              <w:t>de</w:t>
            </w:r>
            <w:r>
              <w:rPr>
                <w:spacing w:val="-13"/>
                <w:sz w:val="22"/>
              </w:rPr>
              <w:t> </w:t>
            </w:r>
            <w:r>
              <w:rPr>
                <w:sz w:val="22"/>
              </w:rPr>
              <w:t>tout</w:t>
            </w:r>
            <w:r>
              <w:rPr>
                <w:spacing w:val="-10"/>
                <w:sz w:val="22"/>
              </w:rPr>
              <w:t> </w:t>
            </w:r>
            <w:r>
              <w:rPr>
                <w:sz w:val="22"/>
              </w:rPr>
              <w:t>d’abord</w:t>
            </w:r>
            <w:r>
              <w:rPr>
                <w:spacing w:val="-13"/>
                <w:sz w:val="22"/>
              </w:rPr>
              <w:t> </w:t>
            </w:r>
            <w:r>
              <w:rPr>
                <w:sz w:val="22"/>
              </w:rPr>
              <w:t>faire</w:t>
            </w:r>
            <w:r>
              <w:rPr>
                <w:spacing w:val="-11"/>
                <w:sz w:val="22"/>
              </w:rPr>
              <w:t> </w:t>
            </w:r>
            <w:r>
              <w:rPr>
                <w:sz w:val="22"/>
              </w:rPr>
              <w:t>un</w:t>
            </w:r>
            <w:r>
              <w:rPr>
                <w:spacing w:val="-11"/>
                <w:sz w:val="22"/>
              </w:rPr>
              <w:t> </w:t>
            </w:r>
            <w:r>
              <w:rPr>
                <w:sz w:val="22"/>
              </w:rPr>
              <w:t>état</w:t>
            </w:r>
            <w:r>
              <w:rPr>
                <w:spacing w:val="-10"/>
                <w:sz w:val="22"/>
              </w:rPr>
              <w:t> </w:t>
            </w:r>
            <w:r>
              <w:rPr>
                <w:sz w:val="22"/>
              </w:rPr>
              <w:t>des</w:t>
            </w:r>
            <w:r>
              <w:rPr>
                <w:spacing w:val="-13"/>
                <w:sz w:val="22"/>
              </w:rPr>
              <w:t> </w:t>
            </w:r>
            <w:r>
              <w:rPr>
                <w:sz w:val="22"/>
              </w:rPr>
              <w:t>lieux</w:t>
            </w:r>
            <w:r>
              <w:rPr>
                <w:spacing w:val="-11"/>
                <w:sz w:val="22"/>
              </w:rPr>
              <w:t> </w:t>
            </w:r>
            <w:r>
              <w:rPr>
                <w:sz w:val="22"/>
              </w:rPr>
              <w:t>de</w:t>
            </w:r>
            <w:r>
              <w:rPr>
                <w:spacing w:val="-13"/>
                <w:sz w:val="22"/>
              </w:rPr>
              <w:t> </w:t>
            </w:r>
            <w:r>
              <w:rPr>
                <w:sz w:val="22"/>
              </w:rPr>
              <w:t>la</w:t>
            </w:r>
            <w:r>
              <w:rPr>
                <w:spacing w:val="-13"/>
                <w:sz w:val="22"/>
              </w:rPr>
              <w:t> </w:t>
            </w:r>
            <w:r>
              <w:rPr>
                <w:sz w:val="22"/>
              </w:rPr>
              <w:t>littérature</w:t>
            </w:r>
            <w:r>
              <w:rPr>
                <w:spacing w:val="-11"/>
                <w:sz w:val="22"/>
              </w:rPr>
              <w:t> </w:t>
            </w:r>
            <w:r>
              <w:rPr>
                <w:sz w:val="22"/>
              </w:rPr>
              <w:t>concernant les molécules ciblant le métabolisme du glucose, de la glutamine et l’équilibre acido-basique de la cellule. Puis, il s’agit de cibler les molécules utilisées en clinique en médecine humaine, en retenant celles aux mécanismes d’action complémentaires, présentant une efficacité seule ou en association avec de la chimiothérapie (thérapie métabolique). Nous avons réalisé une étude de faisabilité à</w:t>
            </w:r>
            <w:r>
              <w:rPr>
                <w:spacing w:val="-36"/>
                <w:sz w:val="22"/>
              </w:rPr>
              <w:t> </w:t>
            </w:r>
            <w:r>
              <w:rPr>
                <w:sz w:val="22"/>
              </w:rPr>
              <w:t>partir de</w:t>
            </w:r>
            <w:r>
              <w:rPr>
                <w:spacing w:val="-4"/>
                <w:sz w:val="22"/>
              </w:rPr>
              <w:t> </w:t>
            </w:r>
            <w:r>
              <w:rPr>
                <w:sz w:val="22"/>
              </w:rPr>
              <w:t>18</w:t>
            </w:r>
            <w:r>
              <w:rPr>
                <w:spacing w:val="-5"/>
                <w:sz w:val="22"/>
              </w:rPr>
              <w:t> </w:t>
            </w:r>
            <w:r>
              <w:rPr>
                <w:sz w:val="22"/>
              </w:rPr>
              <w:t>cas</w:t>
            </w:r>
            <w:r>
              <w:rPr>
                <w:spacing w:val="-4"/>
                <w:sz w:val="22"/>
              </w:rPr>
              <w:t> </w:t>
            </w:r>
            <w:r>
              <w:rPr>
                <w:sz w:val="22"/>
              </w:rPr>
              <w:t>cliniques</w:t>
            </w:r>
            <w:r>
              <w:rPr>
                <w:spacing w:val="-4"/>
                <w:sz w:val="22"/>
              </w:rPr>
              <w:t> </w:t>
            </w:r>
            <w:r>
              <w:rPr>
                <w:sz w:val="22"/>
              </w:rPr>
              <w:t>(14</w:t>
            </w:r>
            <w:r>
              <w:rPr>
                <w:spacing w:val="-5"/>
                <w:sz w:val="22"/>
              </w:rPr>
              <w:t> </w:t>
            </w:r>
            <w:r>
              <w:rPr>
                <w:sz w:val="22"/>
              </w:rPr>
              <w:t>chiens</w:t>
            </w:r>
            <w:r>
              <w:rPr>
                <w:spacing w:val="-4"/>
                <w:sz w:val="22"/>
              </w:rPr>
              <w:t> </w:t>
            </w:r>
            <w:r>
              <w:rPr>
                <w:sz w:val="22"/>
              </w:rPr>
              <w:t>et</w:t>
            </w:r>
            <w:r>
              <w:rPr>
                <w:spacing w:val="-4"/>
                <w:sz w:val="22"/>
              </w:rPr>
              <w:t> </w:t>
            </w:r>
            <w:r>
              <w:rPr>
                <w:sz w:val="22"/>
              </w:rPr>
              <w:t>4</w:t>
            </w:r>
            <w:r>
              <w:rPr>
                <w:spacing w:val="-5"/>
                <w:sz w:val="22"/>
              </w:rPr>
              <w:t> </w:t>
            </w:r>
            <w:r>
              <w:rPr>
                <w:sz w:val="22"/>
              </w:rPr>
              <w:t>chats,</w:t>
            </w:r>
            <w:r>
              <w:rPr>
                <w:spacing w:val="-4"/>
                <w:sz w:val="22"/>
              </w:rPr>
              <w:t> </w:t>
            </w:r>
            <w:r>
              <w:rPr>
                <w:sz w:val="22"/>
              </w:rPr>
              <w:t>présentant</w:t>
            </w:r>
            <w:r>
              <w:rPr>
                <w:spacing w:val="-4"/>
                <w:sz w:val="22"/>
              </w:rPr>
              <w:t> </w:t>
            </w:r>
            <w:r>
              <w:rPr>
                <w:sz w:val="22"/>
              </w:rPr>
              <w:t>différents</w:t>
            </w:r>
            <w:r>
              <w:rPr>
                <w:spacing w:val="-4"/>
                <w:sz w:val="22"/>
              </w:rPr>
              <w:t> </w:t>
            </w:r>
            <w:r>
              <w:rPr>
                <w:sz w:val="22"/>
              </w:rPr>
              <w:t>types</w:t>
            </w:r>
            <w:r>
              <w:rPr>
                <w:spacing w:val="-4"/>
                <w:sz w:val="22"/>
              </w:rPr>
              <w:t> </w:t>
            </w:r>
            <w:r>
              <w:rPr>
                <w:sz w:val="22"/>
              </w:rPr>
              <w:t>histologiques</w:t>
            </w:r>
            <w:r>
              <w:rPr>
                <w:spacing w:val="-4"/>
                <w:sz w:val="22"/>
              </w:rPr>
              <w:t> </w:t>
            </w:r>
            <w:r>
              <w:rPr>
                <w:sz w:val="22"/>
              </w:rPr>
              <w:t>de</w:t>
            </w:r>
            <w:r>
              <w:rPr>
                <w:spacing w:val="-4"/>
                <w:sz w:val="22"/>
              </w:rPr>
              <w:t> </w:t>
            </w:r>
            <w:r>
              <w:rPr>
                <w:sz w:val="22"/>
              </w:rPr>
              <w:t>tumeurs)</w:t>
            </w:r>
            <w:r>
              <w:rPr>
                <w:spacing w:val="-6"/>
                <w:sz w:val="22"/>
              </w:rPr>
              <w:t> </w:t>
            </w:r>
            <w:r>
              <w:rPr>
                <w:sz w:val="22"/>
              </w:rPr>
              <w:t>traités au CHV Saint-Martin avec des molécules ciblant le métabolisme tumoral, utilisées seules ou en association avec de la chimiothérapie ou des anti-inflammatoires. Cette analyse consiste en une première étude d’observation évaluant la possibilité d’utilisation de ces molécules en clinique vétérinaire.</w:t>
            </w:r>
            <w:r>
              <w:rPr>
                <w:spacing w:val="-16"/>
                <w:sz w:val="22"/>
              </w:rPr>
              <w:t> </w:t>
            </w:r>
            <w:r>
              <w:rPr>
                <w:sz w:val="22"/>
              </w:rPr>
              <w:t>Les</w:t>
            </w:r>
            <w:r>
              <w:rPr>
                <w:spacing w:val="-16"/>
                <w:sz w:val="22"/>
              </w:rPr>
              <w:t> </w:t>
            </w:r>
            <w:r>
              <w:rPr>
                <w:sz w:val="22"/>
              </w:rPr>
              <w:t>résultats</w:t>
            </w:r>
            <w:r>
              <w:rPr>
                <w:spacing w:val="-16"/>
                <w:sz w:val="22"/>
              </w:rPr>
              <w:t> </w:t>
            </w:r>
            <w:r>
              <w:rPr>
                <w:sz w:val="22"/>
              </w:rPr>
              <w:t>montrent</w:t>
            </w:r>
            <w:r>
              <w:rPr>
                <w:spacing w:val="-16"/>
                <w:sz w:val="22"/>
              </w:rPr>
              <w:t> </w:t>
            </w:r>
            <w:r>
              <w:rPr>
                <w:sz w:val="22"/>
              </w:rPr>
              <w:t>la</w:t>
            </w:r>
            <w:r>
              <w:rPr>
                <w:spacing w:val="-16"/>
                <w:sz w:val="22"/>
              </w:rPr>
              <w:t> </w:t>
            </w:r>
            <w:r>
              <w:rPr>
                <w:sz w:val="22"/>
              </w:rPr>
              <w:t>bonne</w:t>
            </w:r>
            <w:r>
              <w:rPr>
                <w:spacing w:val="-19"/>
                <w:sz w:val="22"/>
              </w:rPr>
              <w:t> </w:t>
            </w:r>
            <w:r>
              <w:rPr>
                <w:sz w:val="22"/>
              </w:rPr>
              <w:t>tolérance</w:t>
            </w:r>
            <w:r>
              <w:rPr>
                <w:spacing w:val="-16"/>
                <w:sz w:val="22"/>
              </w:rPr>
              <w:t> </w:t>
            </w:r>
            <w:r>
              <w:rPr>
                <w:sz w:val="22"/>
              </w:rPr>
              <w:t>des</w:t>
            </w:r>
            <w:r>
              <w:rPr>
                <w:spacing w:val="-16"/>
                <w:sz w:val="22"/>
              </w:rPr>
              <w:t> </w:t>
            </w:r>
            <w:r>
              <w:rPr>
                <w:sz w:val="22"/>
              </w:rPr>
              <w:t>animaux</w:t>
            </w:r>
            <w:r>
              <w:rPr>
                <w:spacing w:val="-16"/>
                <w:sz w:val="22"/>
              </w:rPr>
              <w:t> </w:t>
            </w:r>
            <w:r>
              <w:rPr>
                <w:sz w:val="22"/>
              </w:rPr>
              <w:t>vis-à-vis</w:t>
            </w:r>
            <w:r>
              <w:rPr>
                <w:spacing w:val="-16"/>
                <w:sz w:val="22"/>
              </w:rPr>
              <w:t> </w:t>
            </w:r>
            <w:r>
              <w:rPr>
                <w:sz w:val="22"/>
              </w:rPr>
              <w:t>de</w:t>
            </w:r>
            <w:r>
              <w:rPr>
                <w:spacing w:val="-16"/>
                <w:sz w:val="22"/>
              </w:rPr>
              <w:t> </w:t>
            </w:r>
            <w:r>
              <w:rPr>
                <w:sz w:val="22"/>
              </w:rPr>
              <w:t>la</w:t>
            </w:r>
            <w:r>
              <w:rPr>
                <w:spacing w:val="-16"/>
                <w:sz w:val="22"/>
              </w:rPr>
              <w:t> </w:t>
            </w:r>
            <w:r>
              <w:rPr>
                <w:sz w:val="22"/>
              </w:rPr>
              <w:t>thérapie.</w:t>
            </w:r>
            <w:r>
              <w:rPr>
                <w:spacing w:val="-16"/>
                <w:sz w:val="22"/>
              </w:rPr>
              <w:t> </w:t>
            </w:r>
            <w:r>
              <w:rPr>
                <w:sz w:val="22"/>
              </w:rPr>
              <w:t>L’efficacité de</w:t>
            </w:r>
            <w:r>
              <w:rPr>
                <w:spacing w:val="-4"/>
                <w:sz w:val="22"/>
              </w:rPr>
              <w:t> </w:t>
            </w:r>
            <w:r>
              <w:rPr>
                <w:sz w:val="22"/>
              </w:rPr>
              <w:t>la</w:t>
            </w:r>
            <w:r>
              <w:rPr>
                <w:spacing w:val="-7"/>
                <w:sz w:val="22"/>
              </w:rPr>
              <w:t> </w:t>
            </w:r>
            <w:r>
              <w:rPr>
                <w:sz w:val="22"/>
              </w:rPr>
              <w:t>thérapie</w:t>
            </w:r>
            <w:r>
              <w:rPr>
                <w:spacing w:val="-4"/>
                <w:sz w:val="22"/>
              </w:rPr>
              <w:t> </w:t>
            </w:r>
            <w:r>
              <w:rPr>
                <w:sz w:val="22"/>
              </w:rPr>
              <w:t>métabolique</w:t>
            </w:r>
            <w:r>
              <w:rPr>
                <w:spacing w:val="-7"/>
                <w:sz w:val="22"/>
              </w:rPr>
              <w:t> </w:t>
            </w:r>
            <w:r>
              <w:rPr>
                <w:sz w:val="22"/>
              </w:rPr>
              <w:t>reste</w:t>
            </w:r>
            <w:r>
              <w:rPr>
                <w:spacing w:val="-7"/>
                <w:sz w:val="22"/>
              </w:rPr>
              <w:t> </w:t>
            </w:r>
            <w:r>
              <w:rPr>
                <w:sz w:val="22"/>
              </w:rPr>
              <w:t>cependant</w:t>
            </w:r>
            <w:r>
              <w:rPr>
                <w:spacing w:val="-6"/>
                <w:sz w:val="22"/>
              </w:rPr>
              <w:t> </w:t>
            </w:r>
            <w:r>
              <w:rPr>
                <w:sz w:val="22"/>
              </w:rPr>
              <w:t>à</w:t>
            </w:r>
            <w:r>
              <w:rPr>
                <w:spacing w:val="-7"/>
                <w:sz w:val="22"/>
              </w:rPr>
              <w:t> </w:t>
            </w:r>
            <w:r>
              <w:rPr>
                <w:sz w:val="22"/>
              </w:rPr>
              <w:t>démontrer,</w:t>
            </w:r>
            <w:r>
              <w:rPr>
                <w:spacing w:val="-7"/>
                <w:sz w:val="22"/>
              </w:rPr>
              <w:t> </w:t>
            </w:r>
            <w:r>
              <w:rPr>
                <w:sz w:val="22"/>
              </w:rPr>
              <w:t>ce</w:t>
            </w:r>
            <w:r>
              <w:rPr>
                <w:spacing w:val="-7"/>
                <w:sz w:val="22"/>
              </w:rPr>
              <w:t> </w:t>
            </w:r>
            <w:r>
              <w:rPr>
                <w:sz w:val="22"/>
              </w:rPr>
              <w:t>qui</w:t>
            </w:r>
            <w:r>
              <w:rPr>
                <w:spacing w:val="-6"/>
                <w:sz w:val="22"/>
              </w:rPr>
              <w:t> </w:t>
            </w:r>
            <w:r>
              <w:rPr>
                <w:sz w:val="22"/>
              </w:rPr>
              <w:t>a</w:t>
            </w:r>
            <w:r>
              <w:rPr>
                <w:spacing w:val="-4"/>
                <w:sz w:val="22"/>
              </w:rPr>
              <w:t> </w:t>
            </w:r>
            <w:r>
              <w:rPr>
                <w:sz w:val="22"/>
              </w:rPr>
              <w:t>motivé</w:t>
            </w:r>
            <w:r>
              <w:rPr>
                <w:spacing w:val="-4"/>
                <w:sz w:val="22"/>
              </w:rPr>
              <w:t> </w:t>
            </w:r>
            <w:r>
              <w:rPr>
                <w:sz w:val="22"/>
              </w:rPr>
              <w:t>une</w:t>
            </w:r>
            <w:r>
              <w:rPr>
                <w:spacing w:val="-4"/>
                <w:sz w:val="22"/>
              </w:rPr>
              <w:t> </w:t>
            </w:r>
            <w:r>
              <w:rPr>
                <w:sz w:val="22"/>
              </w:rPr>
              <w:t>proposition</w:t>
            </w:r>
            <w:r>
              <w:rPr>
                <w:spacing w:val="-5"/>
                <w:sz w:val="22"/>
              </w:rPr>
              <w:t> </w:t>
            </w:r>
            <w:r>
              <w:rPr>
                <w:sz w:val="22"/>
              </w:rPr>
              <w:t>de</w:t>
            </w:r>
            <w:r>
              <w:rPr>
                <w:spacing w:val="-4"/>
                <w:sz w:val="22"/>
              </w:rPr>
              <w:t> </w:t>
            </w:r>
            <w:r>
              <w:rPr>
                <w:sz w:val="22"/>
              </w:rPr>
              <w:t>protocole d’essai clinique permettant d’évaluer l’efficacité de la thérapie métabolique en association avec la chimiothérapie sur la survie des</w:t>
            </w:r>
            <w:r>
              <w:rPr>
                <w:spacing w:val="-11"/>
                <w:sz w:val="22"/>
              </w:rPr>
              <w:t> </w:t>
            </w:r>
            <w:r>
              <w:rPr>
                <w:sz w:val="22"/>
              </w:rPr>
              <w:t>animaux.</w:t>
            </w:r>
          </w:p>
        </w:tc>
      </w:tr>
      <w:tr>
        <w:trPr>
          <w:trHeight w:val="1340" w:hRule="atLeas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7"/>
              </w:rPr>
            </w:pPr>
          </w:p>
          <w:p>
            <w:pPr>
              <w:pStyle w:val="TableParagraph"/>
              <w:spacing w:line="320" w:lineRule="exact"/>
              <w:ind w:left="105"/>
              <w:rPr>
                <w:b/>
                <w:sz w:val="28"/>
              </w:rPr>
            </w:pPr>
            <w:r>
              <w:rPr>
                <w:b/>
                <w:sz w:val="28"/>
              </w:rPr>
              <w:t>MOTS CLES :</w:t>
            </w:r>
          </w:p>
          <w:p>
            <w:pPr>
              <w:pStyle w:val="TableParagraph"/>
              <w:numPr>
                <w:ilvl w:val="0"/>
                <w:numId w:val="36"/>
              </w:numPr>
              <w:tabs>
                <w:tab w:pos="2683" w:val="left" w:leader="none"/>
                <w:tab w:pos="2684" w:val="left" w:leader="none"/>
                <w:tab w:pos="6012" w:val="left" w:leader="none"/>
                <w:tab w:pos="6372" w:val="left" w:leader="none"/>
              </w:tabs>
              <w:spacing w:line="237" w:lineRule="exact" w:before="0" w:after="0"/>
              <w:ind w:left="2683" w:right="0" w:hanging="361"/>
              <w:jc w:val="left"/>
              <w:rPr>
                <w:sz w:val="20"/>
              </w:rPr>
            </w:pPr>
            <w:r>
              <w:rPr>
                <w:sz w:val="20"/>
              </w:rPr>
              <w:t>Cancer --</w:t>
            </w:r>
            <w:r>
              <w:rPr>
                <w:spacing w:val="-5"/>
                <w:sz w:val="20"/>
              </w:rPr>
              <w:t> </w:t>
            </w:r>
            <w:r>
              <w:rPr>
                <w:sz w:val="20"/>
              </w:rPr>
              <w:t>Thérapeutique</w:t>
              <w:tab/>
            </w:r>
            <w:r>
              <w:rPr>
                <w:rFonts w:ascii="Calibri" w:hAnsi="Calibri"/>
                <w:sz w:val="20"/>
              </w:rPr>
              <w:t>-</w:t>
              <w:tab/>
            </w:r>
            <w:r>
              <w:rPr>
                <w:sz w:val="20"/>
              </w:rPr>
              <w:t>Cancer chez les</w:t>
            </w:r>
            <w:r>
              <w:rPr>
                <w:spacing w:val="-8"/>
                <w:sz w:val="20"/>
              </w:rPr>
              <w:t> </w:t>
            </w:r>
            <w:r>
              <w:rPr>
                <w:sz w:val="20"/>
              </w:rPr>
              <w:t>animaux</w:t>
            </w:r>
          </w:p>
          <w:p>
            <w:pPr>
              <w:pStyle w:val="TableParagraph"/>
              <w:numPr>
                <w:ilvl w:val="0"/>
                <w:numId w:val="36"/>
              </w:numPr>
              <w:tabs>
                <w:tab w:pos="2683" w:val="left" w:leader="none"/>
                <w:tab w:pos="2684" w:val="left" w:leader="none"/>
                <w:tab w:pos="6012" w:val="left" w:leader="none"/>
                <w:tab w:pos="6372" w:val="left" w:leader="none"/>
              </w:tabs>
              <w:spacing w:line="233" w:lineRule="exact" w:before="0" w:after="0"/>
              <w:ind w:left="2683" w:right="0" w:hanging="361"/>
              <w:jc w:val="left"/>
              <w:rPr>
                <w:sz w:val="20"/>
              </w:rPr>
            </w:pPr>
            <w:r>
              <w:rPr>
                <w:sz w:val="20"/>
              </w:rPr>
              <w:t>Métabolisme</w:t>
              <w:tab/>
            </w:r>
            <w:r>
              <w:rPr>
                <w:rFonts w:ascii="Calibri" w:hAnsi="Calibri"/>
                <w:sz w:val="20"/>
              </w:rPr>
              <w:t>-</w:t>
              <w:tab/>
            </w:r>
            <w:r>
              <w:rPr>
                <w:sz w:val="20"/>
              </w:rPr>
              <w:t>Chien</w:t>
            </w:r>
          </w:p>
          <w:p>
            <w:pPr>
              <w:pStyle w:val="TableParagraph"/>
              <w:numPr>
                <w:ilvl w:val="0"/>
                <w:numId w:val="36"/>
              </w:numPr>
              <w:tabs>
                <w:tab w:pos="2683" w:val="left" w:leader="none"/>
                <w:tab w:pos="2684" w:val="left" w:leader="none"/>
                <w:tab w:pos="6012" w:val="left" w:leader="none"/>
                <w:tab w:pos="6372" w:val="left" w:leader="none"/>
              </w:tabs>
              <w:spacing w:line="215" w:lineRule="exact" w:before="0" w:after="0"/>
              <w:ind w:left="2683" w:right="0" w:hanging="361"/>
              <w:jc w:val="left"/>
              <w:rPr>
                <w:sz w:val="20"/>
              </w:rPr>
            </w:pPr>
            <w:r>
              <w:rPr>
                <w:sz w:val="20"/>
              </w:rPr>
              <w:t>Cellules</w:t>
            </w:r>
            <w:r>
              <w:rPr>
                <w:spacing w:val="-3"/>
                <w:sz w:val="20"/>
              </w:rPr>
              <w:t> </w:t>
            </w:r>
            <w:r>
              <w:rPr>
                <w:sz w:val="20"/>
              </w:rPr>
              <w:t>cancéreuses</w:t>
              <w:tab/>
            </w:r>
            <w:r>
              <w:rPr>
                <w:rFonts w:ascii="Calibri" w:hAnsi="Calibri"/>
                <w:sz w:val="20"/>
              </w:rPr>
              <w:t>-</w:t>
              <w:tab/>
            </w:r>
            <w:r>
              <w:rPr>
                <w:sz w:val="20"/>
              </w:rPr>
              <w:t>Chat</w:t>
            </w:r>
            <w:r>
              <w:rPr>
                <w:spacing w:val="-11"/>
                <w:sz w:val="20"/>
              </w:rPr>
              <w:t> </w:t>
            </w:r>
            <w:r>
              <w:rPr>
                <w:sz w:val="20"/>
              </w:rPr>
              <w:t>domestique</w:t>
            </w:r>
          </w:p>
        </w:tc>
      </w:tr>
      <w:tr>
        <w:trPr>
          <w:trHeight w:val="2280" w:hRule="atLeas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before="8"/>
              <w:rPr>
                <w:sz w:val="27"/>
              </w:rPr>
            </w:pPr>
          </w:p>
          <w:p>
            <w:pPr>
              <w:pStyle w:val="TableParagraph"/>
              <w:spacing w:line="320" w:lineRule="exact"/>
              <w:ind w:left="105"/>
              <w:rPr>
                <w:b/>
                <w:sz w:val="28"/>
              </w:rPr>
            </w:pPr>
            <w:r>
              <w:rPr>
                <w:b/>
                <w:sz w:val="28"/>
              </w:rPr>
              <w:t>JURY :</w:t>
            </w:r>
          </w:p>
          <w:p>
            <w:pPr>
              <w:pStyle w:val="TableParagraph"/>
              <w:spacing w:line="228" w:lineRule="exact"/>
              <w:ind w:left="1521"/>
              <w:rPr>
                <w:sz w:val="20"/>
              </w:rPr>
            </w:pPr>
            <w:r>
              <w:rPr>
                <w:sz w:val="20"/>
              </w:rPr>
              <w:t>Président : Madame le Professeur Françoise Mornex</w:t>
            </w:r>
          </w:p>
          <w:p>
            <w:pPr>
              <w:pStyle w:val="TableParagraph"/>
              <w:spacing w:before="2"/>
              <w:rPr>
                <w:sz w:val="20"/>
              </w:rPr>
            </w:pPr>
          </w:p>
          <w:p>
            <w:pPr>
              <w:pStyle w:val="TableParagraph"/>
              <w:spacing w:line="235" w:lineRule="auto"/>
              <w:ind w:left="1521" w:right="3080"/>
              <w:rPr>
                <w:sz w:val="20"/>
              </w:rPr>
            </w:pPr>
            <w:r>
              <w:rPr>
                <w:sz w:val="20"/>
              </w:rPr>
              <w:t>1</w:t>
            </w:r>
            <w:r>
              <w:rPr>
                <w:position w:val="7"/>
                <w:sz w:val="13"/>
              </w:rPr>
              <w:t>er </w:t>
            </w:r>
            <w:r>
              <w:rPr>
                <w:sz w:val="20"/>
              </w:rPr>
              <w:t>Assesseur : Madame le Professeur Frédérique Ponce 2</w:t>
            </w:r>
            <w:r>
              <w:rPr>
                <w:position w:val="7"/>
                <w:sz w:val="13"/>
              </w:rPr>
              <w:t>ème </w:t>
            </w:r>
            <w:r>
              <w:rPr>
                <w:sz w:val="20"/>
              </w:rPr>
              <w:t>Assesseur : Monsieur le Professeur Philippe Berny</w:t>
            </w:r>
          </w:p>
          <w:p>
            <w:pPr>
              <w:pStyle w:val="TableParagraph"/>
              <w:spacing w:before="9"/>
              <w:rPr>
                <w:sz w:val="19"/>
              </w:rPr>
            </w:pPr>
          </w:p>
          <w:p>
            <w:pPr>
              <w:pStyle w:val="TableParagraph"/>
              <w:spacing w:before="1"/>
              <w:ind w:left="1521"/>
              <w:rPr>
                <w:sz w:val="20"/>
              </w:rPr>
            </w:pPr>
            <w:r>
              <w:rPr>
                <w:sz w:val="20"/>
              </w:rPr>
              <w:t>Membre invité : Monsieur le Docteur Hubert Lincet</w:t>
            </w:r>
          </w:p>
        </w:tc>
      </w:tr>
      <w:tr>
        <w:trPr>
          <w:trHeight w:val="960" w:hRule="atLeas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before="11"/>
              <w:rPr>
                <w:sz w:val="27"/>
              </w:rPr>
            </w:pPr>
          </w:p>
          <w:p>
            <w:pPr>
              <w:pStyle w:val="TableParagraph"/>
              <w:ind w:left="105"/>
              <w:rPr>
                <w:b/>
                <w:sz w:val="28"/>
              </w:rPr>
            </w:pPr>
            <w:r>
              <w:rPr>
                <w:b/>
                <w:sz w:val="28"/>
              </w:rPr>
              <w:t>DATE DE SOUTENANCE : 12 juillet 2017</w:t>
            </w:r>
          </w:p>
        </w:tc>
      </w:tr>
      <w:tr>
        <w:trPr>
          <w:trHeight w:val="1320" w:hRule="atLeast"/>
        </w:trPr>
        <w:tc>
          <w:tcPr>
            <w:tcW w:w="9064" w:type="dxa"/>
            <w:tcBorders>
              <w:top w:val="single" w:sz="4" w:space="0" w:color="000000"/>
              <w:left w:val="single" w:sz="4" w:space="0" w:color="000000"/>
              <w:bottom w:val="single" w:sz="4" w:space="0" w:color="000000"/>
              <w:right w:val="single" w:sz="4" w:space="0" w:color="000000"/>
            </w:tcBorders>
          </w:tcPr>
          <w:p>
            <w:pPr>
              <w:pStyle w:val="TableParagraph"/>
              <w:spacing w:before="8"/>
              <w:rPr>
                <w:sz w:val="27"/>
              </w:rPr>
            </w:pPr>
          </w:p>
          <w:p>
            <w:pPr>
              <w:pStyle w:val="TableParagraph"/>
              <w:spacing w:line="320" w:lineRule="exact"/>
              <w:ind w:left="105"/>
              <w:rPr>
                <w:b/>
                <w:sz w:val="28"/>
              </w:rPr>
            </w:pPr>
            <w:r>
              <w:rPr>
                <w:b/>
                <w:sz w:val="28"/>
              </w:rPr>
              <w:t>ADRESSE DE L’AUTEUR :</w:t>
            </w:r>
          </w:p>
          <w:p>
            <w:pPr>
              <w:pStyle w:val="TableParagraph"/>
              <w:spacing w:line="228" w:lineRule="exact"/>
              <w:ind w:left="4332" w:right="3081"/>
              <w:jc w:val="center"/>
              <w:rPr>
                <w:sz w:val="20"/>
              </w:rPr>
            </w:pPr>
            <w:r>
              <w:rPr>
                <w:sz w:val="20"/>
              </w:rPr>
              <w:t>34 rue d’Esquermes</w:t>
            </w:r>
          </w:p>
          <w:p>
            <w:pPr>
              <w:pStyle w:val="TableParagraph"/>
              <w:spacing w:before="1"/>
              <w:ind w:left="3660" w:right="3081"/>
              <w:jc w:val="center"/>
              <w:rPr>
                <w:sz w:val="20"/>
              </w:rPr>
            </w:pPr>
            <w:r>
              <w:rPr>
                <w:sz w:val="20"/>
              </w:rPr>
              <w:t>59000 Lille</w:t>
            </w:r>
          </w:p>
        </w:tc>
      </w:tr>
    </w:tbl>
    <w:sectPr>
      <w:footerReference w:type="even" r:id="rId89"/>
      <w:pgSz w:w="11910" w:h="16840"/>
      <w:pgMar w:footer="0" w:header="0" w:top="1400" w:bottom="28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 w:name="Wingdings">
    <w:altName w:val="Wingdings"/>
    <w:charset w:val="2"/>
    <w:family w:val="auto"/>
    <w:pitch w:val="variable"/>
  </w:font>
  <w:font w:name="Calibri">
    <w:altName w:val="Calibri"/>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9.649994pt;margin-top:778.146606pt;width:16pt;height:15.3pt;mso-position-horizontal-relative:page;mso-position-vertical-relative:page;z-index:-264112" type="#_x0000_t202" filled="false" stroked="false">
          <v:textbox inset="0,0,0,0">
            <w:txbxContent>
              <w:p>
                <w:pPr>
                  <w:pStyle w:val="BodyText"/>
                  <w:spacing w:before="10"/>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649994pt;margin-top:778.146606pt;width:14pt;height:15.3pt;mso-position-horizontal-relative:page;mso-position-vertical-relative:page;z-index:-263896" type="#_x0000_t202" filled="false" stroked="false">
          <v:textbox inset="0,0,0,0">
            <w:txbxContent>
              <w:p>
                <w:pPr>
                  <w:pStyle w:val="BodyText"/>
                  <w:spacing w:before="10"/>
                  <w:ind w:left="20"/>
                </w:pPr>
                <w:r>
                  <w:rPr/>
                  <w:t>99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49994pt;margin-top:778.146606pt;width:20pt;height:15.3pt;mso-position-horizontal-relative:page;mso-position-vertical-relative:page;z-index:-263872" type="#_x0000_t202" filled="false" stroked="false">
          <v:textbox inset="0,0,0,0">
            <w:txbxContent>
              <w:p>
                <w:pPr>
                  <w:pStyle w:val="BodyText"/>
                  <w:spacing w:before="10"/>
                  <w:ind w:left="20"/>
                </w:pPr>
                <w:r>
                  <w:rPr/>
                  <w:t>100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649994pt;margin-top:778.146606pt;width:20pt;height:15.3pt;mso-position-horizontal-relative:page;mso-position-vertical-relative:page;z-index:-263848" type="#_x0000_t202" filled="false" stroked="false">
          <v:textbox inset="0,0,0,0">
            <w:txbxContent>
              <w:p>
                <w:pPr>
                  <w:pStyle w:val="BodyText"/>
                  <w:spacing w:before="10"/>
                  <w:ind w:left="20"/>
                </w:pPr>
                <w:r>
                  <w:rPr/>
                  <w:t>101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49994pt;margin-top:778.146606pt;width:22pt;height:15.3pt;mso-position-horizontal-relative:page;mso-position-vertical-relative:page;z-index:-263824" type="#_x0000_t202" filled="false" stroked="false">
          <v:textbox inset="0,0,0,0">
            <w:txbxContent>
              <w:p>
                <w:pPr>
                  <w:pStyle w:val="BodyText"/>
                  <w:spacing w:before="10"/>
                  <w:ind w:left="40"/>
                </w:pPr>
                <w:r>
                  <w:rPr/>
                  <w:fldChar w:fldCharType="begin"/>
                </w:r>
                <w:r>
                  <w:rPr/>
                  <w:instrText> PAGE </w:instrText>
                </w:r>
                <w:r>
                  <w:rPr/>
                  <w:fldChar w:fldCharType="separate"/>
                </w:r>
                <w:r>
                  <w:rPr/>
                  <w:t>102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49994pt;margin-top:778.146606pt;width:22pt;height:15.3pt;mso-position-horizontal-relative:page;mso-position-vertical-relative:page;z-index:-263800" type="#_x0000_t202" filled="false" stroked="false">
          <v:textbox inset="0,0,0,0">
            <w:txbxContent>
              <w:p>
                <w:pPr>
                  <w:pStyle w:val="BodyText"/>
                  <w:spacing w:before="10"/>
                  <w:ind w:left="40"/>
                </w:pPr>
                <w:r>
                  <w:rPr/>
                  <w:fldChar w:fldCharType="begin"/>
                </w:r>
                <w:r>
                  <w:rPr/>
                  <w:instrText> PAGE </w:instrText>
                </w:r>
                <w:r>
                  <w:rPr/>
                  <w:fldChar w:fldCharType="separate"/>
                </w:r>
                <w:r>
                  <w:rPr/>
                  <w:t>103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029999pt;margin-top:531.402649pt;width:22pt;height:15.3pt;mso-position-horizontal-relative:page;mso-position-vertical-relative:page;z-index:-263776" type="#_x0000_t202" filled="false" stroked="false">
          <v:textbox inset="0,0,0,0">
            <w:txbxContent>
              <w:p>
                <w:pPr>
                  <w:pStyle w:val="BodyText"/>
                  <w:spacing w:before="10"/>
                  <w:ind w:left="40"/>
                </w:pPr>
                <w:r>
                  <w:rPr/>
                  <w:fldChar w:fldCharType="begin"/>
                </w:r>
                <w:r>
                  <w:rPr/>
                  <w:instrText> PAGE </w:instrText>
                </w:r>
                <w:r>
                  <w:rPr/>
                  <w:fldChar w:fldCharType="separate"/>
                </w:r>
                <w:r>
                  <w:rPr/>
                  <w:t>112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029999pt;margin-top:531.402649pt;width:22pt;height:15.3pt;mso-position-horizontal-relative:page;mso-position-vertical-relative:page;z-index:-263752" type="#_x0000_t202" filled="false" stroked="false">
          <v:textbox inset="0,0,0,0">
            <w:txbxContent>
              <w:p>
                <w:pPr>
                  <w:pStyle w:val="BodyText"/>
                  <w:spacing w:before="10"/>
                  <w:ind w:left="40"/>
                </w:pPr>
                <w:r>
                  <w:rPr/>
                  <w:fldChar w:fldCharType="begin"/>
                </w:r>
                <w:r>
                  <w:rPr/>
                  <w:instrText> PAGE </w:instrText>
                </w:r>
                <w:r>
                  <w:rPr/>
                  <w:fldChar w:fldCharType="separate"/>
                </w:r>
                <w:r>
                  <w:rPr/>
                  <w:t>114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029999pt;margin-top:531.402649pt;width:22pt;height:15.3pt;mso-position-horizontal-relative:page;mso-position-vertical-relative:page;z-index:-263728" type="#_x0000_t202" filled="false" stroked="false">
          <v:textbox inset="0,0,0,0">
            <w:txbxContent>
              <w:p>
                <w:pPr>
                  <w:pStyle w:val="BodyText"/>
                  <w:spacing w:before="10"/>
                  <w:ind w:left="40"/>
                </w:pPr>
                <w:r>
                  <w:rPr/>
                  <w:fldChar w:fldCharType="begin"/>
                </w:r>
                <w:r>
                  <w:rPr/>
                  <w:instrText> PAGE </w:instrText>
                </w:r>
                <w:r>
                  <w:rPr/>
                  <w:fldChar w:fldCharType="separate"/>
                </w:r>
                <w:r>
                  <w:rPr/>
                  <w:t>116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49994pt;margin-top:778.146606pt;width:16pt;height:15.3pt;mso-position-horizontal-relative:page;mso-position-vertical-relative:page;z-index:-264088" type="#_x0000_t202" filled="false" stroked="false">
          <v:textbox inset="0,0,0,0">
            <w:txbxContent>
              <w:p>
                <w:pPr>
                  <w:pStyle w:val="BodyText"/>
                  <w:spacing w:before="10"/>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49994pt;margin-top:778.146606pt;width:22pt;height:15.3pt;mso-position-horizontal-relative:page;mso-position-vertical-relative:page;z-index:-263704" type="#_x0000_t202" filled="false" stroked="false">
          <v:textbox inset="0,0,0,0">
            <w:txbxContent>
              <w:p>
                <w:pPr>
                  <w:pStyle w:val="BodyText"/>
                  <w:spacing w:before="10"/>
                  <w:ind w:left="40"/>
                </w:pPr>
                <w:r>
                  <w:rPr/>
                  <w:fldChar w:fldCharType="begin"/>
                </w:r>
                <w:r>
                  <w:rPr/>
                  <w:instrText> PAGE </w:instrText>
                </w:r>
                <w:r>
                  <w:rPr/>
                  <w:fldChar w:fldCharType="separate"/>
                </w:r>
                <w:r>
                  <w:rPr/>
                  <w:t>118</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49994pt;margin-top:778.146606pt;width:22pt;height:15.3pt;mso-position-horizontal-relative:page;mso-position-vertical-relative:page;z-index:-263680" type="#_x0000_t202" filled="false" stroked="false">
          <v:textbox inset="0,0,0,0">
            <w:txbxContent>
              <w:p>
                <w:pPr>
                  <w:pStyle w:val="BodyText"/>
                  <w:spacing w:before="10"/>
                  <w:ind w:left="40"/>
                </w:pPr>
                <w:r>
                  <w:rPr/>
                  <w:fldChar w:fldCharType="begin"/>
                </w:r>
                <w:r>
                  <w:rPr/>
                  <w:instrText> PAGE </w:instrText>
                </w:r>
                <w:r>
                  <w:rPr/>
                  <w:fldChar w:fldCharType="separate"/>
                </w:r>
                <w:r>
                  <w:rPr/>
                  <w:t>119</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49994pt;margin-top:778.146606pt;width:22pt;height:15.3pt;mso-position-horizontal-relative:page;mso-position-vertical-relative:page;z-index:-263656" type="#_x0000_t202" filled="false" stroked="false">
          <v:textbox inset="0,0,0,0">
            <w:txbxContent>
              <w:p>
                <w:pPr>
                  <w:pStyle w:val="BodyText"/>
                  <w:spacing w:before="10"/>
                  <w:ind w:left="40"/>
                </w:pPr>
                <w:r>
                  <w:rPr/>
                  <w:fldChar w:fldCharType="begin"/>
                </w:r>
                <w:r>
                  <w:rPr/>
                  <w:instrText> PAGE </w:instrText>
                </w:r>
                <w:r>
                  <w:rPr/>
                  <w:fldChar w:fldCharType="separate"/>
                </w:r>
                <w:r>
                  <w:rPr/>
                  <w:t>140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649994pt;margin-top:778.146606pt;width:22pt;height:15.3pt;mso-position-horizontal-relative:page;mso-position-vertical-relative:page;z-index:-263632" type="#_x0000_t202" filled="false" stroked="false">
          <v:textbox inset="0,0,0,0">
            <w:txbxContent>
              <w:p>
                <w:pPr>
                  <w:pStyle w:val="BodyText"/>
                  <w:spacing w:before="10"/>
                  <w:ind w:left="40"/>
                </w:pPr>
                <w:r>
                  <w:rPr/>
                  <w:fldChar w:fldCharType="begin"/>
                </w:r>
                <w:r>
                  <w:rPr/>
                  <w:instrText> PAGE </w:instrText>
                </w:r>
                <w:r>
                  <w:rPr/>
                  <w:fldChar w:fldCharType="separate"/>
                </w:r>
                <w:r>
                  <w:rPr/>
                  <w:t>141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29999pt;margin-top:531.402649pt;width:16pt;height:15.3pt;mso-position-horizontal-relative:page;mso-position-vertical-relative:page;z-index:-264064" type="#_x0000_t202" filled="false" stroked="false">
          <v:textbox inset="0,0,0,0">
            <w:txbxContent>
              <w:p>
                <w:pPr>
                  <w:pStyle w:val="BodyText"/>
                  <w:spacing w:before="10"/>
                  <w:ind w:left="40"/>
                </w:pPr>
                <w:r>
                  <w:rPr/>
                  <w:fldChar w:fldCharType="begin"/>
                </w:r>
                <w:r>
                  <w:rPr/>
                  <w:instrText> PAGE </w:instrText>
                </w:r>
                <w:r>
                  <w:rPr/>
                  <w:fldChar w:fldCharType="separate"/>
                </w:r>
                <w:r>
                  <w:rPr/>
                  <w:t>80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29999pt;margin-top:531.402649pt;width:16pt;height:15.3pt;mso-position-horizontal-relative:page;mso-position-vertical-relative:page;z-index:-264040" type="#_x0000_t202" filled="false" stroked="false">
          <v:textbox inset="0,0,0,0">
            <w:txbxContent>
              <w:p>
                <w:pPr>
                  <w:pStyle w:val="BodyText"/>
                  <w:spacing w:before="10"/>
                  <w:ind w:left="40"/>
                </w:pPr>
                <w:r>
                  <w:rPr/>
                  <w:fldChar w:fldCharType="begin"/>
                </w:r>
                <w:r>
                  <w:rPr/>
                  <w:instrText> PAGE </w:instrText>
                </w:r>
                <w:r>
                  <w:rPr/>
                  <w:fldChar w:fldCharType="separate"/>
                </w:r>
                <w:r>
                  <w:rPr/>
                  <w:t>81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49994pt;margin-top:778.026611pt;width:16pt;height:15.3pt;mso-position-horizontal-relative:page;mso-position-vertical-relative:page;z-index:-264016" type="#_x0000_t202" filled="false" stroked="false">
          <v:textbox inset="0,0,0,0">
            <w:txbxContent>
              <w:p>
                <w:pPr>
                  <w:pStyle w:val="BodyText"/>
                  <w:spacing w:before="10"/>
                  <w:ind w:left="40"/>
                </w:pPr>
                <w:r>
                  <w:rPr/>
                  <w:fldChar w:fldCharType="begin"/>
                </w:r>
                <w:r>
                  <w:rPr/>
                  <w:instrText> PAGE </w:instrText>
                </w:r>
                <w:r>
                  <w:rPr/>
                  <w:fldChar w:fldCharType="separate"/>
                </w:r>
                <w:r>
                  <w:rPr/>
                  <w:t>86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49994pt;margin-top:778.026611pt;width:16pt;height:15.3pt;mso-position-horizontal-relative:page;mso-position-vertical-relative:page;z-index:-263992" type="#_x0000_t202" filled="false" stroked="false">
          <v:textbox inset="0,0,0,0">
            <w:txbxContent>
              <w:p>
                <w:pPr>
                  <w:pStyle w:val="BodyText"/>
                  <w:spacing w:before="10"/>
                  <w:ind w:left="40"/>
                </w:pPr>
                <w:r>
                  <w:rPr/>
                  <w:fldChar w:fldCharType="begin"/>
                </w:r>
                <w:r>
                  <w:rPr/>
                  <w:instrText> PAGE </w:instrText>
                </w:r>
                <w:r>
                  <w:rPr/>
                  <w:fldChar w:fldCharType="separate"/>
                </w:r>
                <w:r>
                  <w:rPr/>
                  <w:t>87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29999pt;margin-top:531.402649pt;width:16pt;height:15.3pt;mso-position-horizontal-relative:page;mso-position-vertical-relative:page;z-index:-263968" type="#_x0000_t202" filled="false" stroked="false">
          <v:textbox inset="0,0,0,0">
            <w:txbxContent>
              <w:p>
                <w:pPr>
                  <w:pStyle w:val="BodyText"/>
                  <w:spacing w:before="10"/>
                  <w:ind w:left="40"/>
                </w:pPr>
                <w:r>
                  <w:rPr/>
                  <w:fldChar w:fldCharType="begin"/>
                </w:r>
                <w:r>
                  <w:rPr/>
                  <w:instrText> PAGE </w:instrText>
                </w:r>
                <w:r>
                  <w:rPr/>
                  <w:fldChar w:fldCharType="separate"/>
                </w:r>
                <w:r>
                  <w:rPr/>
                  <w:t>90</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29999pt;margin-top:531.402649pt;width:16pt;height:15.3pt;mso-position-horizontal-relative:page;mso-position-vertical-relative:page;z-index:-263944" type="#_x0000_t202" filled="false" stroked="false">
          <v:textbox inset="0,0,0,0">
            <w:txbxContent>
              <w:p>
                <w:pPr>
                  <w:pStyle w:val="BodyText"/>
                  <w:spacing w:before="10"/>
                  <w:ind w:left="40"/>
                </w:pPr>
                <w:r>
                  <w:rPr/>
                  <w:fldChar w:fldCharType="begin"/>
                </w:r>
                <w:r>
                  <w:rPr/>
                  <w:instrText> PAGE </w:instrText>
                </w:r>
                <w:r>
                  <w:rPr/>
                  <w:fldChar w:fldCharType="separate"/>
                </w:r>
                <w:r>
                  <w:rPr/>
                  <w:t>91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649994pt;margin-top:778.146606pt;width:14pt;height:15.3pt;mso-position-horizontal-relative:page;mso-position-vertical-relative:page;z-index:-263920" type="#_x0000_t202" filled="false" stroked="false">
          <v:textbox inset="0,0,0,0">
            <w:txbxContent>
              <w:p>
                <w:pPr>
                  <w:pStyle w:val="BodyText"/>
                  <w:spacing w:before="10"/>
                  <w:ind w:left="20"/>
                </w:pPr>
                <w:r>
                  <w:rPr/>
                  <w:t>98</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0"/>
      <w:numFmt w:val="bullet"/>
      <w:lvlText w:val="-"/>
      <w:lvlJc w:val="left"/>
      <w:pPr>
        <w:ind w:left="2683" w:hanging="361"/>
      </w:pPr>
      <w:rPr>
        <w:rFonts w:hint="default" w:ascii="Calibri" w:hAnsi="Calibri" w:eastAsia="Calibri" w:cs="Calibri"/>
        <w:w w:val="99"/>
        <w:sz w:val="20"/>
        <w:szCs w:val="20"/>
      </w:rPr>
    </w:lvl>
    <w:lvl w:ilvl="1">
      <w:start w:val="0"/>
      <w:numFmt w:val="bullet"/>
      <w:lvlText w:val="•"/>
      <w:lvlJc w:val="left"/>
      <w:pPr>
        <w:ind w:left="3317" w:hanging="361"/>
      </w:pPr>
      <w:rPr>
        <w:rFonts w:hint="default"/>
      </w:rPr>
    </w:lvl>
    <w:lvl w:ilvl="2">
      <w:start w:val="0"/>
      <w:numFmt w:val="bullet"/>
      <w:lvlText w:val="•"/>
      <w:lvlJc w:val="left"/>
      <w:pPr>
        <w:ind w:left="3954" w:hanging="361"/>
      </w:pPr>
      <w:rPr>
        <w:rFonts w:hint="default"/>
      </w:rPr>
    </w:lvl>
    <w:lvl w:ilvl="3">
      <w:start w:val="0"/>
      <w:numFmt w:val="bullet"/>
      <w:lvlText w:val="•"/>
      <w:lvlJc w:val="left"/>
      <w:pPr>
        <w:ind w:left="4592" w:hanging="361"/>
      </w:pPr>
      <w:rPr>
        <w:rFonts w:hint="default"/>
      </w:rPr>
    </w:lvl>
    <w:lvl w:ilvl="4">
      <w:start w:val="0"/>
      <w:numFmt w:val="bullet"/>
      <w:lvlText w:val="•"/>
      <w:lvlJc w:val="left"/>
      <w:pPr>
        <w:ind w:left="5229" w:hanging="361"/>
      </w:pPr>
      <w:rPr>
        <w:rFonts w:hint="default"/>
      </w:rPr>
    </w:lvl>
    <w:lvl w:ilvl="5">
      <w:start w:val="0"/>
      <w:numFmt w:val="bullet"/>
      <w:lvlText w:val="•"/>
      <w:lvlJc w:val="left"/>
      <w:pPr>
        <w:ind w:left="5866" w:hanging="361"/>
      </w:pPr>
      <w:rPr>
        <w:rFonts w:hint="default"/>
      </w:rPr>
    </w:lvl>
    <w:lvl w:ilvl="6">
      <w:start w:val="0"/>
      <w:numFmt w:val="bullet"/>
      <w:lvlText w:val="•"/>
      <w:lvlJc w:val="left"/>
      <w:pPr>
        <w:ind w:left="6504" w:hanging="361"/>
      </w:pPr>
      <w:rPr>
        <w:rFonts w:hint="default"/>
      </w:rPr>
    </w:lvl>
    <w:lvl w:ilvl="7">
      <w:start w:val="0"/>
      <w:numFmt w:val="bullet"/>
      <w:lvlText w:val="•"/>
      <w:lvlJc w:val="left"/>
      <w:pPr>
        <w:ind w:left="7141" w:hanging="361"/>
      </w:pPr>
      <w:rPr>
        <w:rFonts w:hint="default"/>
      </w:rPr>
    </w:lvl>
    <w:lvl w:ilvl="8">
      <w:start w:val="0"/>
      <w:numFmt w:val="bullet"/>
      <w:lvlText w:val="•"/>
      <w:lvlJc w:val="left"/>
      <w:pPr>
        <w:ind w:left="7779" w:hanging="361"/>
      </w:pPr>
      <w:rPr>
        <w:rFonts w:hint="default"/>
      </w:rPr>
    </w:lvl>
  </w:abstractNum>
  <w:abstractNum w:abstractNumId="34">
    <w:multiLevelType w:val="hybridMultilevel"/>
    <w:lvl w:ilvl="0">
      <w:start w:val="0"/>
      <w:numFmt w:val="bullet"/>
      <w:lvlText w:val="-"/>
      <w:lvlJc w:val="left"/>
      <w:pPr>
        <w:ind w:left="682" w:hanging="360"/>
      </w:pPr>
      <w:rPr>
        <w:rFonts w:hint="default" w:ascii="Calibri" w:hAnsi="Calibri" w:eastAsia="Calibri" w:cs="Calibri"/>
        <w:spacing w:val="-9"/>
        <w:w w:val="99"/>
        <w:sz w:val="24"/>
        <w:szCs w:val="24"/>
      </w:rPr>
    </w:lvl>
    <w:lvl w:ilvl="1">
      <w:start w:val="0"/>
      <w:numFmt w:val="bullet"/>
      <w:lvlText w:val="•"/>
      <w:lvlJc w:val="left"/>
      <w:pPr>
        <w:ind w:left="1542" w:hanging="360"/>
      </w:pPr>
      <w:rPr>
        <w:rFonts w:hint="default"/>
      </w:rPr>
    </w:lvl>
    <w:lvl w:ilvl="2">
      <w:start w:val="0"/>
      <w:numFmt w:val="bullet"/>
      <w:lvlText w:val="•"/>
      <w:lvlJc w:val="left"/>
      <w:pPr>
        <w:ind w:left="2405" w:hanging="360"/>
      </w:pPr>
      <w:rPr>
        <w:rFonts w:hint="default"/>
      </w:rPr>
    </w:lvl>
    <w:lvl w:ilvl="3">
      <w:start w:val="0"/>
      <w:numFmt w:val="bullet"/>
      <w:lvlText w:val="•"/>
      <w:lvlJc w:val="left"/>
      <w:pPr>
        <w:ind w:left="3267" w:hanging="360"/>
      </w:pPr>
      <w:rPr>
        <w:rFonts w:hint="default"/>
      </w:rPr>
    </w:lvl>
    <w:lvl w:ilvl="4">
      <w:start w:val="0"/>
      <w:numFmt w:val="bullet"/>
      <w:lvlText w:val="•"/>
      <w:lvlJc w:val="left"/>
      <w:pPr>
        <w:ind w:left="4130" w:hanging="360"/>
      </w:pPr>
      <w:rPr>
        <w:rFonts w:hint="default"/>
      </w:rPr>
    </w:lvl>
    <w:lvl w:ilvl="5">
      <w:start w:val="0"/>
      <w:numFmt w:val="bullet"/>
      <w:lvlText w:val="•"/>
      <w:lvlJc w:val="left"/>
      <w:pPr>
        <w:ind w:left="4993" w:hanging="360"/>
      </w:pPr>
      <w:rPr>
        <w:rFonts w:hint="default"/>
      </w:rPr>
    </w:lvl>
    <w:lvl w:ilvl="6">
      <w:start w:val="0"/>
      <w:numFmt w:val="bullet"/>
      <w:lvlText w:val="•"/>
      <w:lvlJc w:val="left"/>
      <w:pPr>
        <w:ind w:left="5855" w:hanging="360"/>
      </w:pPr>
      <w:rPr>
        <w:rFonts w:hint="default"/>
      </w:rPr>
    </w:lvl>
    <w:lvl w:ilvl="7">
      <w:start w:val="0"/>
      <w:numFmt w:val="bullet"/>
      <w:lvlText w:val="•"/>
      <w:lvlJc w:val="left"/>
      <w:pPr>
        <w:ind w:left="6718" w:hanging="360"/>
      </w:pPr>
      <w:rPr>
        <w:rFonts w:hint="default"/>
      </w:rPr>
    </w:lvl>
    <w:lvl w:ilvl="8">
      <w:start w:val="0"/>
      <w:numFmt w:val="bullet"/>
      <w:lvlText w:val="•"/>
      <w:lvlJc w:val="left"/>
      <w:pPr>
        <w:ind w:left="7581" w:hanging="360"/>
      </w:pPr>
      <w:rPr>
        <w:rFonts w:hint="default"/>
      </w:rPr>
    </w:lvl>
  </w:abstractNum>
  <w:abstractNum w:abstractNumId="33">
    <w:multiLevelType w:val="hybridMultilevel"/>
    <w:lvl w:ilvl="0">
      <w:start w:val="1"/>
      <w:numFmt w:val="decimal"/>
      <w:lvlText w:val="%1."/>
      <w:lvlJc w:val="left"/>
      <w:pPr>
        <w:ind w:left="836" w:hanging="360"/>
        <w:jc w:val="right"/>
      </w:pPr>
      <w:rPr>
        <w:rFonts w:hint="default" w:ascii="Times New Roman" w:hAnsi="Times New Roman" w:eastAsia="Times New Roman" w:cs="Times New Roman"/>
        <w:spacing w:val="-3"/>
        <w:w w:val="99"/>
        <w:sz w:val="24"/>
        <w:szCs w:val="24"/>
      </w:rPr>
    </w:lvl>
    <w:lvl w:ilvl="1">
      <w:start w:val="1"/>
      <w:numFmt w:val="lowerRoman"/>
      <w:lvlText w:val="%2."/>
      <w:lvlJc w:val="left"/>
      <w:pPr>
        <w:ind w:left="3540" w:hanging="706"/>
        <w:jc w:val="right"/>
      </w:pPr>
      <w:rPr>
        <w:rFonts w:hint="default" w:ascii="Times New Roman" w:hAnsi="Times New Roman" w:eastAsia="Times New Roman" w:cs="Times New Roman"/>
        <w:b/>
        <w:bCs/>
        <w:i/>
        <w:spacing w:val="-1"/>
        <w:w w:val="99"/>
        <w:sz w:val="24"/>
        <w:szCs w:val="24"/>
      </w:rPr>
    </w:lvl>
    <w:lvl w:ilvl="2">
      <w:start w:val="0"/>
      <w:numFmt w:val="bullet"/>
      <w:lvlText w:val="•"/>
      <w:lvlJc w:val="left"/>
      <w:pPr>
        <w:ind w:left="4180" w:hanging="706"/>
      </w:pPr>
      <w:rPr>
        <w:rFonts w:hint="default"/>
      </w:rPr>
    </w:lvl>
    <w:lvl w:ilvl="3">
      <w:start w:val="0"/>
      <w:numFmt w:val="bullet"/>
      <w:lvlText w:val="•"/>
      <w:lvlJc w:val="left"/>
      <w:pPr>
        <w:ind w:left="4821" w:hanging="706"/>
      </w:pPr>
      <w:rPr>
        <w:rFonts w:hint="default"/>
      </w:rPr>
    </w:lvl>
    <w:lvl w:ilvl="4">
      <w:start w:val="0"/>
      <w:numFmt w:val="bullet"/>
      <w:lvlText w:val="•"/>
      <w:lvlJc w:val="left"/>
      <w:pPr>
        <w:ind w:left="5462" w:hanging="706"/>
      </w:pPr>
      <w:rPr>
        <w:rFonts w:hint="default"/>
      </w:rPr>
    </w:lvl>
    <w:lvl w:ilvl="5">
      <w:start w:val="0"/>
      <w:numFmt w:val="bullet"/>
      <w:lvlText w:val="•"/>
      <w:lvlJc w:val="left"/>
      <w:pPr>
        <w:ind w:left="6102" w:hanging="706"/>
      </w:pPr>
      <w:rPr>
        <w:rFonts w:hint="default"/>
      </w:rPr>
    </w:lvl>
    <w:lvl w:ilvl="6">
      <w:start w:val="0"/>
      <w:numFmt w:val="bullet"/>
      <w:lvlText w:val="•"/>
      <w:lvlJc w:val="left"/>
      <w:pPr>
        <w:ind w:left="6743" w:hanging="706"/>
      </w:pPr>
      <w:rPr>
        <w:rFonts w:hint="default"/>
      </w:rPr>
    </w:lvl>
    <w:lvl w:ilvl="7">
      <w:start w:val="0"/>
      <w:numFmt w:val="bullet"/>
      <w:lvlText w:val="•"/>
      <w:lvlJc w:val="left"/>
      <w:pPr>
        <w:ind w:left="7384" w:hanging="706"/>
      </w:pPr>
      <w:rPr>
        <w:rFonts w:hint="default"/>
      </w:rPr>
    </w:lvl>
    <w:lvl w:ilvl="8">
      <w:start w:val="0"/>
      <w:numFmt w:val="bullet"/>
      <w:lvlText w:val="•"/>
      <w:lvlJc w:val="left"/>
      <w:pPr>
        <w:ind w:left="8024" w:hanging="706"/>
      </w:pPr>
      <w:rPr>
        <w:rFonts w:hint="default"/>
      </w:rPr>
    </w:lvl>
  </w:abstractNum>
  <w:abstractNum w:abstractNumId="32">
    <w:multiLevelType w:val="hybridMultilevel"/>
    <w:lvl w:ilvl="0">
      <w:start w:val="0"/>
      <w:numFmt w:val="bullet"/>
      <w:lvlText w:val="-"/>
      <w:lvlJc w:val="left"/>
      <w:pPr>
        <w:ind w:left="836" w:hanging="360"/>
      </w:pPr>
      <w:rPr>
        <w:rFonts w:hint="default" w:ascii="Cambria" w:hAnsi="Cambria" w:eastAsia="Cambria" w:cs="Cambria"/>
        <w:spacing w:val="-3"/>
        <w:w w:val="99"/>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31">
    <w:multiLevelType w:val="hybridMultilevel"/>
    <w:lvl w:ilvl="0">
      <w:start w:val="0"/>
      <w:numFmt w:val="bullet"/>
      <w:lvlText w:val=""/>
      <w:lvlJc w:val="left"/>
      <w:pPr>
        <w:ind w:left="1556" w:hanging="360"/>
      </w:pPr>
      <w:rPr>
        <w:rFonts w:hint="default" w:ascii="Wingdings" w:hAnsi="Wingdings" w:eastAsia="Wingdings" w:cs="Wingdings"/>
        <w:w w:val="100"/>
        <w:sz w:val="24"/>
        <w:szCs w:val="24"/>
      </w:rPr>
    </w:lvl>
    <w:lvl w:ilvl="1">
      <w:start w:val="0"/>
      <w:numFmt w:val="bullet"/>
      <w:lvlText w:val="•"/>
      <w:lvlJc w:val="left"/>
      <w:pPr>
        <w:ind w:left="2334" w:hanging="360"/>
      </w:pPr>
      <w:rPr>
        <w:rFonts w:hint="default"/>
      </w:rPr>
    </w:lvl>
    <w:lvl w:ilvl="2">
      <w:start w:val="0"/>
      <w:numFmt w:val="bullet"/>
      <w:lvlText w:val="•"/>
      <w:lvlJc w:val="left"/>
      <w:pPr>
        <w:ind w:left="3109" w:hanging="360"/>
      </w:pPr>
      <w:rPr>
        <w:rFonts w:hint="default"/>
      </w:rPr>
    </w:lvl>
    <w:lvl w:ilvl="3">
      <w:start w:val="0"/>
      <w:numFmt w:val="bullet"/>
      <w:lvlText w:val="•"/>
      <w:lvlJc w:val="left"/>
      <w:pPr>
        <w:ind w:left="3883" w:hanging="360"/>
      </w:pPr>
      <w:rPr>
        <w:rFonts w:hint="default"/>
      </w:rPr>
    </w:lvl>
    <w:lvl w:ilvl="4">
      <w:start w:val="0"/>
      <w:numFmt w:val="bullet"/>
      <w:lvlText w:val="•"/>
      <w:lvlJc w:val="left"/>
      <w:pPr>
        <w:ind w:left="4658" w:hanging="360"/>
      </w:pPr>
      <w:rPr>
        <w:rFonts w:hint="default"/>
      </w:rPr>
    </w:lvl>
    <w:lvl w:ilvl="5">
      <w:start w:val="0"/>
      <w:numFmt w:val="bullet"/>
      <w:lvlText w:val="•"/>
      <w:lvlJc w:val="left"/>
      <w:pPr>
        <w:ind w:left="5433" w:hanging="360"/>
      </w:pPr>
      <w:rPr>
        <w:rFonts w:hint="default"/>
      </w:rPr>
    </w:lvl>
    <w:lvl w:ilvl="6">
      <w:start w:val="0"/>
      <w:numFmt w:val="bullet"/>
      <w:lvlText w:val="•"/>
      <w:lvlJc w:val="left"/>
      <w:pPr>
        <w:ind w:left="6207" w:hanging="360"/>
      </w:pPr>
      <w:rPr>
        <w:rFonts w:hint="default"/>
      </w:rPr>
    </w:lvl>
    <w:lvl w:ilvl="7">
      <w:start w:val="0"/>
      <w:numFmt w:val="bullet"/>
      <w:lvlText w:val="•"/>
      <w:lvlJc w:val="left"/>
      <w:pPr>
        <w:ind w:left="6982" w:hanging="360"/>
      </w:pPr>
      <w:rPr>
        <w:rFonts w:hint="default"/>
      </w:rPr>
    </w:lvl>
    <w:lvl w:ilvl="8">
      <w:start w:val="0"/>
      <w:numFmt w:val="bullet"/>
      <w:lvlText w:val="•"/>
      <w:lvlJc w:val="left"/>
      <w:pPr>
        <w:ind w:left="7757" w:hanging="360"/>
      </w:pPr>
      <w:rPr>
        <w:rFonts w:hint="default"/>
      </w:rPr>
    </w:lvl>
  </w:abstractNum>
  <w:abstractNum w:abstractNumId="30">
    <w:multiLevelType w:val="hybridMultilevel"/>
    <w:lvl w:ilvl="0">
      <w:start w:val="0"/>
      <w:numFmt w:val="bullet"/>
      <w:lvlText w:val=""/>
      <w:lvlJc w:val="left"/>
      <w:pPr>
        <w:ind w:left="836" w:hanging="360"/>
      </w:pPr>
      <w:rPr>
        <w:rFonts w:hint="default" w:ascii="Wingdings" w:hAnsi="Wingdings" w:eastAsia="Wingdings" w:cs="Wingdings"/>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9">
    <w:multiLevelType w:val="hybridMultilevel"/>
    <w:lvl w:ilvl="0">
      <w:start w:val="1"/>
      <w:numFmt w:val="decimal"/>
      <w:lvlText w:val="%1."/>
      <w:lvlJc w:val="left"/>
      <w:pPr>
        <w:ind w:left="1042" w:hanging="360"/>
        <w:jc w:val="left"/>
      </w:pPr>
      <w:rPr>
        <w:rFonts w:hint="default" w:ascii="Times New Roman" w:hAnsi="Times New Roman" w:eastAsia="Times New Roman" w:cs="Times New Roman"/>
        <w:spacing w:val="-1"/>
        <w:w w:val="99"/>
        <w:sz w:val="24"/>
        <w:szCs w:val="24"/>
      </w:rPr>
    </w:lvl>
    <w:lvl w:ilvl="1">
      <w:start w:val="1"/>
      <w:numFmt w:val="lowerRoman"/>
      <w:lvlText w:val="%2."/>
      <w:lvlJc w:val="left"/>
      <w:pPr>
        <w:ind w:left="2242" w:hanging="708"/>
        <w:jc w:val="left"/>
      </w:pPr>
      <w:rPr>
        <w:rFonts w:hint="default" w:ascii="Times New Roman" w:hAnsi="Times New Roman" w:eastAsia="Times New Roman" w:cs="Times New Roman"/>
        <w:b/>
        <w:bCs/>
        <w:i/>
        <w:spacing w:val="-3"/>
        <w:w w:val="99"/>
        <w:sz w:val="24"/>
        <w:szCs w:val="24"/>
      </w:rPr>
    </w:lvl>
    <w:lvl w:ilvl="2">
      <w:start w:val="0"/>
      <w:numFmt w:val="bullet"/>
      <w:lvlText w:val="•"/>
      <w:lvlJc w:val="left"/>
      <w:pPr>
        <w:ind w:left="3025" w:hanging="708"/>
      </w:pPr>
      <w:rPr>
        <w:rFonts w:hint="default"/>
      </w:rPr>
    </w:lvl>
    <w:lvl w:ilvl="3">
      <w:start w:val="0"/>
      <w:numFmt w:val="bullet"/>
      <w:lvlText w:val="•"/>
      <w:lvlJc w:val="left"/>
      <w:pPr>
        <w:ind w:left="3810" w:hanging="708"/>
      </w:pPr>
      <w:rPr>
        <w:rFonts w:hint="default"/>
      </w:rPr>
    </w:lvl>
    <w:lvl w:ilvl="4">
      <w:start w:val="0"/>
      <w:numFmt w:val="bullet"/>
      <w:lvlText w:val="•"/>
      <w:lvlJc w:val="left"/>
      <w:pPr>
        <w:ind w:left="4595" w:hanging="708"/>
      </w:pPr>
      <w:rPr>
        <w:rFonts w:hint="default"/>
      </w:rPr>
    </w:lvl>
    <w:lvl w:ilvl="5">
      <w:start w:val="0"/>
      <w:numFmt w:val="bullet"/>
      <w:lvlText w:val="•"/>
      <w:lvlJc w:val="left"/>
      <w:pPr>
        <w:ind w:left="5380" w:hanging="708"/>
      </w:pPr>
      <w:rPr>
        <w:rFonts w:hint="default"/>
      </w:rPr>
    </w:lvl>
    <w:lvl w:ilvl="6">
      <w:start w:val="0"/>
      <w:numFmt w:val="bullet"/>
      <w:lvlText w:val="•"/>
      <w:lvlJc w:val="left"/>
      <w:pPr>
        <w:ind w:left="6165" w:hanging="708"/>
      </w:pPr>
      <w:rPr>
        <w:rFonts w:hint="default"/>
      </w:rPr>
    </w:lvl>
    <w:lvl w:ilvl="7">
      <w:start w:val="0"/>
      <w:numFmt w:val="bullet"/>
      <w:lvlText w:val="•"/>
      <w:lvlJc w:val="left"/>
      <w:pPr>
        <w:ind w:left="6950" w:hanging="708"/>
      </w:pPr>
      <w:rPr>
        <w:rFonts w:hint="default"/>
      </w:rPr>
    </w:lvl>
    <w:lvl w:ilvl="8">
      <w:start w:val="0"/>
      <w:numFmt w:val="bullet"/>
      <w:lvlText w:val="•"/>
      <w:lvlJc w:val="left"/>
      <w:pPr>
        <w:ind w:left="7736" w:hanging="708"/>
      </w:pPr>
      <w:rPr>
        <w:rFonts w:hint="default"/>
      </w:rPr>
    </w:lvl>
  </w:abstractNum>
  <w:abstractNum w:abstractNumId="28">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3"/>
        <w:w w:val="100"/>
        <w:sz w:val="24"/>
        <w:szCs w:val="24"/>
      </w:rPr>
    </w:lvl>
    <w:lvl w:ilvl="1">
      <w:start w:val="1"/>
      <w:numFmt w:val="lowerRoman"/>
      <w:lvlText w:val="%2."/>
      <w:lvlJc w:val="left"/>
      <w:pPr>
        <w:ind w:left="2252" w:hanging="720"/>
        <w:jc w:val="left"/>
      </w:pPr>
      <w:rPr>
        <w:rFonts w:hint="default" w:ascii="Times New Roman" w:hAnsi="Times New Roman" w:eastAsia="Times New Roman" w:cs="Times New Roman"/>
        <w:b/>
        <w:bCs/>
        <w:i/>
        <w:spacing w:val="-2"/>
        <w:w w:val="99"/>
        <w:sz w:val="24"/>
        <w:szCs w:val="24"/>
      </w:rPr>
    </w:lvl>
    <w:lvl w:ilvl="2">
      <w:start w:val="0"/>
      <w:numFmt w:val="bullet"/>
      <w:lvlText w:val="•"/>
      <w:lvlJc w:val="left"/>
      <w:pPr>
        <w:ind w:left="3042" w:hanging="720"/>
      </w:pPr>
      <w:rPr>
        <w:rFonts w:hint="default"/>
      </w:rPr>
    </w:lvl>
    <w:lvl w:ilvl="3">
      <w:start w:val="0"/>
      <w:numFmt w:val="bullet"/>
      <w:lvlText w:val="•"/>
      <w:lvlJc w:val="left"/>
      <w:pPr>
        <w:ind w:left="3825" w:hanging="720"/>
      </w:pPr>
      <w:rPr>
        <w:rFonts w:hint="default"/>
      </w:rPr>
    </w:lvl>
    <w:lvl w:ilvl="4">
      <w:start w:val="0"/>
      <w:numFmt w:val="bullet"/>
      <w:lvlText w:val="•"/>
      <w:lvlJc w:val="left"/>
      <w:pPr>
        <w:ind w:left="4608" w:hanging="720"/>
      </w:pPr>
      <w:rPr>
        <w:rFonts w:hint="default"/>
      </w:rPr>
    </w:lvl>
    <w:lvl w:ilvl="5">
      <w:start w:val="0"/>
      <w:numFmt w:val="bullet"/>
      <w:lvlText w:val="•"/>
      <w:lvlJc w:val="left"/>
      <w:pPr>
        <w:ind w:left="5391" w:hanging="720"/>
      </w:pPr>
      <w:rPr>
        <w:rFonts w:hint="default"/>
      </w:rPr>
    </w:lvl>
    <w:lvl w:ilvl="6">
      <w:start w:val="0"/>
      <w:numFmt w:val="bullet"/>
      <w:lvlText w:val="•"/>
      <w:lvlJc w:val="left"/>
      <w:pPr>
        <w:ind w:left="6174" w:hanging="720"/>
      </w:pPr>
      <w:rPr>
        <w:rFonts w:hint="default"/>
      </w:rPr>
    </w:lvl>
    <w:lvl w:ilvl="7">
      <w:start w:val="0"/>
      <w:numFmt w:val="bullet"/>
      <w:lvlText w:val="•"/>
      <w:lvlJc w:val="left"/>
      <w:pPr>
        <w:ind w:left="6957" w:hanging="720"/>
      </w:pPr>
      <w:rPr>
        <w:rFonts w:hint="default"/>
      </w:rPr>
    </w:lvl>
    <w:lvl w:ilvl="8">
      <w:start w:val="0"/>
      <w:numFmt w:val="bullet"/>
      <w:lvlText w:val="•"/>
      <w:lvlJc w:val="left"/>
      <w:pPr>
        <w:ind w:left="7740" w:hanging="720"/>
      </w:pPr>
      <w:rPr>
        <w:rFonts w:hint="default"/>
      </w:rPr>
    </w:lvl>
  </w:abstractNum>
  <w:abstractNum w:abstractNumId="27">
    <w:multiLevelType w:val="hybridMultilevel"/>
    <w:lvl w:ilvl="0">
      <w:start w:val="0"/>
      <w:numFmt w:val="bullet"/>
      <w:lvlText w:val="-"/>
      <w:lvlJc w:val="left"/>
      <w:pPr>
        <w:ind w:left="1676" w:hanging="360"/>
      </w:pPr>
      <w:rPr>
        <w:rFonts w:hint="default" w:ascii="Times New Roman" w:hAnsi="Times New Roman" w:eastAsia="Times New Roman" w:cs="Times New Roman"/>
        <w:spacing w:val="-5"/>
        <w:w w:val="99"/>
        <w:sz w:val="24"/>
        <w:szCs w:val="24"/>
      </w:rPr>
    </w:lvl>
    <w:lvl w:ilvl="1">
      <w:start w:val="0"/>
      <w:numFmt w:val="bullet"/>
      <w:lvlText w:val="•"/>
      <w:lvlJc w:val="left"/>
      <w:pPr>
        <w:ind w:left="2612" w:hanging="360"/>
      </w:pPr>
      <w:rPr>
        <w:rFonts w:hint="default"/>
      </w:rPr>
    </w:lvl>
    <w:lvl w:ilvl="2">
      <w:start w:val="0"/>
      <w:numFmt w:val="bullet"/>
      <w:lvlText w:val="•"/>
      <w:lvlJc w:val="left"/>
      <w:pPr>
        <w:ind w:left="3545" w:hanging="360"/>
      </w:pPr>
      <w:rPr>
        <w:rFonts w:hint="default"/>
      </w:rPr>
    </w:lvl>
    <w:lvl w:ilvl="3">
      <w:start w:val="0"/>
      <w:numFmt w:val="bullet"/>
      <w:lvlText w:val="•"/>
      <w:lvlJc w:val="left"/>
      <w:pPr>
        <w:ind w:left="4477" w:hanging="360"/>
      </w:pPr>
      <w:rPr>
        <w:rFonts w:hint="default"/>
      </w:rPr>
    </w:lvl>
    <w:lvl w:ilvl="4">
      <w:start w:val="0"/>
      <w:numFmt w:val="bullet"/>
      <w:lvlText w:val="•"/>
      <w:lvlJc w:val="left"/>
      <w:pPr>
        <w:ind w:left="5410" w:hanging="360"/>
      </w:pPr>
      <w:rPr>
        <w:rFonts w:hint="default"/>
      </w:rPr>
    </w:lvl>
    <w:lvl w:ilvl="5">
      <w:start w:val="0"/>
      <w:numFmt w:val="bullet"/>
      <w:lvlText w:val="•"/>
      <w:lvlJc w:val="left"/>
      <w:pPr>
        <w:ind w:left="6343" w:hanging="360"/>
      </w:pPr>
      <w:rPr>
        <w:rFonts w:hint="default"/>
      </w:rPr>
    </w:lvl>
    <w:lvl w:ilvl="6">
      <w:start w:val="0"/>
      <w:numFmt w:val="bullet"/>
      <w:lvlText w:val="•"/>
      <w:lvlJc w:val="left"/>
      <w:pPr>
        <w:ind w:left="7275" w:hanging="360"/>
      </w:pPr>
      <w:rPr>
        <w:rFonts w:hint="default"/>
      </w:rPr>
    </w:lvl>
    <w:lvl w:ilvl="7">
      <w:start w:val="0"/>
      <w:numFmt w:val="bullet"/>
      <w:lvlText w:val="•"/>
      <w:lvlJc w:val="left"/>
      <w:pPr>
        <w:ind w:left="8208" w:hanging="360"/>
      </w:pPr>
      <w:rPr>
        <w:rFonts w:hint="default"/>
      </w:rPr>
    </w:lvl>
    <w:lvl w:ilvl="8">
      <w:start w:val="0"/>
      <w:numFmt w:val="bullet"/>
      <w:lvlText w:val="•"/>
      <w:lvlJc w:val="left"/>
      <w:pPr>
        <w:ind w:left="9141" w:hanging="360"/>
      </w:pPr>
      <w:rPr>
        <w:rFonts w:hint="default"/>
      </w:rPr>
    </w:lvl>
  </w:abstractNum>
  <w:abstractNum w:abstractNumId="26">
    <w:multiLevelType w:val="hybridMultilevel"/>
    <w:lvl w:ilvl="0">
      <w:start w:val="1"/>
      <w:numFmt w:val="decimal"/>
      <w:lvlText w:val="%1."/>
      <w:lvlJc w:val="left"/>
      <w:pPr>
        <w:ind w:left="1950" w:hanging="360"/>
        <w:jc w:val="right"/>
      </w:pPr>
      <w:rPr>
        <w:rFonts w:hint="default" w:ascii="Times New Roman" w:hAnsi="Times New Roman" w:eastAsia="Times New Roman" w:cs="Times New Roman"/>
        <w:spacing w:val="-1"/>
        <w:w w:val="99"/>
        <w:sz w:val="24"/>
        <w:szCs w:val="24"/>
      </w:rPr>
    </w:lvl>
    <w:lvl w:ilvl="1">
      <w:start w:val="1"/>
      <w:numFmt w:val="lowerRoman"/>
      <w:lvlText w:val="%2."/>
      <w:lvlJc w:val="left"/>
      <w:pPr>
        <w:ind w:left="2252" w:hanging="720"/>
        <w:jc w:val="left"/>
      </w:pPr>
      <w:rPr>
        <w:rFonts w:hint="default" w:ascii="Times New Roman" w:hAnsi="Times New Roman" w:eastAsia="Times New Roman" w:cs="Times New Roman"/>
        <w:b/>
        <w:bCs/>
        <w:i/>
        <w:spacing w:val="-2"/>
        <w:w w:val="99"/>
        <w:sz w:val="24"/>
        <w:szCs w:val="24"/>
      </w:rPr>
    </w:lvl>
    <w:lvl w:ilvl="2">
      <w:start w:val="0"/>
      <w:numFmt w:val="bullet"/>
      <w:lvlText w:val="•"/>
      <w:lvlJc w:val="left"/>
      <w:pPr>
        <w:ind w:left="3042" w:hanging="720"/>
      </w:pPr>
      <w:rPr>
        <w:rFonts w:hint="default"/>
      </w:rPr>
    </w:lvl>
    <w:lvl w:ilvl="3">
      <w:start w:val="0"/>
      <w:numFmt w:val="bullet"/>
      <w:lvlText w:val="•"/>
      <w:lvlJc w:val="left"/>
      <w:pPr>
        <w:ind w:left="3825" w:hanging="720"/>
      </w:pPr>
      <w:rPr>
        <w:rFonts w:hint="default"/>
      </w:rPr>
    </w:lvl>
    <w:lvl w:ilvl="4">
      <w:start w:val="0"/>
      <w:numFmt w:val="bullet"/>
      <w:lvlText w:val="•"/>
      <w:lvlJc w:val="left"/>
      <w:pPr>
        <w:ind w:left="4608" w:hanging="720"/>
      </w:pPr>
      <w:rPr>
        <w:rFonts w:hint="default"/>
      </w:rPr>
    </w:lvl>
    <w:lvl w:ilvl="5">
      <w:start w:val="0"/>
      <w:numFmt w:val="bullet"/>
      <w:lvlText w:val="•"/>
      <w:lvlJc w:val="left"/>
      <w:pPr>
        <w:ind w:left="5391" w:hanging="720"/>
      </w:pPr>
      <w:rPr>
        <w:rFonts w:hint="default"/>
      </w:rPr>
    </w:lvl>
    <w:lvl w:ilvl="6">
      <w:start w:val="0"/>
      <w:numFmt w:val="bullet"/>
      <w:lvlText w:val="•"/>
      <w:lvlJc w:val="left"/>
      <w:pPr>
        <w:ind w:left="6174" w:hanging="720"/>
      </w:pPr>
      <w:rPr>
        <w:rFonts w:hint="default"/>
      </w:rPr>
    </w:lvl>
    <w:lvl w:ilvl="7">
      <w:start w:val="0"/>
      <w:numFmt w:val="bullet"/>
      <w:lvlText w:val="•"/>
      <w:lvlJc w:val="left"/>
      <w:pPr>
        <w:ind w:left="6957" w:hanging="720"/>
      </w:pPr>
      <w:rPr>
        <w:rFonts w:hint="default"/>
      </w:rPr>
    </w:lvl>
    <w:lvl w:ilvl="8">
      <w:start w:val="0"/>
      <w:numFmt w:val="bullet"/>
      <w:lvlText w:val="•"/>
      <w:lvlJc w:val="left"/>
      <w:pPr>
        <w:ind w:left="7740" w:hanging="720"/>
      </w:pPr>
      <w:rPr>
        <w:rFonts w:hint="default"/>
      </w:rPr>
    </w:lvl>
  </w:abstractNum>
  <w:abstractNum w:abstractNumId="25">
    <w:multiLevelType w:val="hybridMultilevel"/>
    <w:lvl w:ilvl="0">
      <w:start w:val="0"/>
      <w:numFmt w:val="bullet"/>
      <w:lvlText w:val="-"/>
      <w:lvlJc w:val="left"/>
      <w:pPr>
        <w:ind w:left="1184" w:hanging="360"/>
      </w:pPr>
      <w:rPr>
        <w:rFonts w:hint="default" w:ascii="Times New Roman" w:hAnsi="Times New Roman" w:eastAsia="Times New Roman" w:cs="Times New Roman"/>
        <w:spacing w:val="-20"/>
        <w:w w:val="99"/>
        <w:sz w:val="24"/>
        <w:szCs w:val="24"/>
      </w:rPr>
    </w:lvl>
    <w:lvl w:ilvl="1">
      <w:start w:val="0"/>
      <w:numFmt w:val="bullet"/>
      <w:lvlText w:val="•"/>
      <w:lvlJc w:val="left"/>
      <w:pPr>
        <w:ind w:left="2092" w:hanging="360"/>
      </w:pPr>
      <w:rPr>
        <w:rFonts w:hint="default"/>
      </w:rPr>
    </w:lvl>
    <w:lvl w:ilvl="2">
      <w:start w:val="0"/>
      <w:numFmt w:val="bullet"/>
      <w:lvlText w:val="•"/>
      <w:lvlJc w:val="left"/>
      <w:pPr>
        <w:ind w:left="3005" w:hanging="360"/>
      </w:pPr>
      <w:rPr>
        <w:rFonts w:hint="default"/>
      </w:rPr>
    </w:lvl>
    <w:lvl w:ilvl="3">
      <w:start w:val="0"/>
      <w:numFmt w:val="bullet"/>
      <w:lvlText w:val="•"/>
      <w:lvlJc w:val="left"/>
      <w:pPr>
        <w:ind w:left="3917" w:hanging="360"/>
      </w:pPr>
      <w:rPr>
        <w:rFonts w:hint="default"/>
      </w:rPr>
    </w:lvl>
    <w:lvl w:ilvl="4">
      <w:start w:val="0"/>
      <w:numFmt w:val="bullet"/>
      <w:lvlText w:val="•"/>
      <w:lvlJc w:val="left"/>
      <w:pPr>
        <w:ind w:left="4830" w:hanging="360"/>
      </w:pPr>
      <w:rPr>
        <w:rFonts w:hint="default"/>
      </w:rPr>
    </w:lvl>
    <w:lvl w:ilvl="5">
      <w:start w:val="0"/>
      <w:numFmt w:val="bullet"/>
      <w:lvlText w:val="•"/>
      <w:lvlJc w:val="left"/>
      <w:pPr>
        <w:ind w:left="5743" w:hanging="360"/>
      </w:pPr>
      <w:rPr>
        <w:rFonts w:hint="default"/>
      </w:rPr>
    </w:lvl>
    <w:lvl w:ilvl="6">
      <w:start w:val="0"/>
      <w:numFmt w:val="bullet"/>
      <w:lvlText w:val="•"/>
      <w:lvlJc w:val="left"/>
      <w:pPr>
        <w:ind w:left="6655" w:hanging="360"/>
      </w:pPr>
      <w:rPr>
        <w:rFonts w:hint="default"/>
      </w:rPr>
    </w:lvl>
    <w:lvl w:ilvl="7">
      <w:start w:val="0"/>
      <w:numFmt w:val="bullet"/>
      <w:lvlText w:val="•"/>
      <w:lvlJc w:val="left"/>
      <w:pPr>
        <w:ind w:left="7568" w:hanging="360"/>
      </w:pPr>
      <w:rPr>
        <w:rFonts w:hint="default"/>
      </w:rPr>
    </w:lvl>
    <w:lvl w:ilvl="8">
      <w:start w:val="0"/>
      <w:numFmt w:val="bullet"/>
      <w:lvlText w:val="•"/>
      <w:lvlJc w:val="left"/>
      <w:pPr>
        <w:ind w:left="8481" w:hanging="360"/>
      </w:pPr>
      <w:rPr>
        <w:rFonts w:hint="default"/>
      </w:rPr>
    </w:lvl>
  </w:abstractNum>
  <w:abstractNum w:abstractNumId="24">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2"/>
        <w:w w:val="100"/>
        <w:sz w:val="24"/>
        <w:szCs w:val="24"/>
      </w:rPr>
    </w:lvl>
    <w:lvl w:ilvl="1">
      <w:start w:val="1"/>
      <w:numFmt w:val="lowerRoman"/>
      <w:lvlText w:val="%2."/>
      <w:lvlJc w:val="left"/>
      <w:pPr>
        <w:ind w:left="2252" w:hanging="720"/>
        <w:jc w:val="left"/>
      </w:pPr>
      <w:rPr>
        <w:rFonts w:hint="default" w:ascii="Times New Roman" w:hAnsi="Times New Roman" w:eastAsia="Times New Roman" w:cs="Times New Roman"/>
        <w:b/>
        <w:bCs/>
        <w:i/>
        <w:spacing w:val="-2"/>
        <w:w w:val="99"/>
        <w:sz w:val="24"/>
        <w:szCs w:val="24"/>
      </w:rPr>
    </w:lvl>
    <w:lvl w:ilvl="2">
      <w:start w:val="0"/>
      <w:numFmt w:val="bullet"/>
      <w:lvlText w:val="•"/>
      <w:lvlJc w:val="left"/>
      <w:pPr>
        <w:ind w:left="2260" w:hanging="720"/>
      </w:pPr>
      <w:rPr>
        <w:rFonts w:hint="default"/>
      </w:rPr>
    </w:lvl>
    <w:lvl w:ilvl="3">
      <w:start w:val="0"/>
      <w:numFmt w:val="bullet"/>
      <w:lvlText w:val="•"/>
      <w:lvlJc w:val="left"/>
      <w:pPr>
        <w:ind w:left="3140" w:hanging="720"/>
      </w:pPr>
      <w:rPr>
        <w:rFonts w:hint="default"/>
      </w:rPr>
    </w:lvl>
    <w:lvl w:ilvl="4">
      <w:start w:val="0"/>
      <w:numFmt w:val="bullet"/>
      <w:lvlText w:val="•"/>
      <w:lvlJc w:val="left"/>
      <w:pPr>
        <w:ind w:left="4021" w:hanging="720"/>
      </w:pPr>
      <w:rPr>
        <w:rFonts w:hint="default"/>
      </w:rPr>
    </w:lvl>
    <w:lvl w:ilvl="5">
      <w:start w:val="0"/>
      <w:numFmt w:val="bullet"/>
      <w:lvlText w:val="•"/>
      <w:lvlJc w:val="left"/>
      <w:pPr>
        <w:ind w:left="4902" w:hanging="720"/>
      </w:pPr>
      <w:rPr>
        <w:rFonts w:hint="default"/>
      </w:rPr>
    </w:lvl>
    <w:lvl w:ilvl="6">
      <w:start w:val="0"/>
      <w:numFmt w:val="bullet"/>
      <w:lvlText w:val="•"/>
      <w:lvlJc w:val="left"/>
      <w:pPr>
        <w:ind w:left="5783" w:hanging="720"/>
      </w:pPr>
      <w:rPr>
        <w:rFonts w:hint="default"/>
      </w:rPr>
    </w:lvl>
    <w:lvl w:ilvl="7">
      <w:start w:val="0"/>
      <w:numFmt w:val="bullet"/>
      <w:lvlText w:val="•"/>
      <w:lvlJc w:val="left"/>
      <w:pPr>
        <w:ind w:left="6664" w:hanging="720"/>
      </w:pPr>
      <w:rPr>
        <w:rFonts w:hint="default"/>
      </w:rPr>
    </w:lvl>
    <w:lvl w:ilvl="8">
      <w:start w:val="0"/>
      <w:numFmt w:val="bullet"/>
      <w:lvlText w:val="•"/>
      <w:lvlJc w:val="left"/>
      <w:pPr>
        <w:ind w:left="7544" w:hanging="720"/>
      </w:pPr>
      <w:rPr>
        <w:rFonts w:hint="default"/>
      </w:rPr>
    </w:lvl>
  </w:abstractNum>
  <w:abstractNum w:abstractNumId="23">
    <w:multiLevelType w:val="hybridMultilevel"/>
    <w:lvl w:ilvl="0">
      <w:start w:val="1"/>
      <w:numFmt w:val="decimal"/>
      <w:lvlText w:val="%1."/>
      <w:lvlJc w:val="left"/>
      <w:pPr>
        <w:ind w:left="1042" w:hanging="360"/>
        <w:jc w:val="left"/>
      </w:pPr>
      <w:rPr>
        <w:rFonts w:hint="default" w:ascii="Times New Roman" w:hAnsi="Times New Roman" w:eastAsia="Times New Roman" w:cs="Times New Roman"/>
        <w:spacing w:val="-3"/>
        <w:w w:val="99"/>
        <w:sz w:val="24"/>
        <w:szCs w:val="24"/>
      </w:rPr>
    </w:lvl>
    <w:lvl w:ilvl="1">
      <w:start w:val="1"/>
      <w:numFmt w:val="lowerRoman"/>
      <w:lvlText w:val="%2."/>
      <w:lvlJc w:val="left"/>
      <w:pPr>
        <w:ind w:left="2252" w:hanging="720"/>
        <w:jc w:val="right"/>
      </w:pPr>
      <w:rPr>
        <w:rFonts w:hint="default" w:ascii="Times New Roman" w:hAnsi="Times New Roman" w:eastAsia="Times New Roman" w:cs="Times New Roman"/>
        <w:b/>
        <w:bCs/>
        <w:i/>
        <w:spacing w:val="-3"/>
        <w:w w:val="99"/>
        <w:sz w:val="24"/>
        <w:szCs w:val="24"/>
      </w:rPr>
    </w:lvl>
    <w:lvl w:ilvl="2">
      <w:start w:val="0"/>
      <w:numFmt w:val="bullet"/>
      <w:lvlText w:val="•"/>
      <w:lvlJc w:val="left"/>
      <w:pPr>
        <w:ind w:left="3042" w:hanging="720"/>
      </w:pPr>
      <w:rPr>
        <w:rFonts w:hint="default"/>
      </w:rPr>
    </w:lvl>
    <w:lvl w:ilvl="3">
      <w:start w:val="0"/>
      <w:numFmt w:val="bullet"/>
      <w:lvlText w:val="•"/>
      <w:lvlJc w:val="left"/>
      <w:pPr>
        <w:ind w:left="3825" w:hanging="720"/>
      </w:pPr>
      <w:rPr>
        <w:rFonts w:hint="default"/>
      </w:rPr>
    </w:lvl>
    <w:lvl w:ilvl="4">
      <w:start w:val="0"/>
      <w:numFmt w:val="bullet"/>
      <w:lvlText w:val="•"/>
      <w:lvlJc w:val="left"/>
      <w:pPr>
        <w:ind w:left="4608" w:hanging="720"/>
      </w:pPr>
      <w:rPr>
        <w:rFonts w:hint="default"/>
      </w:rPr>
    </w:lvl>
    <w:lvl w:ilvl="5">
      <w:start w:val="0"/>
      <w:numFmt w:val="bullet"/>
      <w:lvlText w:val="•"/>
      <w:lvlJc w:val="left"/>
      <w:pPr>
        <w:ind w:left="5391" w:hanging="720"/>
      </w:pPr>
      <w:rPr>
        <w:rFonts w:hint="default"/>
      </w:rPr>
    </w:lvl>
    <w:lvl w:ilvl="6">
      <w:start w:val="0"/>
      <w:numFmt w:val="bullet"/>
      <w:lvlText w:val="•"/>
      <w:lvlJc w:val="left"/>
      <w:pPr>
        <w:ind w:left="6174" w:hanging="720"/>
      </w:pPr>
      <w:rPr>
        <w:rFonts w:hint="default"/>
      </w:rPr>
    </w:lvl>
    <w:lvl w:ilvl="7">
      <w:start w:val="0"/>
      <w:numFmt w:val="bullet"/>
      <w:lvlText w:val="•"/>
      <w:lvlJc w:val="left"/>
      <w:pPr>
        <w:ind w:left="6957" w:hanging="720"/>
      </w:pPr>
      <w:rPr>
        <w:rFonts w:hint="default"/>
      </w:rPr>
    </w:lvl>
    <w:lvl w:ilvl="8">
      <w:start w:val="0"/>
      <w:numFmt w:val="bullet"/>
      <w:lvlText w:val="•"/>
      <w:lvlJc w:val="left"/>
      <w:pPr>
        <w:ind w:left="7740" w:hanging="720"/>
      </w:pPr>
      <w:rPr>
        <w:rFonts w:hint="default"/>
      </w:rPr>
    </w:lvl>
  </w:abstractNum>
  <w:abstractNum w:abstractNumId="22">
    <w:multiLevelType w:val="hybridMultilevel"/>
    <w:lvl w:ilvl="0">
      <w:start w:val="0"/>
      <w:numFmt w:val="bullet"/>
      <w:lvlText w:val=""/>
      <w:lvlJc w:val="left"/>
      <w:pPr>
        <w:ind w:left="836" w:hanging="360"/>
      </w:pPr>
      <w:rPr>
        <w:rFonts w:hint="default" w:ascii="Symbol" w:hAnsi="Symbol" w:eastAsia="Symbol" w:cs="Symbol"/>
        <w:w w:val="100"/>
        <w:sz w:val="24"/>
        <w:szCs w:val="24"/>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21">
    <w:multiLevelType w:val="hybridMultilevel"/>
    <w:lvl w:ilvl="0">
      <w:start w:val="1"/>
      <w:numFmt w:val="decimal"/>
      <w:lvlText w:val="%1."/>
      <w:lvlJc w:val="left"/>
      <w:pPr>
        <w:ind w:left="1112" w:hanging="360"/>
        <w:jc w:val="right"/>
      </w:pPr>
      <w:rPr>
        <w:rFonts w:hint="default" w:ascii="Times New Roman" w:hAnsi="Times New Roman" w:eastAsia="Times New Roman" w:cs="Times New Roman"/>
        <w:spacing w:val="-3"/>
        <w:w w:val="99"/>
        <w:sz w:val="24"/>
        <w:szCs w:val="24"/>
      </w:rPr>
    </w:lvl>
    <w:lvl w:ilvl="1">
      <w:start w:val="1"/>
      <w:numFmt w:val="lowerRoman"/>
      <w:lvlText w:val="%2."/>
      <w:lvlJc w:val="left"/>
      <w:pPr>
        <w:ind w:left="2252" w:hanging="720"/>
        <w:jc w:val="left"/>
      </w:pPr>
      <w:rPr>
        <w:rFonts w:hint="default" w:ascii="Times New Roman" w:hAnsi="Times New Roman" w:eastAsia="Times New Roman" w:cs="Times New Roman"/>
        <w:b/>
        <w:bCs/>
        <w:i/>
        <w:w w:val="99"/>
        <w:sz w:val="24"/>
        <w:szCs w:val="24"/>
      </w:rPr>
    </w:lvl>
    <w:lvl w:ilvl="2">
      <w:start w:val="0"/>
      <w:numFmt w:val="bullet"/>
      <w:lvlText w:val="•"/>
      <w:lvlJc w:val="left"/>
      <w:pPr>
        <w:ind w:left="3042" w:hanging="720"/>
      </w:pPr>
      <w:rPr>
        <w:rFonts w:hint="default"/>
      </w:rPr>
    </w:lvl>
    <w:lvl w:ilvl="3">
      <w:start w:val="0"/>
      <w:numFmt w:val="bullet"/>
      <w:lvlText w:val="•"/>
      <w:lvlJc w:val="left"/>
      <w:pPr>
        <w:ind w:left="3825" w:hanging="720"/>
      </w:pPr>
      <w:rPr>
        <w:rFonts w:hint="default"/>
      </w:rPr>
    </w:lvl>
    <w:lvl w:ilvl="4">
      <w:start w:val="0"/>
      <w:numFmt w:val="bullet"/>
      <w:lvlText w:val="•"/>
      <w:lvlJc w:val="left"/>
      <w:pPr>
        <w:ind w:left="4608" w:hanging="720"/>
      </w:pPr>
      <w:rPr>
        <w:rFonts w:hint="default"/>
      </w:rPr>
    </w:lvl>
    <w:lvl w:ilvl="5">
      <w:start w:val="0"/>
      <w:numFmt w:val="bullet"/>
      <w:lvlText w:val="•"/>
      <w:lvlJc w:val="left"/>
      <w:pPr>
        <w:ind w:left="5391" w:hanging="720"/>
      </w:pPr>
      <w:rPr>
        <w:rFonts w:hint="default"/>
      </w:rPr>
    </w:lvl>
    <w:lvl w:ilvl="6">
      <w:start w:val="0"/>
      <w:numFmt w:val="bullet"/>
      <w:lvlText w:val="•"/>
      <w:lvlJc w:val="left"/>
      <w:pPr>
        <w:ind w:left="6174" w:hanging="720"/>
      </w:pPr>
      <w:rPr>
        <w:rFonts w:hint="default"/>
      </w:rPr>
    </w:lvl>
    <w:lvl w:ilvl="7">
      <w:start w:val="0"/>
      <w:numFmt w:val="bullet"/>
      <w:lvlText w:val="•"/>
      <w:lvlJc w:val="left"/>
      <w:pPr>
        <w:ind w:left="6957" w:hanging="720"/>
      </w:pPr>
      <w:rPr>
        <w:rFonts w:hint="default"/>
      </w:rPr>
    </w:lvl>
    <w:lvl w:ilvl="8">
      <w:start w:val="0"/>
      <w:numFmt w:val="bullet"/>
      <w:lvlText w:val="•"/>
      <w:lvlJc w:val="left"/>
      <w:pPr>
        <w:ind w:left="7740" w:hanging="720"/>
      </w:pPr>
      <w:rPr>
        <w:rFonts w:hint="default"/>
      </w:rPr>
    </w:lvl>
  </w:abstractNum>
  <w:abstractNum w:abstractNumId="20">
    <w:multiLevelType w:val="hybridMultilevel"/>
    <w:lvl w:ilvl="0">
      <w:start w:val="1"/>
      <w:numFmt w:val="upperRoman"/>
      <w:lvlText w:val="%1."/>
      <w:lvlJc w:val="left"/>
      <w:pPr>
        <w:ind w:left="1198" w:hanging="720"/>
        <w:jc w:val="left"/>
      </w:pPr>
      <w:rPr>
        <w:rFonts w:hint="default" w:ascii="Times New Roman" w:hAnsi="Times New Roman" w:eastAsia="Times New Roman" w:cs="Times New Roman"/>
        <w:b/>
        <w:bCs/>
        <w:w w:val="99"/>
        <w:sz w:val="32"/>
        <w:szCs w:val="32"/>
      </w:rPr>
    </w:lvl>
    <w:lvl w:ilvl="1">
      <w:start w:val="1"/>
      <w:numFmt w:val="upperLetter"/>
      <w:lvlText w:val="%2."/>
      <w:lvlJc w:val="left"/>
      <w:pPr>
        <w:ind w:left="1537" w:hanging="360"/>
        <w:jc w:val="left"/>
      </w:pPr>
      <w:rPr>
        <w:rFonts w:hint="default" w:ascii="Times New Roman" w:hAnsi="Times New Roman" w:eastAsia="Times New Roman" w:cs="Times New Roman"/>
        <w:b/>
        <w:bCs/>
        <w:spacing w:val="-2"/>
        <w:w w:val="100"/>
        <w:sz w:val="28"/>
        <w:szCs w:val="28"/>
      </w:rPr>
    </w:lvl>
    <w:lvl w:ilvl="2">
      <w:start w:val="1"/>
      <w:numFmt w:val="decimal"/>
      <w:lvlText w:val="%3."/>
      <w:lvlJc w:val="left"/>
      <w:pPr>
        <w:ind w:left="1042" w:hanging="360"/>
        <w:jc w:val="left"/>
      </w:pPr>
      <w:rPr>
        <w:rFonts w:hint="default" w:ascii="Times New Roman" w:hAnsi="Times New Roman" w:eastAsia="Times New Roman" w:cs="Times New Roman"/>
        <w:spacing w:val="-2"/>
        <w:w w:val="100"/>
        <w:sz w:val="24"/>
        <w:szCs w:val="24"/>
      </w:rPr>
    </w:lvl>
    <w:lvl w:ilvl="3">
      <w:start w:val="1"/>
      <w:numFmt w:val="lowerRoman"/>
      <w:lvlText w:val="%4."/>
      <w:lvlJc w:val="left"/>
      <w:pPr>
        <w:ind w:left="2242" w:hanging="720"/>
        <w:jc w:val="left"/>
      </w:pPr>
      <w:rPr>
        <w:rFonts w:hint="default" w:ascii="Times New Roman" w:hAnsi="Times New Roman" w:eastAsia="Times New Roman" w:cs="Times New Roman"/>
        <w:b/>
        <w:bCs/>
        <w:i/>
        <w:spacing w:val="-1"/>
        <w:w w:val="100"/>
        <w:sz w:val="24"/>
        <w:szCs w:val="24"/>
      </w:rPr>
    </w:lvl>
    <w:lvl w:ilvl="4">
      <w:start w:val="0"/>
      <w:numFmt w:val="bullet"/>
      <w:lvlText w:val="•"/>
      <w:lvlJc w:val="left"/>
      <w:pPr>
        <w:ind w:left="3249" w:hanging="720"/>
      </w:pPr>
      <w:rPr>
        <w:rFonts w:hint="default"/>
      </w:rPr>
    </w:lvl>
    <w:lvl w:ilvl="5">
      <w:start w:val="0"/>
      <w:numFmt w:val="bullet"/>
      <w:lvlText w:val="•"/>
      <w:lvlJc w:val="left"/>
      <w:pPr>
        <w:ind w:left="4258" w:hanging="720"/>
      </w:pPr>
      <w:rPr>
        <w:rFonts w:hint="default"/>
      </w:rPr>
    </w:lvl>
    <w:lvl w:ilvl="6">
      <w:start w:val="0"/>
      <w:numFmt w:val="bullet"/>
      <w:lvlText w:val="•"/>
      <w:lvlJc w:val="left"/>
      <w:pPr>
        <w:ind w:left="5268" w:hanging="720"/>
      </w:pPr>
      <w:rPr>
        <w:rFonts w:hint="default"/>
      </w:rPr>
    </w:lvl>
    <w:lvl w:ilvl="7">
      <w:start w:val="0"/>
      <w:numFmt w:val="bullet"/>
      <w:lvlText w:val="•"/>
      <w:lvlJc w:val="left"/>
      <w:pPr>
        <w:ind w:left="6277" w:hanging="720"/>
      </w:pPr>
      <w:rPr>
        <w:rFonts w:hint="default"/>
      </w:rPr>
    </w:lvl>
    <w:lvl w:ilvl="8">
      <w:start w:val="0"/>
      <w:numFmt w:val="bullet"/>
      <w:lvlText w:val="•"/>
      <w:lvlJc w:val="left"/>
      <w:pPr>
        <w:ind w:left="7287" w:hanging="720"/>
      </w:pPr>
      <w:rPr>
        <w:rFonts w:hint="default"/>
      </w:rPr>
    </w:lvl>
  </w:abstractNum>
  <w:abstractNum w:abstractNumId="19">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5"/>
        <w:w w:val="99"/>
        <w:sz w:val="24"/>
        <w:szCs w:val="24"/>
      </w:rPr>
    </w:lvl>
    <w:lvl w:ilvl="1">
      <w:start w:val="1"/>
      <w:numFmt w:val="lowerRoman"/>
      <w:lvlText w:val="%2."/>
      <w:lvlJc w:val="left"/>
      <w:pPr>
        <w:ind w:left="2252" w:hanging="720"/>
        <w:jc w:val="left"/>
      </w:pPr>
      <w:rPr>
        <w:rFonts w:hint="default" w:ascii="Times New Roman" w:hAnsi="Times New Roman" w:eastAsia="Times New Roman" w:cs="Times New Roman"/>
        <w:b/>
        <w:bCs/>
        <w:i/>
        <w:spacing w:val="-3"/>
        <w:w w:val="99"/>
        <w:sz w:val="24"/>
        <w:szCs w:val="24"/>
      </w:rPr>
    </w:lvl>
    <w:lvl w:ilvl="2">
      <w:start w:val="0"/>
      <w:numFmt w:val="bullet"/>
      <w:lvlText w:val="•"/>
      <w:lvlJc w:val="left"/>
      <w:pPr>
        <w:ind w:left="3042" w:hanging="720"/>
      </w:pPr>
      <w:rPr>
        <w:rFonts w:hint="default"/>
      </w:rPr>
    </w:lvl>
    <w:lvl w:ilvl="3">
      <w:start w:val="0"/>
      <w:numFmt w:val="bullet"/>
      <w:lvlText w:val="•"/>
      <w:lvlJc w:val="left"/>
      <w:pPr>
        <w:ind w:left="3825" w:hanging="720"/>
      </w:pPr>
      <w:rPr>
        <w:rFonts w:hint="default"/>
      </w:rPr>
    </w:lvl>
    <w:lvl w:ilvl="4">
      <w:start w:val="0"/>
      <w:numFmt w:val="bullet"/>
      <w:lvlText w:val="•"/>
      <w:lvlJc w:val="left"/>
      <w:pPr>
        <w:ind w:left="4608" w:hanging="720"/>
      </w:pPr>
      <w:rPr>
        <w:rFonts w:hint="default"/>
      </w:rPr>
    </w:lvl>
    <w:lvl w:ilvl="5">
      <w:start w:val="0"/>
      <w:numFmt w:val="bullet"/>
      <w:lvlText w:val="•"/>
      <w:lvlJc w:val="left"/>
      <w:pPr>
        <w:ind w:left="5391" w:hanging="720"/>
      </w:pPr>
      <w:rPr>
        <w:rFonts w:hint="default"/>
      </w:rPr>
    </w:lvl>
    <w:lvl w:ilvl="6">
      <w:start w:val="0"/>
      <w:numFmt w:val="bullet"/>
      <w:lvlText w:val="•"/>
      <w:lvlJc w:val="left"/>
      <w:pPr>
        <w:ind w:left="6174" w:hanging="720"/>
      </w:pPr>
      <w:rPr>
        <w:rFonts w:hint="default"/>
      </w:rPr>
    </w:lvl>
    <w:lvl w:ilvl="7">
      <w:start w:val="0"/>
      <w:numFmt w:val="bullet"/>
      <w:lvlText w:val="•"/>
      <w:lvlJc w:val="left"/>
      <w:pPr>
        <w:ind w:left="6957" w:hanging="720"/>
      </w:pPr>
      <w:rPr>
        <w:rFonts w:hint="default"/>
      </w:rPr>
    </w:lvl>
    <w:lvl w:ilvl="8">
      <w:start w:val="0"/>
      <w:numFmt w:val="bullet"/>
      <w:lvlText w:val="•"/>
      <w:lvlJc w:val="left"/>
      <w:pPr>
        <w:ind w:left="7740" w:hanging="720"/>
      </w:pPr>
      <w:rPr>
        <w:rFonts w:hint="default"/>
      </w:rPr>
    </w:lvl>
  </w:abstractNum>
  <w:abstractNum w:abstractNumId="18">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5"/>
        <w:w w:val="99"/>
        <w:sz w:val="24"/>
        <w:szCs w:val="24"/>
      </w:rPr>
    </w:lvl>
    <w:lvl w:ilvl="1">
      <w:start w:val="1"/>
      <w:numFmt w:val="lowerRoman"/>
      <w:lvlText w:val="%2."/>
      <w:lvlJc w:val="left"/>
      <w:pPr>
        <w:ind w:left="2252" w:hanging="720"/>
        <w:jc w:val="left"/>
      </w:pPr>
      <w:rPr>
        <w:rFonts w:hint="default" w:ascii="Times New Roman" w:hAnsi="Times New Roman" w:eastAsia="Times New Roman" w:cs="Times New Roman"/>
        <w:b/>
        <w:bCs/>
        <w:i/>
        <w:spacing w:val="-2"/>
        <w:w w:val="99"/>
        <w:sz w:val="24"/>
        <w:szCs w:val="24"/>
      </w:rPr>
    </w:lvl>
    <w:lvl w:ilvl="2">
      <w:start w:val="0"/>
      <w:numFmt w:val="bullet"/>
      <w:lvlText w:val="•"/>
      <w:lvlJc w:val="left"/>
      <w:pPr>
        <w:ind w:left="3042" w:hanging="720"/>
      </w:pPr>
      <w:rPr>
        <w:rFonts w:hint="default"/>
      </w:rPr>
    </w:lvl>
    <w:lvl w:ilvl="3">
      <w:start w:val="0"/>
      <w:numFmt w:val="bullet"/>
      <w:lvlText w:val="•"/>
      <w:lvlJc w:val="left"/>
      <w:pPr>
        <w:ind w:left="3825" w:hanging="720"/>
      </w:pPr>
      <w:rPr>
        <w:rFonts w:hint="default"/>
      </w:rPr>
    </w:lvl>
    <w:lvl w:ilvl="4">
      <w:start w:val="0"/>
      <w:numFmt w:val="bullet"/>
      <w:lvlText w:val="•"/>
      <w:lvlJc w:val="left"/>
      <w:pPr>
        <w:ind w:left="4608" w:hanging="720"/>
      </w:pPr>
      <w:rPr>
        <w:rFonts w:hint="default"/>
      </w:rPr>
    </w:lvl>
    <w:lvl w:ilvl="5">
      <w:start w:val="0"/>
      <w:numFmt w:val="bullet"/>
      <w:lvlText w:val="•"/>
      <w:lvlJc w:val="left"/>
      <w:pPr>
        <w:ind w:left="5391" w:hanging="720"/>
      </w:pPr>
      <w:rPr>
        <w:rFonts w:hint="default"/>
      </w:rPr>
    </w:lvl>
    <w:lvl w:ilvl="6">
      <w:start w:val="0"/>
      <w:numFmt w:val="bullet"/>
      <w:lvlText w:val="•"/>
      <w:lvlJc w:val="left"/>
      <w:pPr>
        <w:ind w:left="6174" w:hanging="720"/>
      </w:pPr>
      <w:rPr>
        <w:rFonts w:hint="default"/>
      </w:rPr>
    </w:lvl>
    <w:lvl w:ilvl="7">
      <w:start w:val="0"/>
      <w:numFmt w:val="bullet"/>
      <w:lvlText w:val="•"/>
      <w:lvlJc w:val="left"/>
      <w:pPr>
        <w:ind w:left="6957" w:hanging="720"/>
      </w:pPr>
      <w:rPr>
        <w:rFonts w:hint="default"/>
      </w:rPr>
    </w:lvl>
    <w:lvl w:ilvl="8">
      <w:start w:val="0"/>
      <w:numFmt w:val="bullet"/>
      <w:lvlText w:val="•"/>
      <w:lvlJc w:val="left"/>
      <w:pPr>
        <w:ind w:left="7740" w:hanging="720"/>
      </w:pPr>
      <w:rPr>
        <w:rFonts w:hint="default"/>
      </w:rPr>
    </w:lvl>
  </w:abstractNum>
  <w:abstractNum w:abstractNumId="17">
    <w:multiLevelType w:val="hybridMultilevel"/>
    <w:lvl w:ilvl="0">
      <w:start w:val="1"/>
      <w:numFmt w:val="decimal"/>
      <w:lvlText w:val="%1."/>
      <w:lvlJc w:val="left"/>
      <w:pPr>
        <w:ind w:left="116" w:hanging="360"/>
        <w:jc w:val="right"/>
      </w:pPr>
      <w:rPr>
        <w:rFonts w:hint="default" w:ascii="Times New Roman" w:hAnsi="Times New Roman" w:eastAsia="Times New Roman" w:cs="Times New Roman"/>
        <w:spacing w:val="-3"/>
        <w:w w:val="100"/>
        <w:sz w:val="24"/>
        <w:szCs w:val="24"/>
      </w:rPr>
    </w:lvl>
    <w:lvl w:ilvl="1">
      <w:start w:val="0"/>
      <w:numFmt w:val="bullet"/>
      <w:lvlText w:val="•"/>
      <w:lvlJc w:val="left"/>
      <w:pPr>
        <w:ind w:left="1120" w:hanging="360"/>
      </w:pPr>
      <w:rPr>
        <w:rFonts w:hint="default"/>
      </w:rPr>
    </w:lvl>
    <w:lvl w:ilvl="2">
      <w:start w:val="0"/>
      <w:numFmt w:val="bullet"/>
      <w:lvlText w:val="•"/>
      <w:lvlJc w:val="left"/>
      <w:pPr>
        <w:ind w:left="2029" w:hanging="360"/>
      </w:pPr>
      <w:rPr>
        <w:rFonts w:hint="default"/>
      </w:rPr>
    </w:lvl>
    <w:lvl w:ilvl="3">
      <w:start w:val="0"/>
      <w:numFmt w:val="bullet"/>
      <w:lvlText w:val="•"/>
      <w:lvlJc w:val="left"/>
      <w:pPr>
        <w:ind w:left="2939" w:hanging="360"/>
      </w:pPr>
      <w:rPr>
        <w:rFonts w:hint="default"/>
      </w:rPr>
    </w:lvl>
    <w:lvl w:ilvl="4">
      <w:start w:val="0"/>
      <w:numFmt w:val="bullet"/>
      <w:lvlText w:val="•"/>
      <w:lvlJc w:val="left"/>
      <w:pPr>
        <w:ind w:left="3848" w:hanging="360"/>
      </w:pPr>
      <w:rPr>
        <w:rFonts w:hint="default"/>
      </w:rPr>
    </w:lvl>
    <w:lvl w:ilvl="5">
      <w:start w:val="0"/>
      <w:numFmt w:val="bullet"/>
      <w:lvlText w:val="•"/>
      <w:lvlJc w:val="left"/>
      <w:pPr>
        <w:ind w:left="4758" w:hanging="360"/>
      </w:pPr>
      <w:rPr>
        <w:rFonts w:hint="default"/>
      </w:rPr>
    </w:lvl>
    <w:lvl w:ilvl="6">
      <w:start w:val="0"/>
      <w:numFmt w:val="bullet"/>
      <w:lvlText w:val="•"/>
      <w:lvlJc w:val="left"/>
      <w:pPr>
        <w:ind w:left="5668" w:hanging="360"/>
      </w:pPr>
      <w:rPr>
        <w:rFonts w:hint="default"/>
      </w:rPr>
    </w:lvl>
    <w:lvl w:ilvl="7">
      <w:start w:val="0"/>
      <w:numFmt w:val="bullet"/>
      <w:lvlText w:val="•"/>
      <w:lvlJc w:val="left"/>
      <w:pPr>
        <w:ind w:left="6577" w:hanging="360"/>
      </w:pPr>
      <w:rPr>
        <w:rFonts w:hint="default"/>
      </w:rPr>
    </w:lvl>
    <w:lvl w:ilvl="8">
      <w:start w:val="0"/>
      <w:numFmt w:val="bullet"/>
      <w:lvlText w:val="•"/>
      <w:lvlJc w:val="left"/>
      <w:pPr>
        <w:ind w:left="7487" w:hanging="360"/>
      </w:pPr>
      <w:rPr>
        <w:rFonts w:hint="default"/>
      </w:rPr>
    </w:lvl>
  </w:abstractNum>
  <w:abstractNum w:abstractNumId="16">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938" w:hanging="360"/>
      </w:pPr>
      <w:rPr>
        <w:rFonts w:hint="default"/>
      </w:rPr>
    </w:lvl>
    <w:lvl w:ilvl="2">
      <w:start w:val="0"/>
      <w:numFmt w:val="bullet"/>
      <w:lvlText w:val="•"/>
      <w:lvlJc w:val="left"/>
      <w:pPr>
        <w:ind w:left="2757" w:hanging="360"/>
      </w:pPr>
      <w:rPr>
        <w:rFonts w:hint="default"/>
      </w:rPr>
    </w:lvl>
    <w:lvl w:ilvl="3">
      <w:start w:val="0"/>
      <w:numFmt w:val="bullet"/>
      <w:lvlText w:val="•"/>
      <w:lvlJc w:val="left"/>
      <w:pPr>
        <w:ind w:left="3575" w:hanging="360"/>
      </w:pPr>
      <w:rPr>
        <w:rFonts w:hint="default"/>
      </w:rPr>
    </w:lvl>
    <w:lvl w:ilvl="4">
      <w:start w:val="0"/>
      <w:numFmt w:val="bullet"/>
      <w:lvlText w:val="•"/>
      <w:lvlJc w:val="left"/>
      <w:pPr>
        <w:ind w:left="4394" w:hanging="360"/>
      </w:pPr>
      <w:rPr>
        <w:rFonts w:hint="default"/>
      </w:rPr>
    </w:lvl>
    <w:lvl w:ilvl="5">
      <w:start w:val="0"/>
      <w:numFmt w:val="bullet"/>
      <w:lvlText w:val="•"/>
      <w:lvlJc w:val="left"/>
      <w:pPr>
        <w:ind w:left="5213" w:hanging="360"/>
      </w:pPr>
      <w:rPr>
        <w:rFonts w:hint="default"/>
      </w:rPr>
    </w:lvl>
    <w:lvl w:ilvl="6">
      <w:start w:val="0"/>
      <w:numFmt w:val="bullet"/>
      <w:lvlText w:val="•"/>
      <w:lvlJc w:val="left"/>
      <w:pPr>
        <w:ind w:left="6031" w:hanging="360"/>
      </w:pPr>
      <w:rPr>
        <w:rFonts w:hint="default"/>
      </w:rPr>
    </w:lvl>
    <w:lvl w:ilvl="7">
      <w:start w:val="0"/>
      <w:numFmt w:val="bullet"/>
      <w:lvlText w:val="•"/>
      <w:lvlJc w:val="left"/>
      <w:pPr>
        <w:ind w:left="6850" w:hanging="360"/>
      </w:pPr>
      <w:rPr>
        <w:rFonts w:hint="default"/>
      </w:rPr>
    </w:lvl>
    <w:lvl w:ilvl="8">
      <w:start w:val="0"/>
      <w:numFmt w:val="bullet"/>
      <w:lvlText w:val="•"/>
      <w:lvlJc w:val="left"/>
      <w:pPr>
        <w:ind w:left="7669" w:hanging="360"/>
      </w:pPr>
      <w:rPr>
        <w:rFonts w:hint="default"/>
      </w:rPr>
    </w:lvl>
  </w:abstractNum>
  <w:abstractNum w:abstractNumId="15">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938" w:hanging="360"/>
      </w:pPr>
      <w:rPr>
        <w:rFonts w:hint="default"/>
      </w:rPr>
    </w:lvl>
    <w:lvl w:ilvl="2">
      <w:start w:val="0"/>
      <w:numFmt w:val="bullet"/>
      <w:lvlText w:val="•"/>
      <w:lvlJc w:val="left"/>
      <w:pPr>
        <w:ind w:left="2757" w:hanging="360"/>
      </w:pPr>
      <w:rPr>
        <w:rFonts w:hint="default"/>
      </w:rPr>
    </w:lvl>
    <w:lvl w:ilvl="3">
      <w:start w:val="0"/>
      <w:numFmt w:val="bullet"/>
      <w:lvlText w:val="•"/>
      <w:lvlJc w:val="left"/>
      <w:pPr>
        <w:ind w:left="3575" w:hanging="360"/>
      </w:pPr>
      <w:rPr>
        <w:rFonts w:hint="default"/>
      </w:rPr>
    </w:lvl>
    <w:lvl w:ilvl="4">
      <w:start w:val="0"/>
      <w:numFmt w:val="bullet"/>
      <w:lvlText w:val="•"/>
      <w:lvlJc w:val="left"/>
      <w:pPr>
        <w:ind w:left="4394" w:hanging="360"/>
      </w:pPr>
      <w:rPr>
        <w:rFonts w:hint="default"/>
      </w:rPr>
    </w:lvl>
    <w:lvl w:ilvl="5">
      <w:start w:val="0"/>
      <w:numFmt w:val="bullet"/>
      <w:lvlText w:val="•"/>
      <w:lvlJc w:val="left"/>
      <w:pPr>
        <w:ind w:left="5213" w:hanging="360"/>
      </w:pPr>
      <w:rPr>
        <w:rFonts w:hint="default"/>
      </w:rPr>
    </w:lvl>
    <w:lvl w:ilvl="6">
      <w:start w:val="0"/>
      <w:numFmt w:val="bullet"/>
      <w:lvlText w:val="•"/>
      <w:lvlJc w:val="left"/>
      <w:pPr>
        <w:ind w:left="6031" w:hanging="360"/>
      </w:pPr>
      <w:rPr>
        <w:rFonts w:hint="default"/>
      </w:rPr>
    </w:lvl>
    <w:lvl w:ilvl="7">
      <w:start w:val="0"/>
      <w:numFmt w:val="bullet"/>
      <w:lvlText w:val="•"/>
      <w:lvlJc w:val="left"/>
      <w:pPr>
        <w:ind w:left="6850" w:hanging="360"/>
      </w:pPr>
      <w:rPr>
        <w:rFonts w:hint="default"/>
      </w:rPr>
    </w:lvl>
    <w:lvl w:ilvl="8">
      <w:start w:val="0"/>
      <w:numFmt w:val="bullet"/>
      <w:lvlText w:val="•"/>
      <w:lvlJc w:val="left"/>
      <w:pPr>
        <w:ind w:left="7669" w:hanging="360"/>
      </w:pPr>
      <w:rPr>
        <w:rFonts w:hint="default"/>
      </w:rPr>
    </w:lvl>
  </w:abstractNum>
  <w:abstractNum w:abstractNumId="14">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4"/>
        <w:w w:val="99"/>
        <w:sz w:val="24"/>
        <w:szCs w:val="24"/>
      </w:rPr>
    </w:lvl>
    <w:lvl w:ilvl="1">
      <w:start w:val="0"/>
      <w:numFmt w:val="bullet"/>
      <w:lvlText w:val="•"/>
      <w:lvlJc w:val="left"/>
      <w:pPr>
        <w:ind w:left="1938" w:hanging="360"/>
      </w:pPr>
      <w:rPr>
        <w:rFonts w:hint="default"/>
      </w:rPr>
    </w:lvl>
    <w:lvl w:ilvl="2">
      <w:start w:val="0"/>
      <w:numFmt w:val="bullet"/>
      <w:lvlText w:val="•"/>
      <w:lvlJc w:val="left"/>
      <w:pPr>
        <w:ind w:left="2757" w:hanging="360"/>
      </w:pPr>
      <w:rPr>
        <w:rFonts w:hint="default"/>
      </w:rPr>
    </w:lvl>
    <w:lvl w:ilvl="3">
      <w:start w:val="0"/>
      <w:numFmt w:val="bullet"/>
      <w:lvlText w:val="•"/>
      <w:lvlJc w:val="left"/>
      <w:pPr>
        <w:ind w:left="3575" w:hanging="360"/>
      </w:pPr>
      <w:rPr>
        <w:rFonts w:hint="default"/>
      </w:rPr>
    </w:lvl>
    <w:lvl w:ilvl="4">
      <w:start w:val="0"/>
      <w:numFmt w:val="bullet"/>
      <w:lvlText w:val="•"/>
      <w:lvlJc w:val="left"/>
      <w:pPr>
        <w:ind w:left="4394" w:hanging="360"/>
      </w:pPr>
      <w:rPr>
        <w:rFonts w:hint="default"/>
      </w:rPr>
    </w:lvl>
    <w:lvl w:ilvl="5">
      <w:start w:val="0"/>
      <w:numFmt w:val="bullet"/>
      <w:lvlText w:val="•"/>
      <w:lvlJc w:val="left"/>
      <w:pPr>
        <w:ind w:left="5213" w:hanging="360"/>
      </w:pPr>
      <w:rPr>
        <w:rFonts w:hint="default"/>
      </w:rPr>
    </w:lvl>
    <w:lvl w:ilvl="6">
      <w:start w:val="0"/>
      <w:numFmt w:val="bullet"/>
      <w:lvlText w:val="•"/>
      <w:lvlJc w:val="left"/>
      <w:pPr>
        <w:ind w:left="6031" w:hanging="360"/>
      </w:pPr>
      <w:rPr>
        <w:rFonts w:hint="default"/>
      </w:rPr>
    </w:lvl>
    <w:lvl w:ilvl="7">
      <w:start w:val="0"/>
      <w:numFmt w:val="bullet"/>
      <w:lvlText w:val="•"/>
      <w:lvlJc w:val="left"/>
      <w:pPr>
        <w:ind w:left="6850" w:hanging="360"/>
      </w:pPr>
      <w:rPr>
        <w:rFonts w:hint="default"/>
      </w:rPr>
    </w:lvl>
    <w:lvl w:ilvl="8">
      <w:start w:val="0"/>
      <w:numFmt w:val="bullet"/>
      <w:lvlText w:val="•"/>
      <w:lvlJc w:val="left"/>
      <w:pPr>
        <w:ind w:left="7669" w:hanging="360"/>
      </w:pPr>
      <w:rPr>
        <w:rFonts w:hint="default"/>
      </w:rPr>
    </w:lvl>
  </w:abstractNum>
  <w:abstractNum w:abstractNumId="13">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2"/>
        <w:w w:val="99"/>
        <w:sz w:val="24"/>
        <w:szCs w:val="24"/>
      </w:rPr>
    </w:lvl>
    <w:lvl w:ilvl="1">
      <w:start w:val="1"/>
      <w:numFmt w:val="lowerRoman"/>
      <w:lvlText w:val="%2."/>
      <w:lvlJc w:val="left"/>
      <w:pPr>
        <w:ind w:left="2252" w:hanging="720"/>
        <w:jc w:val="left"/>
      </w:pPr>
      <w:rPr>
        <w:rFonts w:hint="default" w:ascii="Times New Roman" w:hAnsi="Times New Roman" w:eastAsia="Times New Roman" w:cs="Times New Roman"/>
        <w:b/>
        <w:bCs/>
        <w:i/>
        <w:spacing w:val="-2"/>
        <w:w w:val="99"/>
        <w:sz w:val="24"/>
        <w:szCs w:val="24"/>
      </w:rPr>
    </w:lvl>
    <w:lvl w:ilvl="2">
      <w:start w:val="0"/>
      <w:numFmt w:val="bullet"/>
      <w:lvlText w:val="•"/>
      <w:lvlJc w:val="left"/>
      <w:pPr>
        <w:ind w:left="3042" w:hanging="720"/>
      </w:pPr>
      <w:rPr>
        <w:rFonts w:hint="default"/>
      </w:rPr>
    </w:lvl>
    <w:lvl w:ilvl="3">
      <w:start w:val="0"/>
      <w:numFmt w:val="bullet"/>
      <w:lvlText w:val="•"/>
      <w:lvlJc w:val="left"/>
      <w:pPr>
        <w:ind w:left="3825" w:hanging="720"/>
      </w:pPr>
      <w:rPr>
        <w:rFonts w:hint="default"/>
      </w:rPr>
    </w:lvl>
    <w:lvl w:ilvl="4">
      <w:start w:val="0"/>
      <w:numFmt w:val="bullet"/>
      <w:lvlText w:val="•"/>
      <w:lvlJc w:val="left"/>
      <w:pPr>
        <w:ind w:left="4608" w:hanging="720"/>
      </w:pPr>
      <w:rPr>
        <w:rFonts w:hint="default"/>
      </w:rPr>
    </w:lvl>
    <w:lvl w:ilvl="5">
      <w:start w:val="0"/>
      <w:numFmt w:val="bullet"/>
      <w:lvlText w:val="•"/>
      <w:lvlJc w:val="left"/>
      <w:pPr>
        <w:ind w:left="5391" w:hanging="720"/>
      </w:pPr>
      <w:rPr>
        <w:rFonts w:hint="default"/>
      </w:rPr>
    </w:lvl>
    <w:lvl w:ilvl="6">
      <w:start w:val="0"/>
      <w:numFmt w:val="bullet"/>
      <w:lvlText w:val="•"/>
      <w:lvlJc w:val="left"/>
      <w:pPr>
        <w:ind w:left="6174" w:hanging="720"/>
      </w:pPr>
      <w:rPr>
        <w:rFonts w:hint="default"/>
      </w:rPr>
    </w:lvl>
    <w:lvl w:ilvl="7">
      <w:start w:val="0"/>
      <w:numFmt w:val="bullet"/>
      <w:lvlText w:val="•"/>
      <w:lvlJc w:val="left"/>
      <w:pPr>
        <w:ind w:left="6957" w:hanging="720"/>
      </w:pPr>
      <w:rPr>
        <w:rFonts w:hint="default"/>
      </w:rPr>
    </w:lvl>
    <w:lvl w:ilvl="8">
      <w:start w:val="0"/>
      <w:numFmt w:val="bullet"/>
      <w:lvlText w:val="•"/>
      <w:lvlJc w:val="left"/>
      <w:pPr>
        <w:ind w:left="7740" w:hanging="720"/>
      </w:pPr>
      <w:rPr>
        <w:rFonts w:hint="default"/>
      </w:rPr>
    </w:lvl>
  </w:abstractNum>
  <w:abstractNum w:abstractNumId="12">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1938" w:hanging="360"/>
      </w:pPr>
      <w:rPr>
        <w:rFonts w:hint="default"/>
      </w:rPr>
    </w:lvl>
    <w:lvl w:ilvl="2">
      <w:start w:val="0"/>
      <w:numFmt w:val="bullet"/>
      <w:lvlText w:val="•"/>
      <w:lvlJc w:val="left"/>
      <w:pPr>
        <w:ind w:left="2757" w:hanging="360"/>
      </w:pPr>
      <w:rPr>
        <w:rFonts w:hint="default"/>
      </w:rPr>
    </w:lvl>
    <w:lvl w:ilvl="3">
      <w:start w:val="0"/>
      <w:numFmt w:val="bullet"/>
      <w:lvlText w:val="•"/>
      <w:lvlJc w:val="left"/>
      <w:pPr>
        <w:ind w:left="3575" w:hanging="360"/>
      </w:pPr>
      <w:rPr>
        <w:rFonts w:hint="default"/>
      </w:rPr>
    </w:lvl>
    <w:lvl w:ilvl="4">
      <w:start w:val="0"/>
      <w:numFmt w:val="bullet"/>
      <w:lvlText w:val="•"/>
      <w:lvlJc w:val="left"/>
      <w:pPr>
        <w:ind w:left="4394" w:hanging="360"/>
      </w:pPr>
      <w:rPr>
        <w:rFonts w:hint="default"/>
      </w:rPr>
    </w:lvl>
    <w:lvl w:ilvl="5">
      <w:start w:val="0"/>
      <w:numFmt w:val="bullet"/>
      <w:lvlText w:val="•"/>
      <w:lvlJc w:val="left"/>
      <w:pPr>
        <w:ind w:left="5213" w:hanging="360"/>
      </w:pPr>
      <w:rPr>
        <w:rFonts w:hint="default"/>
      </w:rPr>
    </w:lvl>
    <w:lvl w:ilvl="6">
      <w:start w:val="0"/>
      <w:numFmt w:val="bullet"/>
      <w:lvlText w:val="•"/>
      <w:lvlJc w:val="left"/>
      <w:pPr>
        <w:ind w:left="6031" w:hanging="360"/>
      </w:pPr>
      <w:rPr>
        <w:rFonts w:hint="default"/>
      </w:rPr>
    </w:lvl>
    <w:lvl w:ilvl="7">
      <w:start w:val="0"/>
      <w:numFmt w:val="bullet"/>
      <w:lvlText w:val="•"/>
      <w:lvlJc w:val="left"/>
      <w:pPr>
        <w:ind w:left="6850" w:hanging="360"/>
      </w:pPr>
      <w:rPr>
        <w:rFonts w:hint="default"/>
      </w:rPr>
    </w:lvl>
    <w:lvl w:ilvl="8">
      <w:start w:val="0"/>
      <w:numFmt w:val="bullet"/>
      <w:lvlText w:val="•"/>
      <w:lvlJc w:val="left"/>
      <w:pPr>
        <w:ind w:left="7669" w:hanging="360"/>
      </w:pPr>
      <w:rPr>
        <w:rFonts w:hint="default"/>
      </w:rPr>
    </w:lvl>
  </w:abstractNum>
  <w:abstractNum w:abstractNumId="11">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1938" w:hanging="360"/>
      </w:pPr>
      <w:rPr>
        <w:rFonts w:hint="default"/>
      </w:rPr>
    </w:lvl>
    <w:lvl w:ilvl="2">
      <w:start w:val="0"/>
      <w:numFmt w:val="bullet"/>
      <w:lvlText w:val="•"/>
      <w:lvlJc w:val="left"/>
      <w:pPr>
        <w:ind w:left="2757" w:hanging="360"/>
      </w:pPr>
      <w:rPr>
        <w:rFonts w:hint="default"/>
      </w:rPr>
    </w:lvl>
    <w:lvl w:ilvl="3">
      <w:start w:val="0"/>
      <w:numFmt w:val="bullet"/>
      <w:lvlText w:val="•"/>
      <w:lvlJc w:val="left"/>
      <w:pPr>
        <w:ind w:left="3575" w:hanging="360"/>
      </w:pPr>
      <w:rPr>
        <w:rFonts w:hint="default"/>
      </w:rPr>
    </w:lvl>
    <w:lvl w:ilvl="4">
      <w:start w:val="0"/>
      <w:numFmt w:val="bullet"/>
      <w:lvlText w:val="•"/>
      <w:lvlJc w:val="left"/>
      <w:pPr>
        <w:ind w:left="4394" w:hanging="360"/>
      </w:pPr>
      <w:rPr>
        <w:rFonts w:hint="default"/>
      </w:rPr>
    </w:lvl>
    <w:lvl w:ilvl="5">
      <w:start w:val="0"/>
      <w:numFmt w:val="bullet"/>
      <w:lvlText w:val="•"/>
      <w:lvlJc w:val="left"/>
      <w:pPr>
        <w:ind w:left="5213" w:hanging="360"/>
      </w:pPr>
      <w:rPr>
        <w:rFonts w:hint="default"/>
      </w:rPr>
    </w:lvl>
    <w:lvl w:ilvl="6">
      <w:start w:val="0"/>
      <w:numFmt w:val="bullet"/>
      <w:lvlText w:val="•"/>
      <w:lvlJc w:val="left"/>
      <w:pPr>
        <w:ind w:left="6031" w:hanging="360"/>
      </w:pPr>
      <w:rPr>
        <w:rFonts w:hint="default"/>
      </w:rPr>
    </w:lvl>
    <w:lvl w:ilvl="7">
      <w:start w:val="0"/>
      <w:numFmt w:val="bullet"/>
      <w:lvlText w:val="•"/>
      <w:lvlJc w:val="left"/>
      <w:pPr>
        <w:ind w:left="6850" w:hanging="360"/>
      </w:pPr>
      <w:rPr>
        <w:rFonts w:hint="default"/>
      </w:rPr>
    </w:lvl>
    <w:lvl w:ilvl="8">
      <w:start w:val="0"/>
      <w:numFmt w:val="bullet"/>
      <w:lvlText w:val="•"/>
      <w:lvlJc w:val="left"/>
      <w:pPr>
        <w:ind w:left="7669" w:hanging="360"/>
      </w:pPr>
      <w:rPr>
        <w:rFonts w:hint="default"/>
      </w:rPr>
    </w:lvl>
  </w:abstractNum>
  <w:abstractNum w:abstractNumId="10">
    <w:multiLevelType w:val="hybridMultilevel"/>
    <w:lvl w:ilvl="0">
      <w:start w:val="1"/>
      <w:numFmt w:val="decimal"/>
      <w:lvlText w:val="%1."/>
      <w:lvlJc w:val="left"/>
      <w:pPr>
        <w:ind w:left="1042" w:hanging="360"/>
        <w:jc w:val="left"/>
      </w:pPr>
      <w:rPr>
        <w:rFonts w:hint="default" w:ascii="Times New Roman" w:hAnsi="Times New Roman" w:eastAsia="Times New Roman" w:cs="Times New Roman"/>
        <w:spacing w:val="-3"/>
        <w:w w:val="100"/>
        <w:sz w:val="24"/>
        <w:szCs w:val="24"/>
      </w:rPr>
    </w:lvl>
    <w:lvl w:ilvl="1">
      <w:start w:val="1"/>
      <w:numFmt w:val="lowerRoman"/>
      <w:lvlText w:val="%2."/>
      <w:lvlJc w:val="left"/>
      <w:pPr>
        <w:ind w:left="2252" w:hanging="720"/>
        <w:jc w:val="left"/>
      </w:pPr>
      <w:rPr>
        <w:rFonts w:hint="default" w:ascii="Times New Roman" w:hAnsi="Times New Roman" w:eastAsia="Times New Roman" w:cs="Times New Roman"/>
        <w:b/>
        <w:bCs/>
        <w:i/>
        <w:spacing w:val="-3"/>
        <w:w w:val="99"/>
        <w:sz w:val="24"/>
        <w:szCs w:val="24"/>
      </w:rPr>
    </w:lvl>
    <w:lvl w:ilvl="2">
      <w:start w:val="0"/>
      <w:numFmt w:val="bullet"/>
      <w:lvlText w:val="•"/>
      <w:lvlJc w:val="left"/>
      <w:pPr>
        <w:ind w:left="3042" w:hanging="720"/>
      </w:pPr>
      <w:rPr>
        <w:rFonts w:hint="default"/>
      </w:rPr>
    </w:lvl>
    <w:lvl w:ilvl="3">
      <w:start w:val="0"/>
      <w:numFmt w:val="bullet"/>
      <w:lvlText w:val="•"/>
      <w:lvlJc w:val="left"/>
      <w:pPr>
        <w:ind w:left="3825" w:hanging="720"/>
      </w:pPr>
      <w:rPr>
        <w:rFonts w:hint="default"/>
      </w:rPr>
    </w:lvl>
    <w:lvl w:ilvl="4">
      <w:start w:val="0"/>
      <w:numFmt w:val="bullet"/>
      <w:lvlText w:val="•"/>
      <w:lvlJc w:val="left"/>
      <w:pPr>
        <w:ind w:left="4608" w:hanging="720"/>
      </w:pPr>
      <w:rPr>
        <w:rFonts w:hint="default"/>
      </w:rPr>
    </w:lvl>
    <w:lvl w:ilvl="5">
      <w:start w:val="0"/>
      <w:numFmt w:val="bullet"/>
      <w:lvlText w:val="•"/>
      <w:lvlJc w:val="left"/>
      <w:pPr>
        <w:ind w:left="5391" w:hanging="720"/>
      </w:pPr>
      <w:rPr>
        <w:rFonts w:hint="default"/>
      </w:rPr>
    </w:lvl>
    <w:lvl w:ilvl="6">
      <w:start w:val="0"/>
      <w:numFmt w:val="bullet"/>
      <w:lvlText w:val="•"/>
      <w:lvlJc w:val="left"/>
      <w:pPr>
        <w:ind w:left="6174" w:hanging="720"/>
      </w:pPr>
      <w:rPr>
        <w:rFonts w:hint="default"/>
      </w:rPr>
    </w:lvl>
    <w:lvl w:ilvl="7">
      <w:start w:val="0"/>
      <w:numFmt w:val="bullet"/>
      <w:lvlText w:val="•"/>
      <w:lvlJc w:val="left"/>
      <w:pPr>
        <w:ind w:left="6957" w:hanging="720"/>
      </w:pPr>
      <w:rPr>
        <w:rFonts w:hint="default"/>
      </w:rPr>
    </w:lvl>
    <w:lvl w:ilvl="8">
      <w:start w:val="0"/>
      <w:numFmt w:val="bullet"/>
      <w:lvlText w:val="•"/>
      <w:lvlJc w:val="left"/>
      <w:pPr>
        <w:ind w:left="7740" w:hanging="720"/>
      </w:pPr>
      <w:rPr>
        <w:rFonts w:hint="default"/>
      </w:rPr>
    </w:lvl>
  </w:abstractNum>
  <w:abstractNum w:abstractNumId="9">
    <w:multiLevelType w:val="hybridMultilevel"/>
    <w:lvl w:ilvl="0">
      <w:start w:val="1"/>
      <w:numFmt w:val="decimal"/>
      <w:lvlText w:val="%1."/>
      <w:lvlJc w:val="left"/>
      <w:pPr>
        <w:ind w:left="1110" w:hanging="360"/>
        <w:jc w:val="left"/>
      </w:pPr>
      <w:rPr>
        <w:rFonts w:hint="default" w:ascii="Times New Roman" w:hAnsi="Times New Roman" w:eastAsia="Times New Roman" w:cs="Times New Roman"/>
        <w:spacing w:val="-3"/>
        <w:w w:val="100"/>
        <w:sz w:val="24"/>
        <w:szCs w:val="24"/>
      </w:rPr>
    </w:lvl>
    <w:lvl w:ilvl="1">
      <w:start w:val="0"/>
      <w:numFmt w:val="bullet"/>
      <w:lvlText w:val="•"/>
      <w:lvlJc w:val="left"/>
      <w:pPr>
        <w:ind w:left="1938" w:hanging="360"/>
      </w:pPr>
      <w:rPr>
        <w:rFonts w:hint="default"/>
      </w:rPr>
    </w:lvl>
    <w:lvl w:ilvl="2">
      <w:start w:val="0"/>
      <w:numFmt w:val="bullet"/>
      <w:lvlText w:val="•"/>
      <w:lvlJc w:val="left"/>
      <w:pPr>
        <w:ind w:left="2757" w:hanging="360"/>
      </w:pPr>
      <w:rPr>
        <w:rFonts w:hint="default"/>
      </w:rPr>
    </w:lvl>
    <w:lvl w:ilvl="3">
      <w:start w:val="0"/>
      <w:numFmt w:val="bullet"/>
      <w:lvlText w:val="•"/>
      <w:lvlJc w:val="left"/>
      <w:pPr>
        <w:ind w:left="3575" w:hanging="360"/>
      </w:pPr>
      <w:rPr>
        <w:rFonts w:hint="default"/>
      </w:rPr>
    </w:lvl>
    <w:lvl w:ilvl="4">
      <w:start w:val="0"/>
      <w:numFmt w:val="bullet"/>
      <w:lvlText w:val="•"/>
      <w:lvlJc w:val="left"/>
      <w:pPr>
        <w:ind w:left="4394" w:hanging="360"/>
      </w:pPr>
      <w:rPr>
        <w:rFonts w:hint="default"/>
      </w:rPr>
    </w:lvl>
    <w:lvl w:ilvl="5">
      <w:start w:val="0"/>
      <w:numFmt w:val="bullet"/>
      <w:lvlText w:val="•"/>
      <w:lvlJc w:val="left"/>
      <w:pPr>
        <w:ind w:left="5213" w:hanging="360"/>
      </w:pPr>
      <w:rPr>
        <w:rFonts w:hint="default"/>
      </w:rPr>
    </w:lvl>
    <w:lvl w:ilvl="6">
      <w:start w:val="0"/>
      <w:numFmt w:val="bullet"/>
      <w:lvlText w:val="•"/>
      <w:lvlJc w:val="left"/>
      <w:pPr>
        <w:ind w:left="6031" w:hanging="360"/>
      </w:pPr>
      <w:rPr>
        <w:rFonts w:hint="default"/>
      </w:rPr>
    </w:lvl>
    <w:lvl w:ilvl="7">
      <w:start w:val="0"/>
      <w:numFmt w:val="bullet"/>
      <w:lvlText w:val="•"/>
      <w:lvlJc w:val="left"/>
      <w:pPr>
        <w:ind w:left="6850" w:hanging="360"/>
      </w:pPr>
      <w:rPr>
        <w:rFonts w:hint="default"/>
      </w:rPr>
    </w:lvl>
    <w:lvl w:ilvl="8">
      <w:start w:val="0"/>
      <w:numFmt w:val="bullet"/>
      <w:lvlText w:val="•"/>
      <w:lvlJc w:val="left"/>
      <w:pPr>
        <w:ind w:left="7669" w:hanging="360"/>
      </w:pPr>
      <w:rPr>
        <w:rFonts w:hint="default"/>
      </w:rPr>
    </w:lvl>
  </w:abstractNum>
  <w:abstractNum w:abstractNumId="8">
    <w:multiLevelType w:val="hybridMultilevel"/>
    <w:lvl w:ilvl="0">
      <w:start w:val="1"/>
      <w:numFmt w:val="decimal"/>
      <w:lvlText w:val="%1."/>
      <w:lvlJc w:val="left"/>
      <w:pPr>
        <w:ind w:left="1110" w:hanging="428"/>
        <w:jc w:val="left"/>
      </w:pPr>
      <w:rPr>
        <w:rFonts w:hint="default" w:ascii="Times New Roman" w:hAnsi="Times New Roman" w:eastAsia="Times New Roman" w:cs="Times New Roman"/>
        <w:spacing w:val="-5"/>
        <w:w w:val="99"/>
        <w:sz w:val="24"/>
        <w:szCs w:val="24"/>
      </w:rPr>
    </w:lvl>
    <w:lvl w:ilvl="1">
      <w:start w:val="1"/>
      <w:numFmt w:val="lowerRoman"/>
      <w:lvlText w:val="%2."/>
      <w:lvlJc w:val="left"/>
      <w:pPr>
        <w:ind w:left="2252" w:hanging="720"/>
        <w:jc w:val="left"/>
      </w:pPr>
      <w:rPr>
        <w:rFonts w:hint="default" w:ascii="Times New Roman" w:hAnsi="Times New Roman" w:eastAsia="Times New Roman" w:cs="Times New Roman"/>
        <w:b/>
        <w:bCs/>
        <w:i/>
        <w:spacing w:val="-2"/>
        <w:w w:val="99"/>
        <w:sz w:val="24"/>
        <w:szCs w:val="24"/>
      </w:rPr>
    </w:lvl>
    <w:lvl w:ilvl="2">
      <w:start w:val="0"/>
      <w:numFmt w:val="bullet"/>
      <w:lvlText w:val="•"/>
      <w:lvlJc w:val="left"/>
      <w:pPr>
        <w:ind w:left="3042" w:hanging="720"/>
      </w:pPr>
      <w:rPr>
        <w:rFonts w:hint="default"/>
      </w:rPr>
    </w:lvl>
    <w:lvl w:ilvl="3">
      <w:start w:val="0"/>
      <w:numFmt w:val="bullet"/>
      <w:lvlText w:val="•"/>
      <w:lvlJc w:val="left"/>
      <w:pPr>
        <w:ind w:left="3825" w:hanging="720"/>
      </w:pPr>
      <w:rPr>
        <w:rFonts w:hint="default"/>
      </w:rPr>
    </w:lvl>
    <w:lvl w:ilvl="4">
      <w:start w:val="0"/>
      <w:numFmt w:val="bullet"/>
      <w:lvlText w:val="•"/>
      <w:lvlJc w:val="left"/>
      <w:pPr>
        <w:ind w:left="4608" w:hanging="720"/>
      </w:pPr>
      <w:rPr>
        <w:rFonts w:hint="default"/>
      </w:rPr>
    </w:lvl>
    <w:lvl w:ilvl="5">
      <w:start w:val="0"/>
      <w:numFmt w:val="bullet"/>
      <w:lvlText w:val="•"/>
      <w:lvlJc w:val="left"/>
      <w:pPr>
        <w:ind w:left="5391" w:hanging="720"/>
      </w:pPr>
      <w:rPr>
        <w:rFonts w:hint="default"/>
      </w:rPr>
    </w:lvl>
    <w:lvl w:ilvl="6">
      <w:start w:val="0"/>
      <w:numFmt w:val="bullet"/>
      <w:lvlText w:val="•"/>
      <w:lvlJc w:val="left"/>
      <w:pPr>
        <w:ind w:left="6174" w:hanging="720"/>
      </w:pPr>
      <w:rPr>
        <w:rFonts w:hint="default"/>
      </w:rPr>
    </w:lvl>
    <w:lvl w:ilvl="7">
      <w:start w:val="0"/>
      <w:numFmt w:val="bullet"/>
      <w:lvlText w:val="•"/>
      <w:lvlJc w:val="left"/>
      <w:pPr>
        <w:ind w:left="6957" w:hanging="720"/>
      </w:pPr>
      <w:rPr>
        <w:rFonts w:hint="default"/>
      </w:rPr>
    </w:lvl>
    <w:lvl w:ilvl="8">
      <w:start w:val="0"/>
      <w:numFmt w:val="bullet"/>
      <w:lvlText w:val="•"/>
      <w:lvlJc w:val="left"/>
      <w:pPr>
        <w:ind w:left="7740" w:hanging="720"/>
      </w:pPr>
      <w:rPr>
        <w:rFonts w:hint="default"/>
      </w:rPr>
    </w:lvl>
  </w:abstractNum>
  <w:abstractNum w:abstractNumId="7">
    <w:multiLevelType w:val="hybridMultilevel"/>
    <w:lvl w:ilvl="0">
      <w:start w:val="1"/>
      <w:numFmt w:val="lowerRoman"/>
      <w:lvlText w:val="%1."/>
      <w:lvlJc w:val="left"/>
      <w:pPr>
        <w:ind w:left="2252" w:hanging="720"/>
        <w:jc w:val="left"/>
      </w:pPr>
      <w:rPr>
        <w:rFonts w:hint="default" w:ascii="Times New Roman" w:hAnsi="Times New Roman" w:eastAsia="Times New Roman" w:cs="Times New Roman"/>
        <w:b/>
        <w:bCs/>
        <w:i/>
        <w:spacing w:val="-1"/>
        <w:w w:val="100"/>
        <w:sz w:val="24"/>
        <w:szCs w:val="24"/>
      </w:rPr>
    </w:lvl>
    <w:lvl w:ilvl="1">
      <w:start w:val="0"/>
      <w:numFmt w:val="bullet"/>
      <w:lvlText w:val="•"/>
      <w:lvlJc w:val="left"/>
      <w:pPr>
        <w:ind w:left="2964" w:hanging="720"/>
      </w:pPr>
      <w:rPr>
        <w:rFonts w:hint="default"/>
      </w:rPr>
    </w:lvl>
    <w:lvl w:ilvl="2">
      <w:start w:val="0"/>
      <w:numFmt w:val="bullet"/>
      <w:lvlText w:val="•"/>
      <w:lvlJc w:val="left"/>
      <w:pPr>
        <w:ind w:left="3669" w:hanging="720"/>
      </w:pPr>
      <w:rPr>
        <w:rFonts w:hint="default"/>
      </w:rPr>
    </w:lvl>
    <w:lvl w:ilvl="3">
      <w:start w:val="0"/>
      <w:numFmt w:val="bullet"/>
      <w:lvlText w:val="•"/>
      <w:lvlJc w:val="left"/>
      <w:pPr>
        <w:ind w:left="4373" w:hanging="720"/>
      </w:pPr>
      <w:rPr>
        <w:rFonts w:hint="default"/>
      </w:rPr>
    </w:lvl>
    <w:lvl w:ilvl="4">
      <w:start w:val="0"/>
      <w:numFmt w:val="bullet"/>
      <w:lvlText w:val="•"/>
      <w:lvlJc w:val="left"/>
      <w:pPr>
        <w:ind w:left="5078" w:hanging="720"/>
      </w:pPr>
      <w:rPr>
        <w:rFonts w:hint="default"/>
      </w:rPr>
    </w:lvl>
    <w:lvl w:ilvl="5">
      <w:start w:val="0"/>
      <w:numFmt w:val="bullet"/>
      <w:lvlText w:val="•"/>
      <w:lvlJc w:val="left"/>
      <w:pPr>
        <w:ind w:left="5783" w:hanging="720"/>
      </w:pPr>
      <w:rPr>
        <w:rFonts w:hint="default"/>
      </w:rPr>
    </w:lvl>
    <w:lvl w:ilvl="6">
      <w:start w:val="0"/>
      <w:numFmt w:val="bullet"/>
      <w:lvlText w:val="•"/>
      <w:lvlJc w:val="left"/>
      <w:pPr>
        <w:ind w:left="6487" w:hanging="720"/>
      </w:pPr>
      <w:rPr>
        <w:rFonts w:hint="default"/>
      </w:rPr>
    </w:lvl>
    <w:lvl w:ilvl="7">
      <w:start w:val="0"/>
      <w:numFmt w:val="bullet"/>
      <w:lvlText w:val="•"/>
      <w:lvlJc w:val="left"/>
      <w:pPr>
        <w:ind w:left="7192" w:hanging="720"/>
      </w:pPr>
      <w:rPr>
        <w:rFonts w:hint="default"/>
      </w:rPr>
    </w:lvl>
    <w:lvl w:ilvl="8">
      <w:start w:val="0"/>
      <w:numFmt w:val="bullet"/>
      <w:lvlText w:val="•"/>
      <w:lvlJc w:val="left"/>
      <w:pPr>
        <w:ind w:left="7897" w:hanging="720"/>
      </w:pPr>
      <w:rPr>
        <w:rFonts w:hint="default"/>
      </w:rPr>
    </w:lvl>
  </w:abstractNum>
  <w:abstractNum w:abstractNumId="6">
    <w:multiLevelType w:val="hybridMultilevel"/>
    <w:lvl w:ilvl="0">
      <w:start w:val="1"/>
      <w:numFmt w:val="decimal"/>
      <w:lvlText w:val="%1."/>
      <w:lvlJc w:val="left"/>
      <w:pPr>
        <w:ind w:left="1042" w:hanging="360"/>
        <w:jc w:val="left"/>
      </w:pPr>
      <w:rPr>
        <w:rFonts w:hint="default" w:ascii="Times New Roman" w:hAnsi="Times New Roman" w:eastAsia="Times New Roman" w:cs="Times New Roman"/>
        <w:spacing w:val="-6"/>
        <w:w w:val="99"/>
        <w:sz w:val="24"/>
        <w:szCs w:val="24"/>
      </w:rPr>
    </w:lvl>
    <w:lvl w:ilvl="1">
      <w:start w:val="1"/>
      <w:numFmt w:val="decimal"/>
      <w:lvlText w:val="%2-"/>
      <w:lvlJc w:val="left"/>
      <w:pPr>
        <w:ind w:left="1184" w:hanging="360"/>
        <w:jc w:val="left"/>
      </w:pPr>
      <w:rPr>
        <w:rFonts w:hint="default" w:ascii="Times New Roman" w:hAnsi="Times New Roman" w:eastAsia="Times New Roman" w:cs="Times New Roman"/>
        <w:spacing w:val="-20"/>
        <w:w w:val="99"/>
        <w:sz w:val="24"/>
        <w:szCs w:val="24"/>
      </w:rPr>
    </w:lvl>
    <w:lvl w:ilvl="2">
      <w:start w:val="0"/>
      <w:numFmt w:val="bullet"/>
      <w:lvlText w:val="•"/>
      <w:lvlJc w:val="left"/>
      <w:pPr>
        <w:ind w:left="2160" w:hanging="360"/>
      </w:pPr>
      <w:rPr>
        <w:rFonts w:hint="default"/>
      </w:rPr>
    </w:lvl>
    <w:lvl w:ilvl="3">
      <w:start w:val="0"/>
      <w:numFmt w:val="bullet"/>
      <w:lvlText w:val="•"/>
      <w:lvlJc w:val="left"/>
      <w:pPr>
        <w:ind w:left="3141" w:hanging="360"/>
      </w:pPr>
      <w:rPr>
        <w:rFonts w:hint="default"/>
      </w:rPr>
    </w:lvl>
    <w:lvl w:ilvl="4">
      <w:start w:val="0"/>
      <w:numFmt w:val="bullet"/>
      <w:lvlText w:val="•"/>
      <w:lvlJc w:val="left"/>
      <w:pPr>
        <w:ind w:left="4122" w:hanging="360"/>
      </w:pPr>
      <w:rPr>
        <w:rFonts w:hint="default"/>
      </w:rPr>
    </w:lvl>
    <w:lvl w:ilvl="5">
      <w:start w:val="0"/>
      <w:numFmt w:val="bullet"/>
      <w:lvlText w:val="•"/>
      <w:lvlJc w:val="left"/>
      <w:pPr>
        <w:ind w:left="5102" w:hanging="360"/>
      </w:pPr>
      <w:rPr>
        <w:rFonts w:hint="default"/>
      </w:rPr>
    </w:lvl>
    <w:lvl w:ilvl="6">
      <w:start w:val="0"/>
      <w:numFmt w:val="bullet"/>
      <w:lvlText w:val="•"/>
      <w:lvlJc w:val="left"/>
      <w:pPr>
        <w:ind w:left="6083" w:hanging="360"/>
      </w:pPr>
      <w:rPr>
        <w:rFonts w:hint="default"/>
      </w:rPr>
    </w:lvl>
    <w:lvl w:ilvl="7">
      <w:start w:val="0"/>
      <w:numFmt w:val="bullet"/>
      <w:lvlText w:val="•"/>
      <w:lvlJc w:val="left"/>
      <w:pPr>
        <w:ind w:left="7064" w:hanging="360"/>
      </w:pPr>
      <w:rPr>
        <w:rFonts w:hint="default"/>
      </w:rPr>
    </w:lvl>
    <w:lvl w:ilvl="8">
      <w:start w:val="0"/>
      <w:numFmt w:val="bullet"/>
      <w:lvlText w:val="•"/>
      <w:lvlJc w:val="left"/>
      <w:pPr>
        <w:ind w:left="8044" w:hanging="360"/>
      </w:pPr>
      <w:rPr>
        <w:rFonts w:hint="default"/>
      </w:rPr>
    </w:lvl>
  </w:abstractNum>
  <w:abstractNum w:abstractNumId="5">
    <w:multiLevelType w:val="hybridMultilevel"/>
    <w:lvl w:ilvl="0">
      <w:start w:val="0"/>
      <w:numFmt w:val="bullet"/>
      <w:lvlText w:val=""/>
      <w:lvlJc w:val="left"/>
      <w:pPr>
        <w:ind w:left="476" w:hanging="360"/>
      </w:pPr>
      <w:rPr>
        <w:rFonts w:hint="default" w:ascii="Symbol" w:hAnsi="Symbol" w:eastAsia="Symbol" w:cs="Symbol"/>
        <w:w w:val="100"/>
        <w:sz w:val="24"/>
        <w:szCs w:val="24"/>
      </w:rPr>
    </w:lvl>
    <w:lvl w:ilvl="1">
      <w:start w:val="0"/>
      <w:numFmt w:val="bullet"/>
      <w:lvlText w:val="-"/>
      <w:lvlJc w:val="left"/>
      <w:pPr>
        <w:ind w:left="838" w:hanging="360"/>
      </w:pPr>
      <w:rPr>
        <w:rFonts w:hint="default" w:ascii="Times New Roman" w:hAnsi="Times New Roman" w:eastAsia="Times New Roman" w:cs="Times New Roman"/>
        <w:spacing w:val="-5"/>
        <w:w w:val="99"/>
        <w:sz w:val="24"/>
        <w:szCs w:val="24"/>
      </w:rPr>
    </w:lvl>
    <w:lvl w:ilvl="2">
      <w:start w:val="0"/>
      <w:numFmt w:val="bullet"/>
      <w:lvlText w:val=""/>
      <w:lvlJc w:val="left"/>
      <w:pPr>
        <w:ind w:left="1556" w:hanging="360"/>
      </w:pPr>
      <w:rPr>
        <w:rFonts w:hint="default" w:ascii="Wingdings" w:hAnsi="Wingdings" w:eastAsia="Wingdings" w:cs="Wingdings"/>
        <w:w w:val="100"/>
        <w:sz w:val="24"/>
        <w:szCs w:val="24"/>
      </w:rPr>
    </w:lvl>
    <w:lvl w:ilvl="3">
      <w:start w:val="0"/>
      <w:numFmt w:val="bullet"/>
      <w:lvlText w:val="•"/>
      <w:lvlJc w:val="left"/>
      <w:pPr>
        <w:ind w:left="2483" w:hanging="360"/>
      </w:pPr>
      <w:rPr>
        <w:rFonts w:hint="default"/>
      </w:rPr>
    </w:lvl>
    <w:lvl w:ilvl="4">
      <w:start w:val="0"/>
      <w:numFmt w:val="bullet"/>
      <w:lvlText w:val="•"/>
      <w:lvlJc w:val="left"/>
      <w:pPr>
        <w:ind w:left="3406" w:hanging="360"/>
      </w:pPr>
      <w:rPr>
        <w:rFonts w:hint="default"/>
      </w:rPr>
    </w:lvl>
    <w:lvl w:ilvl="5">
      <w:start w:val="0"/>
      <w:numFmt w:val="bullet"/>
      <w:lvlText w:val="•"/>
      <w:lvlJc w:val="left"/>
      <w:pPr>
        <w:ind w:left="4329" w:hanging="360"/>
      </w:pPr>
      <w:rPr>
        <w:rFonts w:hint="default"/>
      </w:rPr>
    </w:lvl>
    <w:lvl w:ilvl="6">
      <w:start w:val="0"/>
      <w:numFmt w:val="bullet"/>
      <w:lvlText w:val="•"/>
      <w:lvlJc w:val="left"/>
      <w:pPr>
        <w:ind w:left="5253" w:hanging="360"/>
      </w:pPr>
      <w:rPr>
        <w:rFonts w:hint="default"/>
      </w:rPr>
    </w:lvl>
    <w:lvl w:ilvl="7">
      <w:start w:val="0"/>
      <w:numFmt w:val="bullet"/>
      <w:lvlText w:val="•"/>
      <w:lvlJc w:val="left"/>
      <w:pPr>
        <w:ind w:left="6176" w:hanging="360"/>
      </w:pPr>
      <w:rPr>
        <w:rFonts w:hint="default"/>
      </w:rPr>
    </w:lvl>
    <w:lvl w:ilvl="8">
      <w:start w:val="0"/>
      <w:numFmt w:val="bullet"/>
      <w:lvlText w:val="•"/>
      <w:lvlJc w:val="left"/>
      <w:pPr>
        <w:ind w:left="7099" w:hanging="360"/>
      </w:pPr>
      <w:rPr>
        <w:rFonts w:hint="default"/>
      </w:rPr>
    </w:lvl>
  </w:abstractNum>
  <w:abstractNum w:abstractNumId="4">
    <w:multiLevelType w:val="hybridMultilevel"/>
    <w:lvl w:ilvl="0">
      <w:start w:val="1"/>
      <w:numFmt w:val="decimal"/>
      <w:lvlText w:val="%1."/>
      <w:lvlJc w:val="left"/>
      <w:pPr>
        <w:ind w:left="1142" w:hanging="360"/>
        <w:jc w:val="right"/>
      </w:pPr>
      <w:rPr>
        <w:rFonts w:hint="default" w:ascii="Times New Roman" w:hAnsi="Times New Roman" w:eastAsia="Times New Roman" w:cs="Times New Roman"/>
        <w:spacing w:val="-5"/>
        <w:w w:val="99"/>
        <w:sz w:val="24"/>
        <w:szCs w:val="24"/>
      </w:rPr>
    </w:lvl>
    <w:lvl w:ilvl="1">
      <w:start w:val="0"/>
      <w:numFmt w:val="bullet"/>
      <w:lvlText w:val="•"/>
      <w:lvlJc w:val="left"/>
      <w:pPr>
        <w:ind w:left="1976" w:hanging="360"/>
      </w:pPr>
      <w:rPr>
        <w:rFonts w:hint="default"/>
      </w:rPr>
    </w:lvl>
    <w:lvl w:ilvl="2">
      <w:start w:val="0"/>
      <w:numFmt w:val="bullet"/>
      <w:lvlText w:val="•"/>
      <w:lvlJc w:val="left"/>
      <w:pPr>
        <w:ind w:left="2813" w:hanging="360"/>
      </w:pPr>
      <w:rPr>
        <w:rFonts w:hint="default"/>
      </w:rPr>
    </w:lvl>
    <w:lvl w:ilvl="3">
      <w:start w:val="0"/>
      <w:numFmt w:val="bullet"/>
      <w:lvlText w:val="•"/>
      <w:lvlJc w:val="left"/>
      <w:pPr>
        <w:ind w:left="3649" w:hanging="360"/>
      </w:pPr>
      <w:rPr>
        <w:rFonts w:hint="default"/>
      </w:rPr>
    </w:lvl>
    <w:lvl w:ilvl="4">
      <w:start w:val="0"/>
      <w:numFmt w:val="bullet"/>
      <w:lvlText w:val="•"/>
      <w:lvlJc w:val="left"/>
      <w:pPr>
        <w:ind w:left="4486" w:hanging="360"/>
      </w:pPr>
      <w:rPr>
        <w:rFonts w:hint="default"/>
      </w:rPr>
    </w:lvl>
    <w:lvl w:ilvl="5">
      <w:start w:val="0"/>
      <w:numFmt w:val="bullet"/>
      <w:lvlText w:val="•"/>
      <w:lvlJc w:val="left"/>
      <w:pPr>
        <w:ind w:left="5323" w:hanging="360"/>
      </w:pPr>
      <w:rPr>
        <w:rFonts w:hint="default"/>
      </w:rPr>
    </w:lvl>
    <w:lvl w:ilvl="6">
      <w:start w:val="0"/>
      <w:numFmt w:val="bullet"/>
      <w:lvlText w:val="•"/>
      <w:lvlJc w:val="left"/>
      <w:pPr>
        <w:ind w:left="6159" w:hanging="360"/>
      </w:pPr>
      <w:rPr>
        <w:rFonts w:hint="default"/>
      </w:rPr>
    </w:lvl>
    <w:lvl w:ilvl="7">
      <w:start w:val="0"/>
      <w:numFmt w:val="bullet"/>
      <w:lvlText w:val="•"/>
      <w:lvlJc w:val="left"/>
      <w:pPr>
        <w:ind w:left="6996" w:hanging="360"/>
      </w:pPr>
      <w:rPr>
        <w:rFonts w:hint="default"/>
      </w:rPr>
    </w:lvl>
    <w:lvl w:ilvl="8">
      <w:start w:val="0"/>
      <w:numFmt w:val="bullet"/>
      <w:lvlText w:val="•"/>
      <w:lvlJc w:val="left"/>
      <w:pPr>
        <w:ind w:left="7833" w:hanging="360"/>
      </w:pPr>
      <w:rPr>
        <w:rFonts w:hint="default"/>
      </w:rPr>
    </w:lvl>
  </w:abstractNum>
  <w:abstractNum w:abstractNumId="3">
    <w:multiLevelType w:val="hybridMultilevel"/>
    <w:lvl w:ilvl="0">
      <w:start w:val="1"/>
      <w:numFmt w:val="upperRoman"/>
      <w:lvlText w:val="%1."/>
      <w:lvlJc w:val="left"/>
      <w:pPr>
        <w:ind w:left="1296" w:hanging="720"/>
        <w:jc w:val="right"/>
      </w:pPr>
      <w:rPr>
        <w:rFonts w:hint="default" w:ascii="Times New Roman" w:hAnsi="Times New Roman" w:eastAsia="Times New Roman" w:cs="Times New Roman"/>
        <w:b/>
        <w:bCs/>
        <w:w w:val="99"/>
        <w:sz w:val="32"/>
        <w:szCs w:val="32"/>
      </w:rPr>
    </w:lvl>
    <w:lvl w:ilvl="1">
      <w:start w:val="1"/>
      <w:numFmt w:val="upperLetter"/>
      <w:lvlText w:val="%2."/>
      <w:lvlJc w:val="left"/>
      <w:pPr>
        <w:ind w:left="1656" w:hanging="360"/>
        <w:jc w:val="right"/>
      </w:pPr>
      <w:rPr>
        <w:rFonts w:hint="default" w:ascii="Times New Roman" w:hAnsi="Times New Roman" w:eastAsia="Times New Roman" w:cs="Times New Roman"/>
        <w:b/>
        <w:bCs/>
        <w:spacing w:val="-2"/>
        <w:w w:val="100"/>
        <w:sz w:val="28"/>
        <w:szCs w:val="28"/>
      </w:rPr>
    </w:lvl>
    <w:lvl w:ilvl="2">
      <w:start w:val="0"/>
      <w:numFmt w:val="bullet"/>
      <w:lvlText w:val="•"/>
      <w:lvlJc w:val="left"/>
      <w:pPr>
        <w:ind w:left="1600" w:hanging="360"/>
      </w:pPr>
      <w:rPr>
        <w:rFonts w:hint="default"/>
      </w:rPr>
    </w:lvl>
    <w:lvl w:ilvl="3">
      <w:start w:val="0"/>
      <w:numFmt w:val="bullet"/>
      <w:lvlText w:val="•"/>
      <w:lvlJc w:val="left"/>
      <w:pPr>
        <w:ind w:left="1660" w:hanging="360"/>
      </w:pPr>
      <w:rPr>
        <w:rFonts w:hint="default"/>
      </w:rPr>
    </w:lvl>
    <w:lvl w:ilvl="4">
      <w:start w:val="0"/>
      <w:numFmt w:val="bullet"/>
      <w:lvlText w:val="•"/>
      <w:lvlJc w:val="left"/>
      <w:pPr>
        <w:ind w:left="2752" w:hanging="360"/>
      </w:pPr>
      <w:rPr>
        <w:rFonts w:hint="default"/>
      </w:rPr>
    </w:lvl>
    <w:lvl w:ilvl="5">
      <w:start w:val="0"/>
      <w:numFmt w:val="bullet"/>
      <w:lvlText w:val="•"/>
      <w:lvlJc w:val="left"/>
      <w:pPr>
        <w:ind w:left="3844" w:hanging="360"/>
      </w:pPr>
      <w:rPr>
        <w:rFonts w:hint="default"/>
      </w:rPr>
    </w:lvl>
    <w:lvl w:ilvl="6">
      <w:start w:val="0"/>
      <w:numFmt w:val="bullet"/>
      <w:lvlText w:val="•"/>
      <w:lvlJc w:val="left"/>
      <w:pPr>
        <w:ind w:left="4937" w:hanging="360"/>
      </w:pPr>
      <w:rPr>
        <w:rFonts w:hint="default"/>
      </w:rPr>
    </w:lvl>
    <w:lvl w:ilvl="7">
      <w:start w:val="0"/>
      <w:numFmt w:val="bullet"/>
      <w:lvlText w:val="•"/>
      <w:lvlJc w:val="left"/>
      <w:pPr>
        <w:ind w:left="6029" w:hanging="360"/>
      </w:pPr>
      <w:rPr>
        <w:rFonts w:hint="default"/>
      </w:rPr>
    </w:lvl>
    <w:lvl w:ilvl="8">
      <w:start w:val="0"/>
      <w:numFmt w:val="bullet"/>
      <w:lvlText w:val="•"/>
      <w:lvlJc w:val="left"/>
      <w:pPr>
        <w:ind w:left="7121" w:hanging="360"/>
      </w:pPr>
      <w:rPr>
        <w:rFonts w:hint="default"/>
      </w:rPr>
    </w:lvl>
  </w:abstractNum>
  <w:abstractNum w:abstractNumId="2">
    <w:multiLevelType w:val="hybridMultilevel"/>
    <w:lvl w:ilvl="0">
      <w:start w:val="1"/>
      <w:numFmt w:val="upperRoman"/>
      <w:lvlText w:val="%1."/>
      <w:lvlJc w:val="left"/>
      <w:pPr>
        <w:ind w:left="596" w:hanging="480"/>
        <w:jc w:val="left"/>
      </w:pPr>
      <w:rPr>
        <w:rFonts w:hint="default" w:ascii="Times New Roman" w:hAnsi="Times New Roman" w:eastAsia="Times New Roman" w:cs="Times New Roman"/>
        <w:spacing w:val="-4"/>
        <w:w w:val="99"/>
        <w:sz w:val="24"/>
        <w:szCs w:val="24"/>
      </w:rPr>
    </w:lvl>
    <w:lvl w:ilvl="1">
      <w:start w:val="1"/>
      <w:numFmt w:val="upperLetter"/>
      <w:lvlText w:val="%2."/>
      <w:lvlJc w:val="left"/>
      <w:pPr>
        <w:ind w:left="997" w:hanging="660"/>
        <w:jc w:val="left"/>
      </w:pPr>
      <w:rPr>
        <w:rFonts w:hint="default" w:ascii="Times New Roman" w:hAnsi="Times New Roman" w:eastAsia="Times New Roman" w:cs="Times New Roman"/>
        <w:spacing w:val="-1"/>
        <w:w w:val="99"/>
        <w:sz w:val="24"/>
        <w:szCs w:val="24"/>
      </w:rPr>
    </w:lvl>
    <w:lvl w:ilvl="2">
      <w:start w:val="1"/>
      <w:numFmt w:val="decimal"/>
      <w:lvlText w:val="%3."/>
      <w:lvlJc w:val="left"/>
      <w:pPr>
        <w:ind w:left="1215" w:hanging="620"/>
        <w:jc w:val="left"/>
      </w:pPr>
      <w:rPr>
        <w:rFonts w:hint="default" w:ascii="Times New Roman" w:hAnsi="Times New Roman" w:eastAsia="Times New Roman" w:cs="Times New Roman"/>
        <w:spacing w:val="-3"/>
        <w:w w:val="99"/>
        <w:sz w:val="24"/>
        <w:szCs w:val="24"/>
      </w:rPr>
    </w:lvl>
    <w:lvl w:ilvl="3">
      <w:start w:val="1"/>
      <w:numFmt w:val="lowerRoman"/>
      <w:lvlText w:val="%4."/>
      <w:lvlJc w:val="left"/>
      <w:pPr>
        <w:ind w:left="776" w:hanging="440"/>
        <w:jc w:val="left"/>
      </w:pPr>
      <w:rPr>
        <w:rFonts w:hint="default" w:ascii="Times New Roman" w:hAnsi="Times New Roman" w:eastAsia="Times New Roman" w:cs="Times New Roman"/>
        <w:spacing w:val="0"/>
        <w:w w:val="100"/>
        <w:sz w:val="22"/>
        <w:szCs w:val="22"/>
      </w:rPr>
    </w:lvl>
    <w:lvl w:ilvl="4">
      <w:start w:val="0"/>
      <w:numFmt w:val="bullet"/>
      <w:lvlText w:val="•"/>
      <w:lvlJc w:val="left"/>
      <w:pPr>
        <w:ind w:left="1220" w:hanging="440"/>
      </w:pPr>
      <w:rPr>
        <w:rFonts w:hint="default"/>
      </w:rPr>
    </w:lvl>
    <w:lvl w:ilvl="5">
      <w:start w:val="0"/>
      <w:numFmt w:val="bullet"/>
      <w:lvlText w:val="•"/>
      <w:lvlJc w:val="left"/>
      <w:pPr>
        <w:ind w:left="1360" w:hanging="440"/>
      </w:pPr>
      <w:rPr>
        <w:rFonts w:hint="default"/>
      </w:rPr>
    </w:lvl>
    <w:lvl w:ilvl="6">
      <w:start w:val="0"/>
      <w:numFmt w:val="bullet"/>
      <w:lvlText w:val="•"/>
      <w:lvlJc w:val="left"/>
      <w:pPr>
        <w:ind w:left="2945" w:hanging="440"/>
      </w:pPr>
      <w:rPr>
        <w:rFonts w:hint="default"/>
      </w:rPr>
    </w:lvl>
    <w:lvl w:ilvl="7">
      <w:start w:val="0"/>
      <w:numFmt w:val="bullet"/>
      <w:lvlText w:val="•"/>
      <w:lvlJc w:val="left"/>
      <w:pPr>
        <w:ind w:left="4530" w:hanging="440"/>
      </w:pPr>
      <w:rPr>
        <w:rFonts w:hint="default"/>
      </w:rPr>
    </w:lvl>
    <w:lvl w:ilvl="8">
      <w:start w:val="0"/>
      <w:numFmt w:val="bullet"/>
      <w:lvlText w:val="•"/>
      <w:lvlJc w:val="left"/>
      <w:pPr>
        <w:ind w:left="6115" w:hanging="440"/>
      </w:pPr>
      <w:rPr>
        <w:rFonts w:hint="default"/>
      </w:rPr>
    </w:lvl>
  </w:abstractNum>
  <w:abstractNum w:abstractNumId="1">
    <w:multiLevelType w:val="hybridMultilevel"/>
    <w:lvl w:ilvl="0">
      <w:start w:val="3"/>
      <w:numFmt w:val="decimal"/>
      <w:lvlText w:val="%1."/>
      <w:lvlJc w:val="left"/>
      <w:pPr>
        <w:ind w:left="1215" w:hanging="620"/>
        <w:jc w:val="left"/>
      </w:pPr>
      <w:rPr>
        <w:rFonts w:hint="default" w:ascii="Times New Roman" w:hAnsi="Times New Roman" w:eastAsia="Times New Roman" w:cs="Times New Roman"/>
        <w:spacing w:val="-3"/>
        <w:w w:val="99"/>
        <w:sz w:val="24"/>
        <w:szCs w:val="24"/>
      </w:rPr>
    </w:lvl>
    <w:lvl w:ilvl="1">
      <w:start w:val="1"/>
      <w:numFmt w:val="lowerRoman"/>
      <w:lvlText w:val="%2."/>
      <w:lvlJc w:val="left"/>
      <w:pPr>
        <w:ind w:left="1215" w:hanging="440"/>
        <w:jc w:val="left"/>
      </w:pPr>
      <w:rPr>
        <w:rFonts w:hint="default" w:ascii="Times New Roman" w:hAnsi="Times New Roman" w:eastAsia="Times New Roman" w:cs="Times New Roman"/>
        <w:spacing w:val="0"/>
        <w:w w:val="100"/>
        <w:sz w:val="22"/>
        <w:szCs w:val="22"/>
      </w:rPr>
    </w:lvl>
    <w:lvl w:ilvl="2">
      <w:start w:val="0"/>
      <w:numFmt w:val="bullet"/>
      <w:lvlText w:val="•"/>
      <w:lvlJc w:val="left"/>
      <w:pPr>
        <w:ind w:left="2833" w:hanging="440"/>
      </w:pPr>
      <w:rPr>
        <w:rFonts w:hint="default"/>
      </w:rPr>
    </w:lvl>
    <w:lvl w:ilvl="3">
      <w:start w:val="0"/>
      <w:numFmt w:val="bullet"/>
      <w:lvlText w:val="•"/>
      <w:lvlJc w:val="left"/>
      <w:pPr>
        <w:ind w:left="3639" w:hanging="440"/>
      </w:pPr>
      <w:rPr>
        <w:rFonts w:hint="default"/>
      </w:rPr>
    </w:lvl>
    <w:lvl w:ilvl="4">
      <w:start w:val="0"/>
      <w:numFmt w:val="bullet"/>
      <w:lvlText w:val="•"/>
      <w:lvlJc w:val="left"/>
      <w:pPr>
        <w:ind w:left="4446" w:hanging="440"/>
      </w:pPr>
      <w:rPr>
        <w:rFonts w:hint="default"/>
      </w:rPr>
    </w:lvl>
    <w:lvl w:ilvl="5">
      <w:start w:val="0"/>
      <w:numFmt w:val="bullet"/>
      <w:lvlText w:val="•"/>
      <w:lvlJc w:val="left"/>
      <w:pPr>
        <w:ind w:left="5253" w:hanging="440"/>
      </w:pPr>
      <w:rPr>
        <w:rFonts w:hint="default"/>
      </w:rPr>
    </w:lvl>
    <w:lvl w:ilvl="6">
      <w:start w:val="0"/>
      <w:numFmt w:val="bullet"/>
      <w:lvlText w:val="•"/>
      <w:lvlJc w:val="left"/>
      <w:pPr>
        <w:ind w:left="6059" w:hanging="440"/>
      </w:pPr>
      <w:rPr>
        <w:rFonts w:hint="default"/>
      </w:rPr>
    </w:lvl>
    <w:lvl w:ilvl="7">
      <w:start w:val="0"/>
      <w:numFmt w:val="bullet"/>
      <w:lvlText w:val="•"/>
      <w:lvlJc w:val="left"/>
      <w:pPr>
        <w:ind w:left="6866" w:hanging="440"/>
      </w:pPr>
      <w:rPr>
        <w:rFonts w:hint="default"/>
      </w:rPr>
    </w:lvl>
    <w:lvl w:ilvl="8">
      <w:start w:val="0"/>
      <w:numFmt w:val="bullet"/>
      <w:lvlText w:val="•"/>
      <w:lvlJc w:val="left"/>
      <w:pPr>
        <w:ind w:left="7673" w:hanging="440"/>
      </w:pPr>
      <w:rPr>
        <w:rFonts w:hint="default"/>
      </w:rPr>
    </w:lvl>
  </w:abstractNum>
  <w:abstractNum w:abstractNumId="0">
    <w:multiLevelType w:val="hybridMultilevel"/>
    <w:lvl w:ilvl="0">
      <w:start w:val="1"/>
      <w:numFmt w:val="upperRoman"/>
      <w:lvlText w:val="%1."/>
      <w:lvlJc w:val="left"/>
      <w:pPr>
        <w:ind w:left="596" w:hanging="480"/>
        <w:jc w:val="left"/>
      </w:pPr>
      <w:rPr>
        <w:rFonts w:hint="default" w:ascii="Times New Roman" w:hAnsi="Times New Roman" w:eastAsia="Times New Roman" w:cs="Times New Roman"/>
        <w:spacing w:val="-4"/>
        <w:w w:val="99"/>
        <w:sz w:val="24"/>
        <w:szCs w:val="24"/>
      </w:rPr>
    </w:lvl>
    <w:lvl w:ilvl="1">
      <w:start w:val="1"/>
      <w:numFmt w:val="upperLetter"/>
      <w:lvlText w:val="%2."/>
      <w:lvlJc w:val="left"/>
      <w:pPr>
        <w:ind w:left="997" w:hanging="660"/>
        <w:jc w:val="left"/>
      </w:pPr>
      <w:rPr>
        <w:rFonts w:hint="default" w:ascii="Times New Roman" w:hAnsi="Times New Roman" w:eastAsia="Times New Roman" w:cs="Times New Roman"/>
        <w:spacing w:val="-1"/>
        <w:w w:val="99"/>
        <w:sz w:val="24"/>
        <w:szCs w:val="24"/>
      </w:rPr>
    </w:lvl>
    <w:lvl w:ilvl="2">
      <w:start w:val="1"/>
      <w:numFmt w:val="decimal"/>
      <w:lvlText w:val="%3."/>
      <w:lvlJc w:val="left"/>
      <w:pPr>
        <w:ind w:left="1215" w:hanging="620"/>
        <w:jc w:val="left"/>
      </w:pPr>
      <w:rPr>
        <w:rFonts w:hint="default" w:ascii="Times New Roman" w:hAnsi="Times New Roman" w:eastAsia="Times New Roman" w:cs="Times New Roman"/>
        <w:spacing w:val="-5"/>
        <w:w w:val="99"/>
        <w:sz w:val="24"/>
        <w:szCs w:val="24"/>
      </w:rPr>
    </w:lvl>
    <w:lvl w:ilvl="3">
      <w:start w:val="1"/>
      <w:numFmt w:val="lowerRoman"/>
      <w:lvlText w:val="%4."/>
      <w:lvlJc w:val="left"/>
      <w:pPr>
        <w:ind w:left="1215" w:hanging="440"/>
        <w:jc w:val="left"/>
      </w:pPr>
      <w:rPr>
        <w:rFonts w:hint="default" w:ascii="Times New Roman" w:hAnsi="Times New Roman" w:eastAsia="Times New Roman" w:cs="Times New Roman"/>
        <w:spacing w:val="0"/>
        <w:w w:val="100"/>
        <w:sz w:val="22"/>
        <w:szCs w:val="22"/>
      </w:rPr>
    </w:lvl>
    <w:lvl w:ilvl="4">
      <w:start w:val="0"/>
      <w:numFmt w:val="bullet"/>
      <w:lvlText w:val="•"/>
      <w:lvlJc w:val="left"/>
      <w:pPr>
        <w:ind w:left="2340" w:hanging="440"/>
      </w:pPr>
      <w:rPr>
        <w:rFonts w:hint="default"/>
      </w:rPr>
    </w:lvl>
    <w:lvl w:ilvl="5">
      <w:start w:val="0"/>
      <w:numFmt w:val="bullet"/>
      <w:lvlText w:val="•"/>
      <w:lvlJc w:val="left"/>
      <w:pPr>
        <w:ind w:left="3461" w:hanging="440"/>
      </w:pPr>
      <w:rPr>
        <w:rFonts w:hint="default"/>
      </w:rPr>
    </w:lvl>
    <w:lvl w:ilvl="6">
      <w:start w:val="0"/>
      <w:numFmt w:val="bullet"/>
      <w:lvlText w:val="•"/>
      <w:lvlJc w:val="left"/>
      <w:pPr>
        <w:ind w:left="4582" w:hanging="440"/>
      </w:pPr>
      <w:rPr>
        <w:rFonts w:hint="default"/>
      </w:rPr>
    </w:lvl>
    <w:lvl w:ilvl="7">
      <w:start w:val="0"/>
      <w:numFmt w:val="bullet"/>
      <w:lvlText w:val="•"/>
      <w:lvlJc w:val="left"/>
      <w:pPr>
        <w:ind w:left="5703" w:hanging="440"/>
      </w:pPr>
      <w:rPr>
        <w:rFonts w:hint="default"/>
      </w:rPr>
    </w:lvl>
    <w:lvl w:ilvl="8">
      <w:start w:val="0"/>
      <w:numFmt w:val="bullet"/>
      <w:lvlText w:val="•"/>
      <w:lvlJc w:val="left"/>
      <w:pPr>
        <w:ind w:left="6824" w:hanging="440"/>
      </w:pPr>
      <w:rPr>
        <w:rFonts w:hint="default"/>
      </w:rPr>
    </w:lvl>
  </w:abstract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41"/>
      <w:ind w:left="116"/>
    </w:pPr>
    <w:rPr>
      <w:rFonts w:ascii="Times New Roman" w:hAnsi="Times New Roman" w:eastAsia="Times New Roman" w:cs="Times New Roman"/>
      <w:sz w:val="24"/>
      <w:szCs w:val="24"/>
    </w:rPr>
  </w:style>
  <w:style w:styleId="TOC2" w:type="paragraph">
    <w:name w:val="TOC 2"/>
    <w:basedOn w:val="Normal"/>
    <w:uiPriority w:val="1"/>
    <w:qFormat/>
    <w:pPr>
      <w:spacing w:before="141"/>
      <w:ind w:left="337" w:hanging="660"/>
    </w:pPr>
    <w:rPr>
      <w:rFonts w:ascii="Times New Roman" w:hAnsi="Times New Roman" w:eastAsia="Times New Roman" w:cs="Times New Roman"/>
      <w:sz w:val="24"/>
      <w:szCs w:val="24"/>
    </w:rPr>
  </w:style>
  <w:style w:styleId="TOC3" w:type="paragraph">
    <w:name w:val="TOC 3"/>
    <w:basedOn w:val="Normal"/>
    <w:uiPriority w:val="1"/>
    <w:qFormat/>
    <w:pPr>
      <w:spacing w:before="141"/>
      <w:ind w:left="1215" w:hanging="619"/>
    </w:pPr>
    <w:rPr>
      <w:rFonts w:ascii="Times New Roman" w:hAnsi="Times New Roman" w:eastAsia="Times New Roman" w:cs="Times New Roman"/>
      <w:sz w:val="24"/>
      <w:szCs w:val="24"/>
    </w:rPr>
  </w:style>
  <w:style w:styleId="TOC4" w:type="paragraph">
    <w:name w:val="TOC 4"/>
    <w:basedOn w:val="Normal"/>
    <w:uiPriority w:val="1"/>
    <w:qFormat/>
    <w:pPr>
      <w:spacing w:before="138"/>
      <w:ind w:left="1215" w:hanging="439"/>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6"/>
      <w:jc w:val="center"/>
      <w:outlineLvl w:val="1"/>
    </w:pPr>
    <w:rPr>
      <w:rFonts w:ascii="Times New Roman" w:hAnsi="Times New Roman" w:eastAsia="Times New Roman" w:cs="Times New Roman"/>
      <w:b/>
      <w:bCs/>
      <w:sz w:val="40"/>
      <w:szCs w:val="40"/>
      <w:u w:val="single" w:color="000000"/>
    </w:rPr>
  </w:style>
  <w:style w:styleId="Heading2" w:type="paragraph">
    <w:name w:val="Heading 2"/>
    <w:basedOn w:val="Normal"/>
    <w:uiPriority w:val="1"/>
    <w:qFormat/>
    <w:pPr>
      <w:spacing w:before="57"/>
      <w:ind w:left="1196" w:hanging="720"/>
      <w:outlineLvl w:val="2"/>
    </w:pPr>
    <w:rPr>
      <w:rFonts w:ascii="Times New Roman" w:hAnsi="Times New Roman" w:eastAsia="Times New Roman" w:cs="Times New Roman"/>
      <w:b/>
      <w:bCs/>
      <w:sz w:val="32"/>
      <w:szCs w:val="32"/>
      <w:u w:val="single" w:color="000000"/>
    </w:rPr>
  </w:style>
  <w:style w:styleId="Heading3" w:type="paragraph">
    <w:name w:val="Heading 3"/>
    <w:basedOn w:val="Normal"/>
    <w:uiPriority w:val="1"/>
    <w:qFormat/>
    <w:pPr>
      <w:spacing w:before="75"/>
      <w:ind w:left="1534" w:hanging="360"/>
      <w:outlineLvl w:val="3"/>
    </w:pPr>
    <w:rPr>
      <w:rFonts w:ascii="Times New Roman" w:hAnsi="Times New Roman" w:eastAsia="Times New Roman" w:cs="Times New Roman"/>
      <w:b/>
      <w:bCs/>
      <w:sz w:val="28"/>
      <w:szCs w:val="28"/>
    </w:rPr>
  </w:style>
  <w:style w:styleId="Heading4" w:type="paragraph">
    <w:name w:val="Heading 4"/>
    <w:basedOn w:val="Normal"/>
    <w:uiPriority w:val="1"/>
    <w:qFormat/>
    <w:pPr>
      <w:ind w:left="109" w:right="110"/>
      <w:jc w:val="center"/>
      <w:outlineLvl w:val="4"/>
    </w:pPr>
    <w:rPr>
      <w:rFonts w:ascii="Times New Roman" w:hAnsi="Times New Roman" w:eastAsia="Times New Roman" w:cs="Times New Roman"/>
      <w:b/>
      <w:bCs/>
      <w:sz w:val="24"/>
      <w:szCs w:val="24"/>
    </w:rPr>
  </w:style>
  <w:style w:styleId="Heading5" w:type="paragraph">
    <w:name w:val="Heading 5"/>
    <w:basedOn w:val="Normal"/>
    <w:uiPriority w:val="1"/>
    <w:qFormat/>
    <w:pPr>
      <w:ind w:left="2252" w:hanging="720"/>
      <w:outlineLvl w:val="5"/>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1215"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footer" Target="footer3.xml"/><Relationship Id="rId39" Type="http://schemas.openxmlformats.org/officeDocument/2006/relationships/footer" Target="footer4.xml"/><Relationship Id="rId40" Type="http://schemas.openxmlformats.org/officeDocument/2006/relationships/footer" Target="footer5.xml"/><Relationship Id="rId41" Type="http://schemas.openxmlformats.org/officeDocument/2006/relationships/footer" Target="footer6.xml"/><Relationship Id="rId42" Type="http://schemas.openxmlformats.org/officeDocument/2006/relationships/footer" Target="footer7.xml"/><Relationship Id="rId43" Type="http://schemas.openxmlformats.org/officeDocument/2006/relationships/footer" Target="footer8.xml"/><Relationship Id="rId44" Type="http://schemas.openxmlformats.org/officeDocument/2006/relationships/hyperlink" Target="http://clinicaltrials.gov/show/NCT00096707" TargetMode="External"/><Relationship Id="rId45" Type="http://schemas.openxmlformats.org/officeDocument/2006/relationships/hyperlink" Target="http://clinicaltrials.gov/show/NCT01386632" TargetMode="External"/><Relationship Id="rId46" Type="http://schemas.openxmlformats.org/officeDocument/2006/relationships/hyperlink" Target="https://clinicaltrials.gov/show/NCT01285635" TargetMode="External"/><Relationship Id="rId47" Type="http://schemas.openxmlformats.org/officeDocument/2006/relationships/footer" Target="footer9.xml"/><Relationship Id="rId48" Type="http://schemas.openxmlformats.org/officeDocument/2006/relationships/footer" Target="footer10.xml"/><Relationship Id="rId49" Type="http://schemas.openxmlformats.org/officeDocument/2006/relationships/footer" Target="footer11.xml"/><Relationship Id="rId50" Type="http://schemas.openxmlformats.org/officeDocument/2006/relationships/footer" Target="footer12.xml"/><Relationship Id="rId51" Type="http://schemas.openxmlformats.org/officeDocument/2006/relationships/footer" Target="footer13.xml"/><Relationship Id="rId52" Type="http://schemas.openxmlformats.org/officeDocument/2006/relationships/footer" Target="footer14.xml"/><Relationship Id="rId53" Type="http://schemas.openxmlformats.org/officeDocument/2006/relationships/footer" Target="footer15.xml"/><Relationship Id="rId54" Type="http://schemas.openxmlformats.org/officeDocument/2006/relationships/footer" Target="footer16.xml"/><Relationship Id="rId55" Type="http://schemas.openxmlformats.org/officeDocument/2006/relationships/footer" Target="footer17.xml"/><Relationship Id="rId56" Type="http://schemas.openxmlformats.org/officeDocument/2006/relationships/footer" Target="footer18.xml"/><Relationship Id="rId57" Type="http://schemas.openxmlformats.org/officeDocument/2006/relationships/footer" Target="footer19.xml"/><Relationship Id="rId58" Type="http://schemas.openxmlformats.org/officeDocument/2006/relationships/footer" Target="footer20.xml"/><Relationship Id="rId59" Type="http://schemas.openxmlformats.org/officeDocument/2006/relationships/footer" Target="footer21.xml"/><Relationship Id="rId60" Type="http://schemas.openxmlformats.org/officeDocument/2006/relationships/footer" Target="footer22.xml"/><Relationship Id="rId61" Type="http://schemas.openxmlformats.org/officeDocument/2006/relationships/footer" Target="footer23.xml"/><Relationship Id="rId62" Type="http://schemas.openxmlformats.org/officeDocument/2006/relationships/image" Target="media/image32.jpeg"/><Relationship Id="rId63" Type="http://schemas.openxmlformats.org/officeDocument/2006/relationships/image" Target="media/image33.jpe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jpeg"/><Relationship Id="rId67" Type="http://schemas.openxmlformats.org/officeDocument/2006/relationships/footer" Target="footer24.xml"/><Relationship Id="rId68" Type="http://schemas.openxmlformats.org/officeDocument/2006/relationships/footer" Target="footer25.xml"/><Relationship Id="rId69" Type="http://schemas.openxmlformats.org/officeDocument/2006/relationships/hyperlink" Target="https://ebusiness.avma.org/aahsd/study_search.aspx" TargetMode="External"/><Relationship Id="rId70" Type="http://schemas.openxmlformats.org/officeDocument/2006/relationships/hyperlink" Target="http://www.betterlife.com/" TargetMode="External"/><Relationship Id="rId71" Type="http://schemas.openxmlformats.org/officeDocument/2006/relationships/hyperlink" Target="http://ccogc.net/" TargetMode="External"/><Relationship Id="rId72" Type="http://schemas.openxmlformats.org/officeDocument/2006/relationships/hyperlink" Target="http://www.spc.univ-lyon1.fr/mfcalc/index.htm" TargetMode="External"/><Relationship Id="rId73" Type="http://schemas.openxmlformats.org/officeDocument/2006/relationships/hyperlink" Target="http://ecog-/" TargetMode="External"/><Relationship Id="rId74" Type="http://schemas.openxmlformats.org/officeDocument/2006/relationships/hyperlink" Target="http://www.ema.europa.eu/docs/en_GB/document_library/Scientific_guideline/2009/10/WC500004343.pdf" TargetMode="External"/><Relationship Id="rId75" Type="http://schemas.openxmlformats.org/officeDocument/2006/relationships/hyperlink" Target="http://www.ineris.fr/substances/fr/" TargetMode="External"/><Relationship Id="rId76" Type="http://schemas.openxmlformats.org/officeDocument/2006/relationships/hyperlink" Target="http://www.echemportal.org/echemportal/page.action?pageID=9" TargetMode="External"/><Relationship Id="rId77" Type="http://schemas.openxmlformats.org/officeDocument/2006/relationships/hyperlink" Target="http://www.who.int/iris/handle/10665/37200" TargetMode="External"/><Relationship Id="rId78" Type="http://schemas.openxmlformats.org/officeDocument/2006/relationships/hyperlink" Target="http://petdca.com/calculating-dosage/" TargetMode="External"/><Relationship Id="rId79" Type="http://schemas.openxmlformats.org/officeDocument/2006/relationships/image" Target="media/image37.jpeg"/><Relationship Id="rId80" Type="http://schemas.openxmlformats.org/officeDocument/2006/relationships/image" Target="media/image38.png"/><Relationship Id="rId81" Type="http://schemas.openxmlformats.org/officeDocument/2006/relationships/image" Target="media/image39.jpeg"/><Relationship Id="rId82" Type="http://schemas.openxmlformats.org/officeDocument/2006/relationships/image" Target="media/image40.jpeg"/><Relationship Id="rId83" Type="http://schemas.openxmlformats.org/officeDocument/2006/relationships/image" Target="media/image41.jpeg"/><Relationship Id="rId84" Type="http://schemas.openxmlformats.org/officeDocument/2006/relationships/image" Target="media/image42.jpeg"/><Relationship Id="rId85" Type="http://schemas.openxmlformats.org/officeDocument/2006/relationships/image" Target="media/image43.jpeg"/><Relationship Id="rId86" Type="http://schemas.openxmlformats.org/officeDocument/2006/relationships/image" Target="media/image44.jpeg"/><Relationship Id="rId87" Type="http://schemas.openxmlformats.org/officeDocument/2006/relationships/image" Target="media/image45.jpeg"/><Relationship Id="rId88" Type="http://schemas.openxmlformats.org/officeDocument/2006/relationships/footer" Target="footer26.xml"/><Relationship Id="rId89" Type="http://schemas.openxmlformats.org/officeDocument/2006/relationships/footer" Target="footer27.xml"/><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 Inglebert</dc:creator>
  <dcterms:created xsi:type="dcterms:W3CDTF">2017-09-16T12:54:17Z</dcterms:created>
  <dcterms:modified xsi:type="dcterms:W3CDTF">2017-09-16T12:54:17Z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2017-06-23T00:00:00Z</vt:filetime>
  </property>
  <property fmtid="{D5CDD505-2E9C-101B-9397-08002B2CF9AE}" pid="3" name="Creator">
    <vt:lpwstr>Microsoft® Word 2013</vt:lpwstr>
  </property>
  <property fmtid="{D5CDD505-2E9C-101B-9397-08002B2CF9AE}" pid="4" name="LastSaved">
    <vt:filetime>2017-09-16T00:00:00Z</vt:filetime>
  </property>
</Properties>
</file>